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14a-101)</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INFORMATION REQUIRED IN PROXY STATEMENT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SCHEDULE 14A INFORMATION</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20" w:lineRule="exact"/>
        <w:rPr>
          <w:sz w:val="24"/>
          <w:szCs w:val="24"/>
          <w:color w:val="auto"/>
        </w:rPr>
      </w:pPr>
    </w:p>
    <w:p>
      <w:pPr>
        <w:jc w:val="center"/>
        <w:ind w:right="-19"/>
        <w:spacing w:after="0"/>
        <w:tabs>
          <w:tab w:leader="none" w:pos="240" w:val="left"/>
        </w:tabs>
        <w:rPr>
          <w:sz w:val="20"/>
          <w:szCs w:val="20"/>
          <w:color w:val="auto"/>
        </w:rPr>
      </w:pPr>
      <w:r>
        <w:rPr>
          <w:rFonts w:ascii="Arial" w:cs="Arial" w:eastAsia="Arial" w:hAnsi="Arial"/>
          <w:sz w:val="20"/>
          <w:szCs w:val="20"/>
          <w:b w:val="1"/>
          <w:bCs w:val="1"/>
          <w:color w:val="auto"/>
        </w:rPr>
        <w:t>Exchange Act of 1934 (Amendment No.</w:t>
      </w:r>
      <w:r>
        <w:rPr>
          <w:sz w:val="20"/>
          <w:szCs w:val="20"/>
          <w:color w:val="auto"/>
        </w:rPr>
        <w:tab/>
      </w:r>
      <w:r>
        <w:rPr>
          <w:rFonts w:ascii="Arial" w:cs="Arial" w:eastAsia="Arial" w:hAnsi="Arial"/>
          <w:sz w:val="21"/>
          <w:szCs w:val="21"/>
          <w:b w:val="1"/>
          <w:bCs w:val="1"/>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9" w:lineRule="exact"/>
        <w:rPr>
          <w:sz w:val="24"/>
          <w:szCs w:val="24"/>
          <w:color w:val="auto"/>
        </w:rPr>
      </w:pPr>
    </w:p>
    <w:p>
      <w:pPr>
        <w:ind w:left="320" w:hanging="315"/>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03" w:lineRule="exact"/>
        <w:rPr>
          <w:rFonts w:ascii="Arial" w:cs="Arial" w:eastAsia="Arial" w:hAnsi="Arial"/>
          <w:sz w:val="18"/>
          <w:szCs w:val="18"/>
          <w:color w:val="auto"/>
        </w:rPr>
      </w:pPr>
    </w:p>
    <w:p>
      <w:pPr>
        <w:ind w:left="360" w:hanging="35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5" w:lineRule="exact"/>
        <w:rPr>
          <w:rFonts w:ascii="Arial" w:cs="Arial" w:eastAsia="Arial" w:hAnsi="Arial"/>
          <w:sz w:val="18"/>
          <w:szCs w:val="18"/>
          <w:color w:val="auto"/>
        </w:rPr>
      </w:pPr>
    </w:p>
    <w:p>
      <w:pPr>
        <w:ind w:left="320" w:hanging="315"/>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09" w:lineRule="exact"/>
        <w:rPr>
          <w:sz w:val="24"/>
          <w:szCs w:val="24"/>
          <w:color w:val="auto"/>
        </w:rPr>
      </w:pPr>
    </w:p>
    <w:p>
      <w:pPr>
        <w:ind w:left="380" w:hanging="37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9" w:lineRule="exact"/>
        <w:rPr>
          <w:sz w:val="24"/>
          <w:szCs w:val="24"/>
          <w:color w:val="auto"/>
        </w:rPr>
      </w:pPr>
    </w:p>
    <w:p>
      <w:pPr>
        <w:ind w:left="320" w:hanging="315"/>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328295</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5" w:lineRule="exact"/>
        <w:rPr>
          <w:sz w:val="24"/>
          <w:szCs w:val="24"/>
          <w:color w:val="auto"/>
        </w:rPr>
      </w:pPr>
    </w:p>
    <w:p>
      <w:pPr>
        <w:ind w:left="340" w:hanging="335"/>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5" w:lineRule="exact"/>
        <w:rPr>
          <w:sz w:val="24"/>
          <w:szCs w:val="24"/>
          <w:color w:val="auto"/>
        </w:rPr>
      </w:pPr>
    </w:p>
    <w:p>
      <w:pPr>
        <w:ind w:left="340" w:hanging="335"/>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14" w:lineRule="exact"/>
        <w:rPr>
          <w:rFonts w:ascii="Arial" w:cs="Arial" w:eastAsia="Arial" w:hAnsi="Arial"/>
          <w:sz w:val="18"/>
          <w:szCs w:val="18"/>
          <w:color w:val="auto"/>
        </w:rPr>
      </w:pPr>
    </w:p>
    <w:p>
      <w:pPr>
        <w:ind w:left="700" w:hanging="319"/>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41" w:lineRule="exact"/>
        <w:rPr>
          <w:rFonts w:ascii="Arial" w:cs="Arial" w:eastAsia="Arial" w:hAnsi="Arial"/>
          <w:sz w:val="18"/>
          <w:szCs w:val="18"/>
          <w:color w:val="auto"/>
        </w:rPr>
      </w:pPr>
    </w:p>
    <w:p>
      <w:pPr>
        <w:ind w:left="700" w:hanging="319"/>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41" w:lineRule="exact"/>
        <w:rPr>
          <w:rFonts w:ascii="Arial" w:cs="Arial" w:eastAsia="Arial" w:hAnsi="Arial"/>
          <w:sz w:val="18"/>
          <w:szCs w:val="18"/>
          <w:color w:val="auto"/>
        </w:rPr>
      </w:pPr>
    </w:p>
    <w:p>
      <w:pPr>
        <w:ind w:left="700" w:right="320" w:hanging="319"/>
        <w:spacing w:after="0" w:line="262" w:lineRule="auto"/>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7" w:lineRule="exact"/>
        <w:rPr>
          <w:rFonts w:ascii="Arial" w:cs="Arial" w:eastAsia="Arial" w:hAnsi="Arial"/>
          <w:sz w:val="18"/>
          <w:szCs w:val="18"/>
          <w:color w:val="auto"/>
        </w:rPr>
      </w:pPr>
    </w:p>
    <w:p>
      <w:pPr>
        <w:ind w:left="700" w:hanging="319"/>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41" w:lineRule="exact"/>
        <w:rPr>
          <w:rFonts w:ascii="Arial" w:cs="Arial" w:eastAsia="Arial" w:hAnsi="Arial"/>
          <w:sz w:val="18"/>
          <w:szCs w:val="18"/>
          <w:color w:val="auto"/>
        </w:rPr>
      </w:pPr>
    </w:p>
    <w:p>
      <w:pPr>
        <w:ind w:left="700" w:hanging="319"/>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340" w:hanging="335"/>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41" w:lineRule="exact"/>
        <w:rPr>
          <w:rFonts w:ascii="Arial" w:cs="Arial" w:eastAsia="Arial" w:hAnsi="Arial"/>
          <w:sz w:val="18"/>
          <w:szCs w:val="18"/>
          <w:color w:val="auto"/>
        </w:rPr>
      </w:pPr>
    </w:p>
    <w:p>
      <w:pPr>
        <w:ind w:left="340" w:hanging="335"/>
        <w:spacing w:after="0" w:line="26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0" w:lineRule="exact"/>
        <w:rPr>
          <w:rFonts w:ascii="Arial" w:cs="Arial" w:eastAsia="Arial" w:hAnsi="Arial"/>
          <w:sz w:val="18"/>
          <w:szCs w:val="18"/>
          <w:color w:val="auto"/>
        </w:rPr>
      </w:pPr>
    </w:p>
    <w:p>
      <w:pPr>
        <w:ind w:left="700" w:hanging="319"/>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41" w:lineRule="exact"/>
        <w:rPr>
          <w:rFonts w:ascii="Arial" w:cs="Arial" w:eastAsia="Arial" w:hAnsi="Arial"/>
          <w:sz w:val="18"/>
          <w:szCs w:val="18"/>
          <w:color w:val="auto"/>
        </w:rPr>
      </w:pPr>
    </w:p>
    <w:p>
      <w:pPr>
        <w:ind w:left="700" w:hanging="319"/>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41" w:lineRule="exact"/>
        <w:rPr>
          <w:rFonts w:ascii="Arial" w:cs="Arial" w:eastAsia="Arial" w:hAnsi="Arial"/>
          <w:sz w:val="18"/>
          <w:szCs w:val="18"/>
          <w:color w:val="auto"/>
        </w:rPr>
      </w:pPr>
    </w:p>
    <w:p>
      <w:pPr>
        <w:ind w:left="700" w:hanging="319"/>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41" w:lineRule="exact"/>
        <w:rPr>
          <w:rFonts w:ascii="Arial" w:cs="Arial" w:eastAsia="Arial" w:hAnsi="Arial"/>
          <w:sz w:val="18"/>
          <w:szCs w:val="18"/>
          <w:color w:val="auto"/>
        </w:rPr>
      </w:pPr>
    </w:p>
    <w:p>
      <w:pPr>
        <w:ind w:left="700" w:hanging="319"/>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-3086735</wp:posOffset>
            </wp:positionV>
            <wp:extent cx="6814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-2801620</wp:posOffset>
            </wp:positionV>
            <wp:extent cx="68148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-2383155</wp:posOffset>
            </wp:positionV>
            <wp:extent cx="68148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-2098675</wp:posOffset>
            </wp:positionV>
            <wp:extent cx="6814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-1814195</wp:posOffset>
            </wp:positionV>
            <wp:extent cx="6814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-1529080</wp:posOffset>
            </wp:positionV>
            <wp:extent cx="4478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78655"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-708660</wp:posOffset>
            </wp:positionV>
            <wp:extent cx="68148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-424180</wp:posOffset>
            </wp:positionV>
            <wp:extent cx="6814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-139700</wp:posOffset>
            </wp:positionV>
            <wp:extent cx="68148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144145</wp:posOffset>
            </wp:positionV>
            <wp:extent cx="68148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292735</wp:posOffset>
            </wp:positionV>
            <wp:extent cx="7254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1" w:name="page2"/>
    <w:bookmarkEnd w:id="1"/>
    <w:p>
      <w:pPr>
        <w:jc w:val="center"/>
        <w:ind w:right="-1200"/>
        <w:spacing w:after="0"/>
        <w:rPr>
          <w:sz w:val="20"/>
          <w:szCs w:val="20"/>
          <w:color w:val="auto"/>
        </w:rPr>
      </w:pPr>
      <w:r>
        <w:rPr>
          <w:rFonts w:ascii="Arial" w:cs="Arial" w:eastAsia="Arial" w:hAnsi="Arial"/>
          <w:sz w:val="26"/>
          <w:szCs w:val="26"/>
          <w:b w:val="1"/>
          <w:bCs w:val="1"/>
          <w:color w:val="auto"/>
        </w:rPr>
        <w:t xml:space="preserve">*** Exercise Your </w:t>
      </w:r>
      <w:r>
        <w:rPr>
          <w:rFonts w:ascii="Arial" w:cs="Arial" w:eastAsia="Arial" w:hAnsi="Arial"/>
          <w:sz w:val="26"/>
          <w:szCs w:val="26"/>
          <w:b w:val="1"/>
          <w:bCs w:val="1"/>
          <w:i w:val="1"/>
          <w:iCs w:val="1"/>
          <w:color w:val="auto"/>
        </w:rPr>
        <w:t>Right</w:t>
      </w:r>
      <w:r>
        <w:rPr>
          <w:rFonts w:ascii="Arial" w:cs="Arial" w:eastAsia="Arial" w:hAnsi="Arial"/>
          <w:sz w:val="26"/>
          <w:szCs w:val="26"/>
          <w:b w:val="1"/>
          <w:bCs w:val="1"/>
          <w:color w:val="auto"/>
        </w:rPr>
        <w:t xml:space="preserve"> to Vote ***</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IMPORTANT NOTICE Regarding the Availability of Proxy Materials</w:t>
      </w:r>
    </w:p>
    <w:p>
      <w:pPr>
        <w:jc w:val="center"/>
        <w:ind w:right="-1200"/>
        <w:spacing w:after="0"/>
        <w:rPr>
          <w:sz w:val="20"/>
          <w:szCs w:val="20"/>
          <w:color w:val="auto"/>
        </w:rPr>
      </w:pPr>
      <w:r>
        <w:rPr>
          <w:rFonts w:ascii="Arial" w:cs="Arial" w:eastAsia="Arial" w:hAnsi="Arial"/>
          <w:sz w:val="21"/>
          <w:szCs w:val="21"/>
          <w:b w:val="1"/>
          <w:bCs w:val="1"/>
          <w:color w:val="auto"/>
        </w:rPr>
        <w:t>for the Shareholder Meeting To Be Held on May 20,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0</wp:posOffset>
            </wp:positionV>
            <wp:extent cx="3334385" cy="1802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34385" cy="1802130"/>
                    </a:xfrm>
                    <a:prstGeom prst="rect">
                      <a:avLst/>
                    </a:prstGeom>
                    <a:noFill/>
                  </pic:spPr>
                </pic:pic>
              </a:graphicData>
            </a:graphic>
          </wp:anchor>
        </w:drawing>
      </w:r>
    </w:p>
    <w:p>
      <w:pPr>
        <w:sectPr>
          <w:pgSz w:w="11900" w:h="16838" w:orient="portrait"/>
          <w:cols w:equalWidth="0" w:num="1">
            <w:col w:w="10219"/>
          </w:cols>
          <w:pgMar w:left="240" w:top="903"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left="800"/>
        <w:spacing w:after="0"/>
        <w:rPr>
          <w:sz w:val="20"/>
          <w:szCs w:val="20"/>
          <w:color w:val="auto"/>
        </w:rPr>
      </w:pPr>
      <w:r>
        <w:rPr>
          <w:rFonts w:ascii="Arial" w:cs="Arial" w:eastAsia="Arial" w:hAnsi="Arial"/>
          <w:sz w:val="21"/>
          <w:szCs w:val="21"/>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687705</wp:posOffset>
            </wp:positionV>
            <wp:extent cx="1565275" cy="435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5275" cy="43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Arial" w:cs="Arial" w:eastAsia="Arial" w:hAnsi="Arial"/>
          <w:sz w:val="9"/>
          <w:szCs w:val="9"/>
          <w:i w:val="1"/>
          <w:iCs w:val="1"/>
          <w:color w:val="auto"/>
        </w:rPr>
        <w:t>ONE COMCAST CENTER</w:t>
      </w:r>
    </w:p>
    <w:p>
      <w:pPr>
        <w:ind w:left="240"/>
        <w:spacing w:after="0"/>
        <w:rPr>
          <w:sz w:val="20"/>
          <w:szCs w:val="20"/>
          <w:color w:val="auto"/>
        </w:rPr>
      </w:pPr>
      <w:r>
        <w:rPr>
          <w:rFonts w:ascii="Arial" w:cs="Arial" w:eastAsia="Arial" w:hAnsi="Arial"/>
          <w:sz w:val="9"/>
          <w:szCs w:val="9"/>
          <w:i w:val="1"/>
          <w:iCs w:val="1"/>
          <w:color w:val="auto"/>
        </w:rPr>
        <w:t>PHILADELPHIA, PA 19103</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460" w:type="dxa"/>
            <w:vAlign w:val="bottom"/>
          </w:tcPr>
          <w:p>
            <w:pPr>
              <w:spacing w:after="0"/>
              <w:rPr>
                <w:sz w:val="21"/>
                <w:szCs w:val="21"/>
                <w:color w:val="auto"/>
              </w:rPr>
            </w:pPr>
          </w:p>
        </w:tc>
        <w:tc>
          <w:tcPr>
            <w:tcW w:w="2420" w:type="dxa"/>
            <w:vAlign w:val="bottom"/>
            <w:gridSpan w:val="3"/>
          </w:tcPr>
          <w:p>
            <w:pPr>
              <w:ind w:left="40"/>
              <w:spacing w:after="0"/>
              <w:rPr>
                <w:sz w:val="20"/>
                <w:szCs w:val="20"/>
                <w:color w:val="auto"/>
              </w:rPr>
            </w:pPr>
            <w:r>
              <w:rPr>
                <w:rFonts w:ascii="Arial" w:cs="Arial" w:eastAsia="Arial" w:hAnsi="Arial"/>
                <w:sz w:val="21"/>
                <w:szCs w:val="21"/>
                <w:b w:val="1"/>
                <w:bCs w:val="1"/>
                <w:color w:val="auto"/>
              </w:rPr>
              <w:t>Meeting Information</w:t>
            </w:r>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rPr>
                <w:sz w:val="20"/>
                <w:szCs w:val="20"/>
                <w:color w:val="auto"/>
              </w:rPr>
            </w:pPr>
            <w:r>
              <w:rPr>
                <w:rFonts w:ascii="Arial" w:cs="Arial" w:eastAsia="Arial" w:hAnsi="Arial"/>
                <w:sz w:val="16"/>
                <w:szCs w:val="16"/>
                <w:b w:val="1"/>
                <w:bCs w:val="1"/>
                <w:color w:val="auto"/>
              </w:rPr>
              <w:t>Meeting Type:</w:t>
            </w:r>
          </w:p>
        </w:tc>
        <w:tc>
          <w:tcPr>
            <w:tcW w:w="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4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2"/>
          </w:tcPr>
          <w:p>
            <w:pPr>
              <w:ind w:left="120"/>
              <w:spacing w:after="0"/>
              <w:rPr>
                <w:sz w:val="20"/>
                <w:szCs w:val="20"/>
                <w:color w:val="auto"/>
              </w:rPr>
            </w:pPr>
            <w:r>
              <w:rPr>
                <w:rFonts w:ascii="Arial" w:cs="Arial" w:eastAsia="Arial" w:hAnsi="Arial"/>
                <w:sz w:val="16"/>
                <w:szCs w:val="16"/>
                <w:color w:val="auto"/>
                <w:w w:val="97"/>
              </w:rPr>
              <w:t>Annual Meeting of Shareholders</w:t>
            </w: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r>
              <w:rPr>
                <w:rFonts w:ascii="Arial" w:cs="Arial" w:eastAsia="Arial" w:hAnsi="Arial"/>
                <w:sz w:val="16"/>
                <w:szCs w:val="16"/>
                <w:b w:val="1"/>
                <w:bCs w:val="1"/>
                <w:color w:val="auto"/>
              </w:rPr>
              <w:t>For holders as of:</w:t>
            </w:r>
          </w:p>
        </w:tc>
        <w:tc>
          <w:tcPr>
            <w:tcW w:w="40" w:type="dxa"/>
            <w:vAlign w:val="bottom"/>
          </w:tcPr>
          <w:p>
            <w:pPr>
              <w:spacing w:after="0"/>
              <w:rPr>
                <w:sz w:val="20"/>
                <w:szCs w:val="20"/>
                <w:color w:val="auto"/>
              </w:rPr>
            </w:pPr>
          </w:p>
        </w:tc>
        <w:tc>
          <w:tcPr>
            <w:tcW w:w="2380" w:type="dxa"/>
            <w:vAlign w:val="bottom"/>
            <w:gridSpan w:val="2"/>
          </w:tcPr>
          <w:p>
            <w:pPr>
              <w:ind w:left="80"/>
              <w:spacing w:after="0"/>
              <w:rPr>
                <w:sz w:val="20"/>
                <w:szCs w:val="20"/>
                <w:color w:val="auto"/>
              </w:rPr>
            </w:pPr>
            <w:r>
              <w:rPr>
                <w:rFonts w:ascii="Arial" w:cs="Arial" w:eastAsia="Arial" w:hAnsi="Arial"/>
                <w:sz w:val="16"/>
                <w:szCs w:val="16"/>
                <w:color w:val="auto"/>
              </w:rPr>
              <w:t>March 11, 2010</w:t>
            </w: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20, 2010</w:t>
            </w:r>
          </w:p>
        </w:tc>
        <w:tc>
          <w:tcPr>
            <w:tcW w:w="40" w:type="dxa"/>
            <w:vAlign w:val="bottom"/>
          </w:tcPr>
          <w:p>
            <w:pPr>
              <w:spacing w:after="0"/>
              <w:rPr>
                <w:sz w:val="20"/>
                <w:szCs w:val="20"/>
                <w:color w:val="auto"/>
              </w:rPr>
            </w:pPr>
          </w:p>
        </w:tc>
        <w:tc>
          <w:tcPr>
            <w:tcW w:w="2380" w:type="dxa"/>
            <w:vAlign w:val="bottom"/>
            <w:gridSpan w:val="2"/>
          </w:tcPr>
          <w:p>
            <w:pPr>
              <w:ind w:left="34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9:00 a.m. EDT</w:t>
            </w: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color w:val="auto"/>
        </w:rPr>
        <w:t>Pennsylvania Convention Center</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One Convention Center Place</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Philadelphia, PA 19107</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For Meeting Directions: </w:t>
      </w:r>
      <w:r>
        <w:rPr>
          <w:rFonts w:ascii="Arial" w:cs="Arial" w:eastAsia="Arial" w:hAnsi="Arial"/>
          <w:sz w:val="15"/>
          <w:szCs w:val="15"/>
          <w:color w:val="auto"/>
        </w:rPr>
        <w:t>Please visit</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www.cmcsa.com</w:t>
      </w:r>
    </w:p>
    <w:p>
      <w:pPr>
        <w:spacing w:after="0" w:line="138"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(Doors Open at 8:00 a.m.)</w:t>
      </w:r>
    </w:p>
    <w:p>
      <w:pPr>
        <w:spacing w:after="0" w:line="251" w:lineRule="exact"/>
        <w:rPr>
          <w:sz w:val="20"/>
          <w:szCs w:val="20"/>
          <w:color w:val="auto"/>
        </w:rPr>
      </w:pPr>
    </w:p>
    <w:p>
      <w:pPr>
        <w:sectPr>
          <w:pgSz w:w="11900" w:h="16838" w:orient="portrait"/>
          <w:cols w:equalWidth="0" w:num="2">
            <w:col w:w="4460" w:space="720"/>
            <w:col w:w="5039"/>
          </w:cols>
          <w:pgMar w:left="240" w:top="903" w:right="1440" w:bottom="1440" w:gutter="0" w:footer="0" w:header="0"/>
          <w:type w:val="continuous"/>
        </w:sectPr>
      </w:pPr>
    </w:p>
    <w:p>
      <w:pPr>
        <w:ind w:left="5100"/>
        <w:spacing w:after="0"/>
        <w:rPr>
          <w:sz w:val="20"/>
          <w:szCs w:val="20"/>
          <w:color w:val="auto"/>
        </w:rPr>
      </w:pPr>
      <w:r>
        <w:rPr>
          <w:rFonts w:ascii="Arial" w:cs="Arial" w:eastAsia="Arial" w:hAnsi="Arial"/>
          <w:sz w:val="14"/>
          <w:szCs w:val="14"/>
          <w:color w:val="auto"/>
        </w:rPr>
        <w:t>You are receiving this communication because you hold Class A common stock</w:t>
      </w:r>
    </w:p>
    <w:p>
      <w:pPr>
        <w:ind w:left="5100"/>
        <w:spacing w:after="0"/>
        <w:rPr>
          <w:sz w:val="20"/>
          <w:szCs w:val="20"/>
          <w:color w:val="auto"/>
        </w:rPr>
      </w:pPr>
      <w:r>
        <w:rPr>
          <w:rFonts w:ascii="Arial" w:cs="Arial" w:eastAsia="Arial" w:hAnsi="Arial"/>
          <w:sz w:val="14"/>
          <w:szCs w:val="14"/>
          <w:color w:val="auto"/>
        </w:rPr>
        <w:t>in the above named company.</w:t>
      </w:r>
    </w:p>
    <w:p>
      <w:pPr>
        <w:spacing w:after="0" w:line="100"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This is not a ballot. You cannot use this notice to vote these shares. This</w:t>
      </w:r>
    </w:p>
    <w:p>
      <w:pPr>
        <w:ind w:left="5100"/>
        <w:spacing w:after="0" w:line="235" w:lineRule="auto"/>
        <w:rPr>
          <w:sz w:val="20"/>
          <w:szCs w:val="20"/>
          <w:color w:val="auto"/>
        </w:rPr>
      </w:pPr>
      <w:r>
        <w:rPr>
          <w:rFonts w:ascii="Arial" w:cs="Arial" w:eastAsia="Arial" w:hAnsi="Arial"/>
          <w:sz w:val="14"/>
          <w:szCs w:val="14"/>
          <w:color w:val="auto"/>
        </w:rPr>
        <w:t>communication  presents  only  an  overview  of  the  more  complete  proxy</w:t>
      </w:r>
    </w:p>
    <w:p>
      <w:pPr>
        <w:ind w:left="5100"/>
        <w:spacing w:after="0" w:line="236" w:lineRule="auto"/>
        <w:rPr>
          <w:sz w:val="20"/>
          <w:szCs w:val="20"/>
          <w:color w:val="auto"/>
        </w:rPr>
      </w:pPr>
      <w:r>
        <w:rPr>
          <w:rFonts w:ascii="Arial" w:cs="Arial" w:eastAsia="Arial" w:hAnsi="Arial"/>
          <w:sz w:val="14"/>
          <w:szCs w:val="14"/>
          <w:color w:val="auto"/>
        </w:rPr>
        <w:t>materials that contain important information and are available to you on the</w:t>
      </w:r>
    </w:p>
    <w:p>
      <w:pPr>
        <w:ind w:left="5100"/>
        <w:spacing w:after="0" w:line="236" w:lineRule="auto"/>
        <w:tabs>
          <w:tab w:leader="none" w:pos="5680" w:val="left"/>
          <w:tab w:leader="none" w:pos="5960" w:val="left"/>
          <w:tab w:leader="none" w:pos="6240" w:val="left"/>
          <w:tab w:leader="none" w:pos="6680" w:val="left"/>
          <w:tab w:leader="none" w:pos="7040" w:val="left"/>
          <w:tab w:leader="none" w:pos="7460" w:val="left"/>
          <w:tab w:leader="none" w:pos="7880" w:val="left"/>
          <w:tab w:leader="none" w:pos="8200" w:val="left"/>
          <w:tab w:leader="none" w:pos="8680" w:val="left"/>
          <w:tab w:leader="none" w:pos="9400" w:val="left"/>
          <w:tab w:leader="none" w:pos="9900" w:val="left"/>
        </w:tabs>
        <w:rPr>
          <w:sz w:val="20"/>
          <w:szCs w:val="20"/>
          <w:color w:val="auto"/>
        </w:rPr>
      </w:pPr>
      <w:r>
        <w:rPr>
          <w:rFonts w:ascii="Arial" w:cs="Arial" w:eastAsia="Arial" w:hAnsi="Arial"/>
          <w:sz w:val="14"/>
          <w:szCs w:val="14"/>
          <w:color w:val="auto"/>
        </w:rPr>
        <w:t>Internet</w:t>
        <w:tab/>
        <w:t>or</w:t>
        <w:tab/>
        <w:t>by</w:t>
        <w:tab/>
        <w:t>mail.</w:t>
        <w:tab/>
        <w:t>You</w:t>
        <w:tab/>
        <w:t>may</w:t>
        <w:tab/>
        <w:t>view</w:t>
        <w:tab/>
        <w:t>the</w:t>
        <w:tab/>
        <w:t>proxy</w:t>
        <w:tab/>
        <w:t>materials</w:t>
        <w:tab/>
        <w:t>online</w:t>
        <w:tab/>
        <w:t>at</w:t>
      </w:r>
    </w:p>
    <w:p>
      <w:pPr>
        <w:ind w:left="5100"/>
        <w:spacing w:after="0"/>
        <w:rPr>
          <w:sz w:val="20"/>
          <w:szCs w:val="20"/>
          <w:color w:val="auto"/>
        </w:rPr>
      </w:pPr>
      <w:r>
        <w:rPr>
          <w:rFonts w:ascii="Arial" w:cs="Arial" w:eastAsia="Arial" w:hAnsi="Arial"/>
          <w:sz w:val="14"/>
          <w:szCs w:val="14"/>
          <w:i w:val="1"/>
          <w:iCs w:val="1"/>
          <w:color w:val="auto"/>
        </w:rPr>
        <w:t xml:space="preserve">www.proxyvote.com </w:t>
      </w:r>
      <w:r>
        <w:rPr>
          <w:rFonts w:ascii="Arial" w:cs="Arial" w:eastAsia="Arial" w:hAnsi="Arial"/>
          <w:sz w:val="14"/>
          <w:szCs w:val="14"/>
          <w:color w:val="auto"/>
        </w:rPr>
        <w:t>or easily request a paper copy (see reverse side).</w:t>
      </w:r>
    </w:p>
    <w:p>
      <w:pPr>
        <w:spacing w:after="0" w:line="100"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We encourage you to access and review all of the important information</w:t>
      </w:r>
    </w:p>
    <w:p>
      <w:pPr>
        <w:ind w:left="5100"/>
        <w:spacing w:after="0"/>
        <w:rPr>
          <w:sz w:val="20"/>
          <w:szCs w:val="20"/>
          <w:color w:val="auto"/>
        </w:rPr>
      </w:pPr>
      <w:r>
        <w:rPr>
          <w:rFonts w:ascii="Arial" w:cs="Arial" w:eastAsia="Arial" w:hAnsi="Arial"/>
          <w:sz w:val="14"/>
          <w:szCs w:val="14"/>
          <w:color w:val="auto"/>
        </w:rPr>
        <w:t>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62230</wp:posOffset>
            </wp:positionV>
            <wp:extent cx="3189605"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89605" cy="334645"/>
                    </a:xfrm>
                    <a:prstGeom prst="rect">
                      <a:avLst/>
                    </a:prstGeom>
                    <a:noFill/>
                  </pic:spPr>
                </pic:pic>
              </a:graphicData>
            </a:graphic>
          </wp:anchor>
        </w:drawing>
      </w:r>
    </w:p>
    <w:p>
      <w:pPr>
        <w:spacing w:after="0" w:line="103"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FFFFFF"/>
        </w:rPr>
        <w:t>See the reverse side of this notice to obtain proxy</w:t>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FFFFFF"/>
        </w:rPr>
        <w:t>materials and voting instructions.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M20442-P90314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369570</wp:posOffset>
            </wp:positionV>
            <wp:extent cx="725424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903" w:right="1440"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M20443-</w:t>
      </w:r>
    </w:p>
    <w:p>
      <w:pPr>
        <w:spacing w:after="0"/>
        <w:rPr>
          <w:sz w:val="20"/>
          <w:szCs w:val="20"/>
          <w:color w:val="auto"/>
        </w:rPr>
      </w:pPr>
      <w:r>
        <w:rPr>
          <w:rFonts w:ascii="Arial" w:cs="Arial" w:eastAsia="Arial" w:hAnsi="Arial"/>
          <w:sz w:val="14"/>
          <w:szCs w:val="14"/>
          <w:color w:val="auto"/>
        </w:rPr>
        <w:t>P90314</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49" w:lineRule="exact"/>
        <w:rPr>
          <w:sz w:val="20"/>
          <w:szCs w:val="20"/>
          <w:color w:val="auto"/>
        </w:rPr>
      </w:pPr>
    </w:p>
    <w:p>
      <w:pPr>
        <w:ind w:left="3280"/>
        <w:spacing w:after="0"/>
        <w:rPr>
          <w:sz w:val="20"/>
          <w:szCs w:val="20"/>
          <w:color w:val="auto"/>
        </w:rPr>
      </w:pPr>
      <w:r>
        <w:rPr>
          <w:rFonts w:ascii="Arial" w:cs="Arial" w:eastAsia="Arial" w:hAnsi="Arial"/>
          <w:sz w:val="21"/>
          <w:szCs w:val="2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32385</wp:posOffset>
            </wp:positionV>
            <wp:extent cx="6951980" cy="2396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51980" cy="23964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66"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PROXY STATEMENT</w:t>
      </w:r>
      <w:r>
        <w:rPr>
          <w:sz w:val="20"/>
          <w:szCs w:val="20"/>
          <w:color w:val="auto"/>
        </w:rPr>
        <w:tab/>
      </w:r>
      <w:r>
        <w:rPr>
          <w:rFonts w:ascii="Arial" w:cs="Arial" w:eastAsia="Arial" w:hAnsi="Arial"/>
          <w:sz w:val="16"/>
          <w:szCs w:val="16"/>
          <w:color w:val="auto"/>
        </w:rPr>
        <w:t>ANNUAL REPORT ON FORM 10-K</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12-Digit Control Number available (located on the following page) and visit: </w:t>
      </w:r>
      <w:r>
        <w:rPr>
          <w:rFonts w:ascii="Arial" w:cs="Arial" w:eastAsia="Arial" w:hAnsi="Arial"/>
          <w:sz w:val="18"/>
          <w:szCs w:val="18"/>
          <w:i w:val="1"/>
          <w:iCs w:val="1"/>
          <w:color w:val="auto"/>
        </w:rPr>
        <w:t>www.proxyvote.com.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 choose one of the following methods to make your request:</w:t>
      </w:r>
    </w:p>
    <w:p>
      <w:pPr>
        <w:spacing w:after="0" w:line="21" w:lineRule="exact"/>
        <w:rPr>
          <w:sz w:val="20"/>
          <w:szCs w:val="20"/>
          <w:color w:val="auto"/>
        </w:rPr>
      </w:pPr>
    </w:p>
    <w:tbl>
      <w:tblPr>
        <w:tblLayout w:type="fixed"/>
        <w:tblInd w:w="1940" w:type="dxa"/>
        <w:tblCellMar>
          <w:top w:w="0" w:type="dxa"/>
          <w:left w:w="0" w:type="dxa"/>
          <w:bottom w:w="0" w:type="dxa"/>
          <w:right w:w="0" w:type="dxa"/>
        </w:tblCellMar>
      </w:tblPr>
      <w:tr>
        <w:trPr>
          <w:trHeight w:val="229"/>
        </w:trPr>
        <w:tc>
          <w:tcPr>
            <w:tcW w:w="18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600" w:type="dxa"/>
            <w:vAlign w:val="bottom"/>
          </w:tcPr>
          <w:p>
            <w:pPr>
              <w:ind w:left="260"/>
              <w:spacing w:after="0"/>
              <w:rPr>
                <w:sz w:val="20"/>
                <w:szCs w:val="20"/>
                <w:color w:val="auto"/>
              </w:rPr>
            </w:pPr>
            <w:r>
              <w:rPr>
                <w:rFonts w:ascii="Arial" w:cs="Arial" w:eastAsia="Arial" w:hAnsi="Arial"/>
                <w:sz w:val="18"/>
                <w:szCs w:val="18"/>
                <w:color w:val="auto"/>
              </w:rPr>
              <w:t>www.proxyvote.com</w:t>
            </w:r>
          </w:p>
        </w:tc>
      </w:tr>
      <w:tr>
        <w:trPr>
          <w:trHeight w:val="264"/>
        </w:trPr>
        <w:tc>
          <w:tcPr>
            <w:tcW w:w="180" w:type="dxa"/>
            <w:vAlign w:val="bottom"/>
          </w:tcPr>
          <w:p>
            <w:pPr>
              <w:jc w:val="right"/>
              <w:spacing w:after="0"/>
              <w:rPr>
                <w:sz w:val="20"/>
                <w:szCs w:val="20"/>
                <w:color w:val="auto"/>
              </w:rPr>
            </w:pPr>
            <w:r>
              <w:rPr>
                <w:rFonts w:ascii="Arial" w:cs="Arial" w:eastAsia="Arial" w:hAnsi="Arial"/>
                <w:sz w:val="18"/>
                <w:szCs w:val="18"/>
                <w:color w:val="auto"/>
                <w:w w:val="87"/>
              </w:rPr>
              <w:t>2)</w:t>
            </w:r>
          </w:p>
        </w:tc>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600" w:type="dxa"/>
            <w:vAlign w:val="bottom"/>
          </w:tcPr>
          <w:p>
            <w:pPr>
              <w:ind w:left="260"/>
              <w:spacing w:after="0"/>
              <w:rPr>
                <w:sz w:val="20"/>
                <w:szCs w:val="20"/>
                <w:color w:val="auto"/>
              </w:rPr>
            </w:pPr>
            <w:r>
              <w:rPr>
                <w:rFonts w:ascii="Arial" w:cs="Arial" w:eastAsia="Arial" w:hAnsi="Arial"/>
                <w:sz w:val="18"/>
                <w:szCs w:val="18"/>
                <w:color w:val="auto"/>
              </w:rPr>
              <w:t>1-800-579-1639</w:t>
            </w:r>
          </w:p>
        </w:tc>
      </w:tr>
      <w:tr>
        <w:trPr>
          <w:trHeight w:val="264"/>
        </w:trPr>
        <w:tc>
          <w:tcPr>
            <w:tcW w:w="18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600" w:type="dxa"/>
            <w:vAlign w:val="bottom"/>
          </w:tcPr>
          <w:p>
            <w:pPr>
              <w:ind w:left="260"/>
              <w:spacing w:after="0"/>
              <w:rPr>
                <w:sz w:val="20"/>
                <w:szCs w:val="20"/>
                <w:color w:val="auto"/>
              </w:rPr>
            </w:pPr>
            <w:r>
              <w:rPr>
                <w:rFonts w:ascii="Arial" w:cs="Arial" w:eastAsia="Arial" w:hAnsi="Arial"/>
                <w:sz w:val="18"/>
                <w:szCs w:val="18"/>
                <w:color w:val="auto"/>
                <w:w w:val="97"/>
              </w:rPr>
              <w:t>sendmaterial@proxyvote.com</w:t>
            </w:r>
          </w:p>
        </w:tc>
      </w:tr>
    </w:tbl>
    <w:p>
      <w:pPr>
        <w:spacing w:after="0" w:line="92" w:lineRule="exact"/>
        <w:rPr>
          <w:sz w:val="20"/>
          <w:szCs w:val="20"/>
          <w:color w:val="auto"/>
        </w:rPr>
      </w:pPr>
    </w:p>
    <w:p>
      <w:pPr>
        <w:ind w:left="220" w:right="320" w:hanging="219"/>
        <w:spacing w:after="0" w:line="237"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requesting materials by e-mail, please send a blank e-mail with the 12-Digit Control Number (located on the following page) in the subject line.</w:t>
      </w:r>
    </w:p>
    <w:p>
      <w:pPr>
        <w:spacing w:after="0" w:line="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 request as instructed above on or before May 6, 2010 to facilitate timely delivery.</w:t>
      </w:r>
    </w:p>
    <w:p>
      <w:pPr>
        <w:spacing w:after="0" w:line="342" w:lineRule="exact"/>
        <w:rPr>
          <w:sz w:val="20"/>
          <w:szCs w:val="20"/>
          <w:color w:val="auto"/>
        </w:rPr>
      </w:pPr>
    </w:p>
    <w:p>
      <w:pPr>
        <w:jc w:val="center"/>
        <w:ind w:right="32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w:t>
      </w:r>
      <w:r>
        <w:rPr>
          <w:rFonts w:ascii="Arial" w:cs="Arial" w:eastAsia="Arial" w:hAnsi="Arial"/>
          <w:sz w:val="32"/>
          <w:szCs w:val="32"/>
          <w:color w:val="auto"/>
        </w:rPr>
        <w:t xml:space="preserve">  —–</w:t>
      </w:r>
    </w:p>
    <w:p>
      <w:pPr>
        <w:spacing w:after="0" w:line="49"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32385</wp:posOffset>
            </wp:positionV>
            <wp:extent cx="7313930" cy="1157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3930" cy="1157605"/>
                    </a:xfrm>
                    <a:prstGeom prst="rect">
                      <a:avLst/>
                    </a:prstGeom>
                    <a:noFill/>
                  </pic:spPr>
                </pic:pic>
              </a:graphicData>
            </a:graphic>
          </wp:anchor>
        </w:drawing>
      </w:r>
    </w:p>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4"/>
          <w:szCs w:val="14"/>
          <w:b w:val="1"/>
          <w:bCs w:val="1"/>
          <w:color w:val="auto"/>
        </w:rPr>
        <w:t xml:space="preserve">Vote In Person: </w:t>
      </w:r>
      <w:r>
        <w:rPr>
          <w:rFonts w:ascii="Arial" w:cs="Arial" w:eastAsia="Arial" w:hAnsi="Arial"/>
          <w:sz w:val="14"/>
          <w:szCs w:val="14"/>
          <w:color w:val="auto"/>
        </w:rPr>
        <w:t>This notice serves as your admission ticket. All shareholders must bring an admission ticket to the annual meeting. Without an admission ticket, shareholde</w:t>
      </w:r>
      <w:r>
        <w:rPr>
          <w:rFonts w:ascii="Arial" w:cs="Arial" w:eastAsia="Arial" w:hAnsi="Arial"/>
          <w:sz w:val="14"/>
          <w:szCs w:val="14"/>
          <w:b w:val="1"/>
          <w:bCs w:val="1"/>
          <w:color w:val="auto"/>
        </w:rPr>
        <w:t xml:space="preserve"> </w:t>
      </w:r>
      <w:r>
        <w:rPr>
          <w:rFonts w:ascii="Arial" w:cs="Arial" w:eastAsia="Arial" w:hAnsi="Arial"/>
          <w:sz w:val="14"/>
          <w:szCs w:val="14"/>
          <w:color w:val="auto"/>
        </w:rPr>
        <w:t>will be admitted only upon verification of ownership. At the annual meeting, you will need to request a ballot to vote these shares. You may be asked to present a val government-issued photo identification before entering the annual meeting. Video and audio recording devices will not be permitted at the annual meeting, and attendees w be subject to security inspections. Please check the proxy materials for additional requirements for, and information on, annual meeting admission requirements.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color w:val="auto"/>
        </w:rPr>
        <w:t xml:space="preserve">Vote By Internet: </w:t>
      </w:r>
      <w:r>
        <w:rPr>
          <w:rFonts w:ascii="Arial" w:cs="Arial" w:eastAsia="Arial" w:hAnsi="Arial"/>
          <w:sz w:val="14"/>
          <w:szCs w:val="14"/>
          <w:color w:val="auto"/>
        </w:rPr>
        <w:t>To vote now by Internet, go to</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www.proxyvote.com.</w:t>
      </w:r>
      <w:r>
        <w:rPr>
          <w:rFonts w:ascii="Arial" w:cs="Arial" w:eastAsia="Arial" w:hAnsi="Arial"/>
          <w:sz w:val="14"/>
          <w:szCs w:val="14"/>
          <w:b w:val="1"/>
          <w:bCs w:val="1"/>
          <w:color w:val="auto"/>
        </w:rPr>
        <w:t xml:space="preserve"> </w:t>
      </w:r>
      <w:r>
        <w:rPr>
          <w:rFonts w:ascii="Arial" w:cs="Arial" w:eastAsia="Arial" w:hAnsi="Arial"/>
          <w:sz w:val="14"/>
          <w:szCs w:val="14"/>
          <w:color w:val="auto"/>
        </w:rPr>
        <w:t>Have the 12 Digit Control Number available and follow the instructions. Proxies submitted by Intern</w:t>
      </w:r>
      <w:r>
        <w:rPr>
          <w:rFonts w:ascii="Arial" w:cs="Arial" w:eastAsia="Arial" w:hAnsi="Arial"/>
          <w:sz w:val="14"/>
          <w:szCs w:val="14"/>
          <w:b w:val="1"/>
          <w:bCs w:val="1"/>
          <w:color w:val="auto"/>
        </w:rPr>
        <w:t xml:space="preserve"> </w:t>
      </w:r>
      <w:r>
        <w:rPr>
          <w:rFonts w:ascii="Arial" w:cs="Arial" w:eastAsia="Arial" w:hAnsi="Arial"/>
          <w:sz w:val="14"/>
          <w:szCs w:val="14"/>
          <w:color w:val="auto"/>
        </w:rPr>
        <w:t>must be received by 11:59 p.m. Eastern Daylight Time on May 19, 2010.</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Mail: </w:t>
      </w:r>
      <w:r>
        <w:rPr>
          <w:rFonts w:ascii="Arial" w:cs="Arial" w:eastAsia="Arial" w:hAnsi="Arial"/>
          <w:sz w:val="14"/>
          <w:szCs w:val="14"/>
          <w:color w:val="auto"/>
        </w:rPr>
        <w:t>You can vote by mail by requesting a paper copy of the materials, which will include a proxy card.</w:t>
      </w:r>
    </w:p>
    <w:p>
      <w:pPr>
        <w:sectPr>
          <w:pgSz w:w="11900" w:h="16838" w:orient="portrait"/>
          <w:cols w:equalWidth="0" w:num="2">
            <w:col w:w="560" w:space="240"/>
            <w:col w:w="10720"/>
          </w:cols>
          <w:pgMar w:left="240" w:top="889" w:right="139" w:bottom="1440" w:gutter="0" w:footer="0" w:header="0"/>
        </w:sectPr>
      </w:pPr>
    </w:p>
    <w:bookmarkStart w:id="3" w:name="page4"/>
    <w:bookmarkEnd w:id="3"/>
    <w:p>
      <w:pPr>
        <w:spacing w:after="0" w:line="2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304165</wp:posOffset>
            </wp:positionH>
            <wp:positionV relativeFrom="page">
              <wp:posOffset>731520</wp:posOffset>
            </wp:positionV>
            <wp:extent cx="21894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89480" cy="171450"/>
                    </a:xfrm>
                    <a:prstGeom prst="rect">
                      <a:avLst/>
                    </a:prstGeom>
                    <a:noFill/>
                  </pic:spPr>
                </pic:pic>
              </a:graphicData>
            </a:graphic>
          </wp:anchor>
        </w:drawing>
      </w:r>
    </w:p>
    <w:p>
      <w:pPr>
        <w:jc w:val="center"/>
        <w:ind w:right="617"/>
        <w:spacing w:after="0"/>
        <w:rPr>
          <w:sz w:val="20"/>
          <w:szCs w:val="20"/>
          <w:color w:val="auto"/>
        </w:rPr>
      </w:pPr>
      <w:r>
        <w:rPr>
          <w:rFonts w:ascii="Arial" w:cs="Arial" w:eastAsia="Arial" w:hAnsi="Arial"/>
          <w:sz w:val="14"/>
          <w:szCs w:val="14"/>
          <w:b w:val="1"/>
          <w:bCs w:val="1"/>
          <w:color w:val="auto"/>
        </w:rPr>
        <w:t>Voting Items</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Company  Proposals  —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-1905</wp:posOffset>
            </wp:positionV>
            <wp:extent cx="175895" cy="175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5895" cy="175895"/>
                    </a:xfrm>
                    <a:prstGeom prst="rect">
                      <a:avLst/>
                    </a:prstGeom>
                    <a:noFill/>
                  </pic:spPr>
                </pic:pic>
              </a:graphicData>
            </a:graphic>
          </wp:anchor>
        </w:drawing>
      </w:r>
    </w:p>
    <w:p>
      <w:pPr>
        <w:ind w:left="560" w:right="957" w:hanging="271"/>
        <w:spacing w:after="0" w:line="191" w:lineRule="auto"/>
        <w:tabs>
          <w:tab w:leader="none" w:pos="560" w:val="left"/>
        </w:tabs>
        <w:numPr>
          <w:ilvl w:val="1"/>
          <w:numId w:val="7"/>
        </w:numPr>
        <w:rPr>
          <w:rFonts w:ascii="Arial" w:cs="Arial" w:eastAsia="Arial" w:hAnsi="Arial"/>
          <w:sz w:val="21"/>
          <w:szCs w:val="21"/>
          <w:b w:val="1"/>
          <w:bCs w:val="1"/>
          <w:color w:val="FFFFFF"/>
        </w:rPr>
      </w:pPr>
      <w:r>
        <w:rPr>
          <w:rFonts w:ascii="Arial" w:cs="Arial" w:eastAsia="Arial" w:hAnsi="Arial"/>
          <w:sz w:val="11"/>
          <w:szCs w:val="11"/>
          <w:b w:val="1"/>
          <w:bCs w:val="1"/>
          <w:color w:val="auto"/>
        </w:rPr>
        <w:t>recommends a vote “FOR” all the nominees listed in Proposal 1 and “FOR” Proposals 2-3.</w:t>
      </w:r>
    </w:p>
    <w:p>
      <w:pPr>
        <w:spacing w:after="0" w:line="50" w:lineRule="exact"/>
        <w:rPr>
          <w:rFonts w:ascii="Arial" w:cs="Arial" w:eastAsia="Arial" w:hAnsi="Arial"/>
          <w:sz w:val="21"/>
          <w:szCs w:val="21"/>
          <w:b w:val="1"/>
          <w:bCs w:val="1"/>
          <w:color w:val="FFFFFF"/>
        </w:rPr>
      </w:pPr>
    </w:p>
    <w:p>
      <w:pPr>
        <w:ind w:left="520" w:hanging="286"/>
        <w:spacing w:after="0"/>
        <w:tabs>
          <w:tab w:leader="none" w:pos="520" w:val="left"/>
        </w:tabs>
        <w:numPr>
          <w:ilvl w:val="0"/>
          <w:numId w:val="7"/>
        </w:numPr>
        <w:rPr>
          <w:rFonts w:ascii="Arial" w:cs="Arial" w:eastAsia="Arial" w:hAnsi="Arial"/>
          <w:sz w:val="12"/>
          <w:szCs w:val="12"/>
          <w:color w:val="auto"/>
        </w:rPr>
      </w:pPr>
      <w:r>
        <w:rPr>
          <w:rFonts w:ascii="Arial" w:cs="Arial" w:eastAsia="Arial" w:hAnsi="Arial"/>
          <w:sz w:val="12"/>
          <w:szCs w:val="12"/>
          <w:color w:val="auto"/>
        </w:rPr>
        <w:t>Election of Directors</w:t>
      </w:r>
    </w:p>
    <w:p>
      <w:pPr>
        <w:spacing w:after="0" w:line="40" w:lineRule="exact"/>
        <w:rPr>
          <w:sz w:val="20"/>
          <w:szCs w:val="20"/>
          <w:color w:val="auto"/>
        </w:rPr>
      </w:pPr>
    </w:p>
    <w:tbl>
      <w:tblPr>
        <w:tblLayout w:type="fixed"/>
        <w:tblInd w:w="620" w:type="dxa"/>
        <w:tblCellMar>
          <w:top w:w="0" w:type="dxa"/>
          <w:left w:w="0" w:type="dxa"/>
          <w:bottom w:w="0" w:type="dxa"/>
          <w:right w:w="0" w:type="dxa"/>
        </w:tblCellMar>
      </w:tblPr>
      <w:tr>
        <w:trPr>
          <w:trHeight w:val="138"/>
        </w:trPr>
        <w:tc>
          <w:tcPr>
            <w:tcW w:w="280" w:type="dxa"/>
            <w:vAlign w:val="bottom"/>
          </w:tcPr>
          <w:p>
            <w:pPr>
              <w:jc w:val="right"/>
              <w:ind w:right="38"/>
              <w:spacing w:after="0"/>
              <w:rPr>
                <w:sz w:val="20"/>
                <w:szCs w:val="20"/>
                <w:color w:val="auto"/>
              </w:rPr>
            </w:pPr>
            <w:r>
              <w:rPr>
                <w:rFonts w:ascii="Arial" w:cs="Arial" w:eastAsia="Arial" w:hAnsi="Arial"/>
                <w:sz w:val="12"/>
                <w:szCs w:val="12"/>
                <w:color w:val="auto"/>
                <w:w w:val="91"/>
              </w:rPr>
              <w:t>01)</w:t>
            </w:r>
          </w:p>
        </w:tc>
        <w:tc>
          <w:tcPr>
            <w:tcW w:w="1440" w:type="dxa"/>
            <w:vAlign w:val="bottom"/>
          </w:tcPr>
          <w:p>
            <w:pPr>
              <w:ind w:left="80"/>
              <w:spacing w:after="0"/>
              <w:rPr>
                <w:sz w:val="20"/>
                <w:szCs w:val="20"/>
                <w:color w:val="auto"/>
              </w:rPr>
            </w:pPr>
            <w:r>
              <w:rPr>
                <w:rFonts w:ascii="Arial" w:cs="Arial" w:eastAsia="Arial" w:hAnsi="Arial"/>
                <w:sz w:val="12"/>
                <w:szCs w:val="12"/>
                <w:color w:val="auto"/>
              </w:rPr>
              <w:t>S. Decker Anstrom</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08)</w:t>
            </w:r>
          </w:p>
        </w:tc>
        <w:tc>
          <w:tcPr>
            <w:tcW w:w="1240" w:type="dxa"/>
            <w:vAlign w:val="bottom"/>
          </w:tcPr>
          <w:p>
            <w:pPr>
              <w:ind w:left="80"/>
              <w:spacing w:after="0"/>
              <w:rPr>
                <w:sz w:val="20"/>
                <w:szCs w:val="20"/>
                <w:color w:val="auto"/>
              </w:rPr>
            </w:pPr>
            <w:r>
              <w:rPr>
                <w:rFonts w:ascii="Arial" w:cs="Arial" w:eastAsia="Arial" w:hAnsi="Arial"/>
                <w:sz w:val="12"/>
                <w:szCs w:val="12"/>
                <w:color w:val="auto"/>
              </w:rPr>
              <w:t>Gerald L. Hassell</w:t>
            </w:r>
          </w:p>
        </w:tc>
      </w:tr>
      <w:tr>
        <w:trPr>
          <w:trHeight w:val="132"/>
        </w:trPr>
        <w:tc>
          <w:tcPr>
            <w:tcW w:w="280" w:type="dxa"/>
            <w:vAlign w:val="bottom"/>
          </w:tcPr>
          <w:p>
            <w:pPr>
              <w:jc w:val="right"/>
              <w:ind w:right="38"/>
              <w:spacing w:after="0" w:line="132" w:lineRule="exact"/>
              <w:rPr>
                <w:sz w:val="20"/>
                <w:szCs w:val="20"/>
                <w:color w:val="auto"/>
              </w:rPr>
            </w:pPr>
            <w:r>
              <w:rPr>
                <w:rFonts w:ascii="Arial" w:cs="Arial" w:eastAsia="Arial" w:hAnsi="Arial"/>
                <w:sz w:val="12"/>
                <w:szCs w:val="12"/>
                <w:color w:val="auto"/>
                <w:w w:val="91"/>
              </w:rPr>
              <w:t>02)</w:t>
            </w:r>
          </w:p>
        </w:tc>
        <w:tc>
          <w:tcPr>
            <w:tcW w:w="1440" w:type="dxa"/>
            <w:vAlign w:val="bottom"/>
          </w:tcPr>
          <w:p>
            <w:pPr>
              <w:ind w:left="80"/>
              <w:spacing w:after="0" w:line="132" w:lineRule="exact"/>
              <w:rPr>
                <w:sz w:val="20"/>
                <w:szCs w:val="20"/>
                <w:color w:val="auto"/>
              </w:rPr>
            </w:pPr>
            <w:r>
              <w:rPr>
                <w:rFonts w:ascii="Arial" w:cs="Arial" w:eastAsia="Arial" w:hAnsi="Arial"/>
                <w:sz w:val="12"/>
                <w:szCs w:val="12"/>
                <w:color w:val="auto"/>
              </w:rPr>
              <w:t>Kenneth J. Bacon</w:t>
            </w:r>
          </w:p>
        </w:tc>
        <w:tc>
          <w:tcPr>
            <w:tcW w:w="520" w:type="dxa"/>
            <w:vAlign w:val="bottom"/>
          </w:tcPr>
          <w:p>
            <w:pPr>
              <w:jc w:val="right"/>
              <w:ind w:right="18"/>
              <w:spacing w:after="0" w:line="132" w:lineRule="exact"/>
              <w:rPr>
                <w:sz w:val="20"/>
                <w:szCs w:val="20"/>
                <w:color w:val="auto"/>
              </w:rPr>
            </w:pPr>
            <w:r>
              <w:rPr>
                <w:rFonts w:ascii="Arial" w:cs="Arial" w:eastAsia="Arial" w:hAnsi="Arial"/>
                <w:sz w:val="12"/>
                <w:szCs w:val="12"/>
                <w:color w:val="auto"/>
              </w:rPr>
              <w:t>09)</w:t>
            </w:r>
          </w:p>
        </w:tc>
        <w:tc>
          <w:tcPr>
            <w:tcW w:w="1240" w:type="dxa"/>
            <w:vAlign w:val="bottom"/>
          </w:tcPr>
          <w:p>
            <w:pPr>
              <w:ind w:left="80"/>
              <w:spacing w:after="0" w:line="132" w:lineRule="exact"/>
              <w:rPr>
                <w:sz w:val="20"/>
                <w:szCs w:val="20"/>
                <w:color w:val="auto"/>
              </w:rPr>
            </w:pPr>
            <w:r>
              <w:rPr>
                <w:rFonts w:ascii="Arial" w:cs="Arial" w:eastAsia="Arial" w:hAnsi="Arial"/>
                <w:sz w:val="12"/>
                <w:szCs w:val="12"/>
                <w:color w:val="auto"/>
                <w:w w:val="99"/>
              </w:rPr>
              <w:t>Jeffrey A. Honickman</w:t>
            </w:r>
          </w:p>
        </w:tc>
      </w:tr>
      <w:tr>
        <w:trPr>
          <w:trHeight w:val="132"/>
        </w:trPr>
        <w:tc>
          <w:tcPr>
            <w:tcW w:w="280" w:type="dxa"/>
            <w:vAlign w:val="bottom"/>
          </w:tcPr>
          <w:p>
            <w:pPr>
              <w:jc w:val="right"/>
              <w:ind w:right="38"/>
              <w:spacing w:after="0" w:line="132" w:lineRule="exact"/>
              <w:rPr>
                <w:sz w:val="20"/>
                <w:szCs w:val="20"/>
                <w:color w:val="auto"/>
              </w:rPr>
            </w:pPr>
            <w:r>
              <w:rPr>
                <w:rFonts w:ascii="Arial" w:cs="Arial" w:eastAsia="Arial" w:hAnsi="Arial"/>
                <w:sz w:val="12"/>
                <w:szCs w:val="12"/>
                <w:color w:val="auto"/>
                <w:w w:val="91"/>
              </w:rPr>
              <w:t>03)</w:t>
            </w:r>
          </w:p>
        </w:tc>
        <w:tc>
          <w:tcPr>
            <w:tcW w:w="1440" w:type="dxa"/>
            <w:vAlign w:val="bottom"/>
          </w:tcPr>
          <w:p>
            <w:pPr>
              <w:ind w:left="80"/>
              <w:spacing w:after="0" w:line="132" w:lineRule="exact"/>
              <w:rPr>
                <w:sz w:val="20"/>
                <w:szCs w:val="20"/>
                <w:color w:val="auto"/>
              </w:rPr>
            </w:pPr>
            <w:r>
              <w:rPr>
                <w:rFonts w:ascii="Arial" w:cs="Arial" w:eastAsia="Arial" w:hAnsi="Arial"/>
                <w:sz w:val="12"/>
                <w:szCs w:val="12"/>
                <w:color w:val="auto"/>
              </w:rPr>
              <w:t>Sheldon M. Bonovitz</w:t>
            </w:r>
          </w:p>
        </w:tc>
        <w:tc>
          <w:tcPr>
            <w:tcW w:w="520" w:type="dxa"/>
            <w:vAlign w:val="bottom"/>
          </w:tcPr>
          <w:p>
            <w:pPr>
              <w:jc w:val="right"/>
              <w:ind w:right="18"/>
              <w:spacing w:after="0" w:line="132" w:lineRule="exact"/>
              <w:rPr>
                <w:sz w:val="20"/>
                <w:szCs w:val="20"/>
                <w:color w:val="auto"/>
              </w:rPr>
            </w:pPr>
            <w:r>
              <w:rPr>
                <w:rFonts w:ascii="Arial" w:cs="Arial" w:eastAsia="Arial" w:hAnsi="Arial"/>
                <w:sz w:val="12"/>
                <w:szCs w:val="12"/>
                <w:color w:val="auto"/>
              </w:rPr>
              <w:t>10)</w:t>
            </w:r>
          </w:p>
        </w:tc>
        <w:tc>
          <w:tcPr>
            <w:tcW w:w="1240" w:type="dxa"/>
            <w:vAlign w:val="bottom"/>
          </w:tcPr>
          <w:p>
            <w:pPr>
              <w:ind w:left="80"/>
              <w:spacing w:after="0" w:line="132" w:lineRule="exact"/>
              <w:rPr>
                <w:sz w:val="20"/>
                <w:szCs w:val="20"/>
                <w:color w:val="auto"/>
              </w:rPr>
            </w:pPr>
            <w:r>
              <w:rPr>
                <w:rFonts w:ascii="Arial" w:cs="Arial" w:eastAsia="Arial" w:hAnsi="Arial"/>
                <w:sz w:val="12"/>
                <w:szCs w:val="12"/>
                <w:color w:val="auto"/>
              </w:rPr>
              <w:t>Brian L. Roberts</w:t>
            </w:r>
          </w:p>
        </w:tc>
      </w:tr>
      <w:tr>
        <w:trPr>
          <w:trHeight w:val="132"/>
        </w:trPr>
        <w:tc>
          <w:tcPr>
            <w:tcW w:w="280" w:type="dxa"/>
            <w:vAlign w:val="bottom"/>
          </w:tcPr>
          <w:p>
            <w:pPr>
              <w:jc w:val="right"/>
              <w:ind w:right="38"/>
              <w:spacing w:after="0" w:line="132" w:lineRule="exact"/>
              <w:rPr>
                <w:sz w:val="20"/>
                <w:szCs w:val="20"/>
                <w:color w:val="auto"/>
              </w:rPr>
            </w:pPr>
            <w:r>
              <w:rPr>
                <w:rFonts w:ascii="Arial" w:cs="Arial" w:eastAsia="Arial" w:hAnsi="Arial"/>
                <w:sz w:val="12"/>
                <w:szCs w:val="12"/>
                <w:color w:val="auto"/>
                <w:w w:val="91"/>
              </w:rPr>
              <w:t>04)</w:t>
            </w:r>
          </w:p>
        </w:tc>
        <w:tc>
          <w:tcPr>
            <w:tcW w:w="1440" w:type="dxa"/>
            <w:vAlign w:val="bottom"/>
          </w:tcPr>
          <w:p>
            <w:pPr>
              <w:ind w:left="80"/>
              <w:spacing w:after="0" w:line="132" w:lineRule="exact"/>
              <w:rPr>
                <w:sz w:val="20"/>
                <w:szCs w:val="20"/>
                <w:color w:val="auto"/>
              </w:rPr>
            </w:pPr>
            <w:r>
              <w:rPr>
                <w:rFonts w:ascii="Arial" w:cs="Arial" w:eastAsia="Arial" w:hAnsi="Arial"/>
                <w:sz w:val="12"/>
                <w:szCs w:val="12"/>
                <w:color w:val="auto"/>
              </w:rPr>
              <w:t>Edward D. Breen</w:t>
            </w:r>
          </w:p>
        </w:tc>
        <w:tc>
          <w:tcPr>
            <w:tcW w:w="520" w:type="dxa"/>
            <w:vAlign w:val="bottom"/>
          </w:tcPr>
          <w:p>
            <w:pPr>
              <w:jc w:val="right"/>
              <w:ind w:right="18"/>
              <w:spacing w:after="0" w:line="132" w:lineRule="exact"/>
              <w:rPr>
                <w:sz w:val="20"/>
                <w:szCs w:val="20"/>
                <w:color w:val="auto"/>
              </w:rPr>
            </w:pPr>
            <w:r>
              <w:rPr>
                <w:rFonts w:ascii="Arial" w:cs="Arial" w:eastAsia="Arial" w:hAnsi="Arial"/>
                <w:sz w:val="12"/>
                <w:szCs w:val="12"/>
                <w:color w:val="auto"/>
              </w:rPr>
              <w:t>11)</w:t>
            </w:r>
          </w:p>
        </w:tc>
        <w:tc>
          <w:tcPr>
            <w:tcW w:w="1240" w:type="dxa"/>
            <w:vAlign w:val="bottom"/>
          </w:tcPr>
          <w:p>
            <w:pPr>
              <w:ind w:left="80"/>
              <w:spacing w:after="0" w:line="132" w:lineRule="exact"/>
              <w:rPr>
                <w:sz w:val="20"/>
                <w:szCs w:val="20"/>
                <w:color w:val="auto"/>
              </w:rPr>
            </w:pPr>
            <w:r>
              <w:rPr>
                <w:rFonts w:ascii="Arial" w:cs="Arial" w:eastAsia="Arial" w:hAnsi="Arial"/>
                <w:sz w:val="12"/>
                <w:szCs w:val="12"/>
                <w:color w:val="auto"/>
              </w:rPr>
              <w:t>Ralph J. Roberts</w:t>
            </w:r>
          </w:p>
        </w:tc>
      </w:tr>
      <w:tr>
        <w:trPr>
          <w:trHeight w:val="132"/>
        </w:trPr>
        <w:tc>
          <w:tcPr>
            <w:tcW w:w="280" w:type="dxa"/>
            <w:vAlign w:val="bottom"/>
          </w:tcPr>
          <w:p>
            <w:pPr>
              <w:jc w:val="right"/>
              <w:ind w:right="38"/>
              <w:spacing w:after="0" w:line="132" w:lineRule="exact"/>
              <w:rPr>
                <w:sz w:val="20"/>
                <w:szCs w:val="20"/>
                <w:color w:val="auto"/>
              </w:rPr>
            </w:pPr>
            <w:r>
              <w:rPr>
                <w:rFonts w:ascii="Arial" w:cs="Arial" w:eastAsia="Arial" w:hAnsi="Arial"/>
                <w:sz w:val="12"/>
                <w:szCs w:val="12"/>
                <w:color w:val="auto"/>
                <w:w w:val="91"/>
              </w:rPr>
              <w:t>05)</w:t>
            </w:r>
          </w:p>
        </w:tc>
        <w:tc>
          <w:tcPr>
            <w:tcW w:w="1440" w:type="dxa"/>
            <w:vAlign w:val="bottom"/>
          </w:tcPr>
          <w:p>
            <w:pPr>
              <w:ind w:left="80"/>
              <w:spacing w:after="0" w:line="132" w:lineRule="exact"/>
              <w:rPr>
                <w:sz w:val="20"/>
                <w:szCs w:val="20"/>
                <w:color w:val="auto"/>
              </w:rPr>
            </w:pPr>
            <w:r>
              <w:rPr>
                <w:rFonts w:ascii="Arial" w:cs="Arial" w:eastAsia="Arial" w:hAnsi="Arial"/>
                <w:sz w:val="12"/>
                <w:szCs w:val="12"/>
                <w:color w:val="auto"/>
              </w:rPr>
              <w:t>Julian A. Brodsky</w:t>
            </w:r>
          </w:p>
        </w:tc>
        <w:tc>
          <w:tcPr>
            <w:tcW w:w="520" w:type="dxa"/>
            <w:vAlign w:val="bottom"/>
          </w:tcPr>
          <w:p>
            <w:pPr>
              <w:jc w:val="right"/>
              <w:ind w:right="18"/>
              <w:spacing w:after="0" w:line="132" w:lineRule="exact"/>
              <w:rPr>
                <w:sz w:val="20"/>
                <w:szCs w:val="20"/>
                <w:color w:val="auto"/>
              </w:rPr>
            </w:pPr>
            <w:r>
              <w:rPr>
                <w:rFonts w:ascii="Arial" w:cs="Arial" w:eastAsia="Arial" w:hAnsi="Arial"/>
                <w:sz w:val="12"/>
                <w:szCs w:val="12"/>
                <w:color w:val="auto"/>
              </w:rPr>
              <w:t>12)</w:t>
            </w:r>
          </w:p>
        </w:tc>
        <w:tc>
          <w:tcPr>
            <w:tcW w:w="1240" w:type="dxa"/>
            <w:vAlign w:val="bottom"/>
          </w:tcPr>
          <w:p>
            <w:pPr>
              <w:ind w:left="80"/>
              <w:spacing w:after="0" w:line="132" w:lineRule="exact"/>
              <w:rPr>
                <w:sz w:val="20"/>
                <w:szCs w:val="20"/>
                <w:color w:val="auto"/>
              </w:rPr>
            </w:pPr>
            <w:r>
              <w:rPr>
                <w:rFonts w:ascii="Arial" w:cs="Arial" w:eastAsia="Arial" w:hAnsi="Arial"/>
                <w:sz w:val="12"/>
                <w:szCs w:val="12"/>
                <w:color w:val="auto"/>
              </w:rPr>
              <w:t>Dr. Judith Rodin</w:t>
            </w:r>
          </w:p>
        </w:tc>
      </w:tr>
      <w:tr>
        <w:trPr>
          <w:trHeight w:val="132"/>
        </w:trPr>
        <w:tc>
          <w:tcPr>
            <w:tcW w:w="280" w:type="dxa"/>
            <w:vAlign w:val="bottom"/>
          </w:tcPr>
          <w:p>
            <w:pPr>
              <w:jc w:val="right"/>
              <w:ind w:right="38"/>
              <w:spacing w:after="0" w:line="132" w:lineRule="exact"/>
              <w:rPr>
                <w:sz w:val="20"/>
                <w:szCs w:val="20"/>
                <w:color w:val="auto"/>
              </w:rPr>
            </w:pPr>
            <w:r>
              <w:rPr>
                <w:rFonts w:ascii="Arial" w:cs="Arial" w:eastAsia="Arial" w:hAnsi="Arial"/>
                <w:sz w:val="12"/>
                <w:szCs w:val="12"/>
                <w:color w:val="auto"/>
                <w:w w:val="91"/>
              </w:rPr>
              <w:t>06)</w:t>
            </w:r>
          </w:p>
        </w:tc>
        <w:tc>
          <w:tcPr>
            <w:tcW w:w="1440" w:type="dxa"/>
            <w:vAlign w:val="bottom"/>
          </w:tcPr>
          <w:p>
            <w:pPr>
              <w:ind w:left="80"/>
              <w:spacing w:after="0" w:line="132" w:lineRule="exact"/>
              <w:rPr>
                <w:sz w:val="20"/>
                <w:szCs w:val="20"/>
                <w:color w:val="auto"/>
              </w:rPr>
            </w:pPr>
            <w:r>
              <w:rPr>
                <w:rFonts w:ascii="Arial" w:cs="Arial" w:eastAsia="Arial" w:hAnsi="Arial"/>
                <w:sz w:val="12"/>
                <w:szCs w:val="12"/>
                <w:color w:val="auto"/>
              </w:rPr>
              <w:t>Joseph J. Collins</w:t>
            </w:r>
          </w:p>
        </w:tc>
        <w:tc>
          <w:tcPr>
            <w:tcW w:w="520" w:type="dxa"/>
            <w:vAlign w:val="bottom"/>
          </w:tcPr>
          <w:p>
            <w:pPr>
              <w:jc w:val="right"/>
              <w:ind w:right="18"/>
              <w:spacing w:after="0" w:line="132" w:lineRule="exact"/>
              <w:rPr>
                <w:sz w:val="20"/>
                <w:szCs w:val="20"/>
                <w:color w:val="auto"/>
              </w:rPr>
            </w:pPr>
            <w:r>
              <w:rPr>
                <w:rFonts w:ascii="Arial" w:cs="Arial" w:eastAsia="Arial" w:hAnsi="Arial"/>
                <w:sz w:val="12"/>
                <w:szCs w:val="12"/>
                <w:color w:val="auto"/>
              </w:rPr>
              <w:t>13)</w:t>
            </w:r>
          </w:p>
        </w:tc>
        <w:tc>
          <w:tcPr>
            <w:tcW w:w="1240" w:type="dxa"/>
            <w:vAlign w:val="bottom"/>
          </w:tcPr>
          <w:p>
            <w:pPr>
              <w:ind w:left="80"/>
              <w:spacing w:after="0" w:line="132" w:lineRule="exact"/>
              <w:rPr>
                <w:sz w:val="20"/>
                <w:szCs w:val="20"/>
                <w:color w:val="auto"/>
              </w:rPr>
            </w:pPr>
            <w:r>
              <w:rPr>
                <w:rFonts w:ascii="Arial" w:cs="Arial" w:eastAsia="Arial" w:hAnsi="Arial"/>
                <w:sz w:val="12"/>
                <w:szCs w:val="12"/>
                <w:color w:val="auto"/>
              </w:rPr>
              <w:t>Michael I. Sovern</w:t>
            </w:r>
          </w:p>
        </w:tc>
      </w:tr>
    </w:tbl>
    <w:p>
      <w:pPr>
        <w:ind w:left="980" w:hanging="351"/>
        <w:spacing w:after="0"/>
        <w:tabs>
          <w:tab w:leader="none" w:pos="980" w:val="left"/>
        </w:tabs>
        <w:numPr>
          <w:ilvl w:val="1"/>
          <w:numId w:val="8"/>
        </w:numPr>
        <w:rPr>
          <w:rFonts w:ascii="Arial" w:cs="Arial" w:eastAsia="Arial" w:hAnsi="Arial"/>
          <w:sz w:val="12"/>
          <w:szCs w:val="12"/>
          <w:color w:val="auto"/>
        </w:rPr>
      </w:pPr>
      <w:r>
        <w:rPr>
          <w:rFonts w:ascii="Arial" w:cs="Arial" w:eastAsia="Arial" w:hAnsi="Arial"/>
          <w:sz w:val="12"/>
          <w:szCs w:val="12"/>
          <w:color w:val="auto"/>
        </w:rPr>
        <w:t>J. Michael Cook</w:t>
      </w:r>
    </w:p>
    <w:p>
      <w:pPr>
        <w:spacing w:after="0" w:line="204" w:lineRule="exact"/>
        <w:rPr>
          <w:rFonts w:ascii="Arial" w:cs="Arial" w:eastAsia="Arial" w:hAnsi="Arial"/>
          <w:sz w:val="12"/>
          <w:szCs w:val="12"/>
          <w:color w:val="auto"/>
        </w:rPr>
      </w:pPr>
    </w:p>
    <w:p>
      <w:pPr>
        <w:ind w:left="600" w:hanging="366"/>
        <w:spacing w:after="0"/>
        <w:tabs>
          <w:tab w:leader="none" w:pos="600" w:val="left"/>
        </w:tabs>
        <w:numPr>
          <w:ilvl w:val="0"/>
          <w:numId w:val="9"/>
        </w:numPr>
        <w:rPr>
          <w:rFonts w:ascii="Arial" w:cs="Arial" w:eastAsia="Arial" w:hAnsi="Arial"/>
          <w:sz w:val="12"/>
          <w:szCs w:val="12"/>
          <w:color w:val="auto"/>
        </w:rPr>
      </w:pPr>
      <w:r>
        <w:rPr>
          <w:rFonts w:ascii="Arial" w:cs="Arial" w:eastAsia="Arial" w:hAnsi="Arial"/>
          <w:sz w:val="12"/>
          <w:szCs w:val="12"/>
          <w:color w:val="auto"/>
        </w:rPr>
        <w:t>Ratification of the appointment of independent auditors</w:t>
      </w:r>
    </w:p>
    <w:p>
      <w:pPr>
        <w:spacing w:after="0" w:line="152" w:lineRule="exact"/>
        <w:rPr>
          <w:rFonts w:ascii="Arial" w:cs="Arial" w:eastAsia="Arial" w:hAnsi="Arial"/>
          <w:sz w:val="12"/>
          <w:szCs w:val="12"/>
          <w:color w:val="auto"/>
        </w:rPr>
      </w:pPr>
    </w:p>
    <w:p>
      <w:pPr>
        <w:ind w:left="600" w:hanging="366"/>
        <w:spacing w:after="0"/>
        <w:tabs>
          <w:tab w:leader="none" w:pos="600" w:val="left"/>
        </w:tabs>
        <w:numPr>
          <w:ilvl w:val="0"/>
          <w:numId w:val="9"/>
        </w:numPr>
        <w:rPr>
          <w:rFonts w:ascii="Arial" w:cs="Arial" w:eastAsia="Arial" w:hAnsi="Arial"/>
          <w:sz w:val="12"/>
          <w:szCs w:val="12"/>
          <w:color w:val="auto"/>
        </w:rPr>
      </w:pPr>
      <w:r>
        <w:rPr>
          <w:rFonts w:ascii="Arial" w:cs="Arial" w:eastAsia="Arial" w:hAnsi="Arial"/>
          <w:sz w:val="12"/>
          <w:szCs w:val="12"/>
          <w:color w:val="auto"/>
        </w:rPr>
        <w:t>Approval of our 2006 Cash Bonus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M20444-P90314</w:t>
      </w:r>
    </w:p>
    <w:p>
      <w:pPr>
        <w:spacing w:after="0" w:line="20" w:lineRule="exact"/>
        <w:rPr>
          <w:sz w:val="20"/>
          <w:szCs w:val="20"/>
          <w:color w:val="auto"/>
        </w:rPr>
      </w:pPr>
      <w:r>
        <w:rPr>
          <w:sz w:val="20"/>
          <w:szCs w:val="20"/>
          <w:color w:val="auto"/>
        </w:rPr>
        <w:br w:type="column"/>
      </w:r>
    </w:p>
    <w:p>
      <w:pPr>
        <w:ind w:left="1563"/>
        <w:spacing w:after="0"/>
        <w:rPr>
          <w:sz w:val="20"/>
          <w:szCs w:val="20"/>
          <w:color w:val="auto"/>
        </w:rPr>
      </w:pPr>
      <w:r>
        <w:rPr>
          <w:rFonts w:ascii="Arial" w:cs="Arial" w:eastAsia="Arial" w:hAnsi="Arial"/>
          <w:sz w:val="14"/>
          <w:szCs w:val="14"/>
          <w:b w:val="1"/>
          <w:bCs w:val="1"/>
          <w:i w:val="1"/>
          <w:iCs w:val="1"/>
          <w:color w:val="auto"/>
        </w:rPr>
        <w:t>Comcast Corporation</w:t>
      </w:r>
    </w:p>
    <w:p>
      <w:pPr>
        <w:spacing w:after="0" w:line="92" w:lineRule="exact"/>
        <w:rPr>
          <w:sz w:val="20"/>
          <w:szCs w:val="20"/>
          <w:color w:val="auto"/>
        </w:rPr>
      </w:pPr>
    </w:p>
    <w:p>
      <w:pPr>
        <w:ind w:left="3" w:right="859"/>
        <w:spacing w:after="0" w:line="248" w:lineRule="auto"/>
        <w:rPr>
          <w:sz w:val="20"/>
          <w:szCs w:val="20"/>
          <w:color w:val="auto"/>
        </w:rPr>
      </w:pPr>
      <w:r>
        <w:rPr>
          <w:rFonts w:ascii="Arial" w:cs="Arial" w:eastAsia="Arial" w:hAnsi="Arial"/>
          <w:sz w:val="14"/>
          <w:szCs w:val="14"/>
          <w:color w:val="auto"/>
        </w:rPr>
        <w:t>Please do not submit this card. Please refer to the “How To Vote” section of this notice to view the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-163195</wp:posOffset>
            </wp:positionV>
            <wp:extent cx="360045" cy="3181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0045" cy="318135"/>
                    </a:xfrm>
                    <a:prstGeom prst="rect">
                      <a:avLst/>
                    </a:prstGeom>
                    <a:noFill/>
                  </pic:spPr>
                </pic:pic>
              </a:graphicData>
            </a:graphic>
          </wp:anchor>
        </w:drawing>
      </w:r>
    </w:p>
    <w:p>
      <w:pPr>
        <w:jc w:val="right"/>
        <w:ind w:left="63" w:right="1779"/>
        <w:spacing w:after="0" w:line="185" w:lineRule="auto"/>
        <w:rPr>
          <w:sz w:val="20"/>
          <w:szCs w:val="20"/>
          <w:color w:val="auto"/>
        </w:rPr>
      </w:pPr>
      <w:r>
        <w:rPr>
          <w:rFonts w:ascii="Arial" w:cs="Arial" w:eastAsia="Arial" w:hAnsi="Arial"/>
          <w:sz w:val="11"/>
          <w:szCs w:val="11"/>
          <w:b w:val="1"/>
          <w:bCs w:val="1"/>
          <w:color w:val="auto"/>
        </w:rPr>
        <w:t xml:space="preserve">Shareholder  Proposals  —  The  Board  of </w:t>
      </w:r>
      <w:r>
        <w:rPr>
          <w:rFonts w:ascii="Arial" w:cs="Arial" w:eastAsia="Arial" w:hAnsi="Arial"/>
          <w:sz w:val="18"/>
          <w:szCs w:val="18"/>
          <w:b w:val="1"/>
          <w:bCs w:val="1"/>
          <w:color w:val="FFFFFF"/>
        </w:rPr>
        <w:t xml:space="preserve">B </w:t>
      </w:r>
      <w:r>
        <w:rPr>
          <w:rFonts w:ascii="Arial" w:cs="Arial" w:eastAsia="Arial" w:hAnsi="Arial"/>
          <w:sz w:val="10"/>
          <w:szCs w:val="10"/>
          <w:b w:val="1"/>
          <w:bCs w:val="1"/>
          <w:color w:val="000000"/>
        </w:rPr>
        <w:t>Directors  recommends  a  vote  “AGAINST”</w:t>
      </w:r>
      <w:r>
        <w:rPr>
          <w:rFonts w:ascii="Arial" w:cs="Arial" w:eastAsia="Arial" w:hAnsi="Arial"/>
          <w:sz w:val="18"/>
          <w:szCs w:val="18"/>
          <w:b w:val="1"/>
          <w:bCs w:val="1"/>
          <w:color w:val="FFFFFF"/>
        </w:rPr>
        <w:t xml:space="preserve"> </w:t>
      </w:r>
      <w:r>
        <w:rPr>
          <w:rFonts w:ascii="Arial" w:cs="Arial" w:eastAsia="Arial" w:hAnsi="Arial"/>
          <w:sz w:val="10"/>
          <w:szCs w:val="10"/>
          <w:b w:val="1"/>
          <w:bCs w:val="1"/>
          <w:color w:val="000000"/>
        </w:rPr>
        <w:t>Proposals  4-6,  if  properly  presented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192405" cy="175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2405" cy="175895"/>
                    </a:xfrm>
                    <a:prstGeom prst="rect">
                      <a:avLst/>
                    </a:prstGeom>
                    <a:noFill/>
                  </pic:spPr>
                </pic:pic>
              </a:graphicData>
            </a:graphic>
          </wp:anchor>
        </w:drawing>
      </w:r>
    </w:p>
    <w:p>
      <w:pPr>
        <w:ind w:left="343"/>
        <w:spacing w:after="0"/>
        <w:rPr>
          <w:sz w:val="20"/>
          <w:szCs w:val="20"/>
          <w:color w:val="auto"/>
        </w:rPr>
      </w:pPr>
      <w:r>
        <w:rPr>
          <w:rFonts w:ascii="Arial" w:cs="Arial" w:eastAsia="Arial" w:hAnsi="Arial"/>
          <w:sz w:val="12"/>
          <w:szCs w:val="12"/>
          <w:b w:val="1"/>
          <w:bCs w:val="1"/>
          <w:color w:val="auto"/>
        </w:rPr>
        <w:t>annual meeting.</w:t>
      </w:r>
    </w:p>
    <w:p>
      <w:pPr>
        <w:spacing w:after="0" w:line="126" w:lineRule="exact"/>
        <w:rPr>
          <w:sz w:val="20"/>
          <w:szCs w:val="20"/>
          <w:color w:val="auto"/>
        </w:rPr>
      </w:pPr>
    </w:p>
    <w:p>
      <w:pPr>
        <w:ind w:left="363" w:right="1779" w:hanging="363"/>
        <w:spacing w:after="0" w:line="245" w:lineRule="auto"/>
        <w:tabs>
          <w:tab w:leader="none" w:pos="363" w:val="left"/>
        </w:tabs>
        <w:numPr>
          <w:ilvl w:val="0"/>
          <w:numId w:val="10"/>
        </w:numPr>
        <w:rPr>
          <w:rFonts w:ascii="Arial" w:cs="Arial" w:eastAsia="Arial" w:hAnsi="Arial"/>
          <w:sz w:val="12"/>
          <w:szCs w:val="12"/>
          <w:color w:val="auto"/>
        </w:rPr>
      </w:pPr>
      <w:r>
        <w:rPr>
          <w:rFonts w:ascii="Arial" w:cs="Arial" w:eastAsia="Arial" w:hAnsi="Arial"/>
          <w:sz w:val="12"/>
          <w:szCs w:val="12"/>
          <w:color w:val="auto"/>
        </w:rPr>
        <w:t>To provide for cumulative voting in the election of directors</w:t>
      </w:r>
    </w:p>
    <w:p>
      <w:pPr>
        <w:spacing w:after="0" w:line="140" w:lineRule="exact"/>
        <w:rPr>
          <w:rFonts w:ascii="Arial" w:cs="Arial" w:eastAsia="Arial" w:hAnsi="Arial"/>
          <w:sz w:val="12"/>
          <w:szCs w:val="12"/>
          <w:color w:val="auto"/>
        </w:rPr>
      </w:pPr>
    </w:p>
    <w:p>
      <w:pPr>
        <w:ind w:left="363" w:right="1779" w:hanging="363"/>
        <w:spacing w:after="0" w:line="245" w:lineRule="auto"/>
        <w:tabs>
          <w:tab w:leader="none" w:pos="363" w:val="left"/>
        </w:tabs>
        <w:numPr>
          <w:ilvl w:val="0"/>
          <w:numId w:val="10"/>
        </w:numPr>
        <w:rPr>
          <w:rFonts w:ascii="Arial" w:cs="Arial" w:eastAsia="Arial" w:hAnsi="Arial"/>
          <w:sz w:val="12"/>
          <w:szCs w:val="12"/>
          <w:color w:val="auto"/>
        </w:rPr>
      </w:pPr>
      <w:r>
        <w:rPr>
          <w:rFonts w:ascii="Arial" w:cs="Arial" w:eastAsia="Arial" w:hAnsi="Arial"/>
          <w:sz w:val="12"/>
          <w:szCs w:val="12"/>
          <w:color w:val="auto"/>
        </w:rPr>
        <w:t>To adopt and disclose a succession planning policy and issue annual reports on succession plan</w:t>
      </w:r>
    </w:p>
    <w:p>
      <w:pPr>
        <w:spacing w:after="0" w:line="140" w:lineRule="exact"/>
        <w:rPr>
          <w:rFonts w:ascii="Arial" w:cs="Arial" w:eastAsia="Arial" w:hAnsi="Arial"/>
          <w:sz w:val="12"/>
          <w:szCs w:val="12"/>
          <w:color w:val="auto"/>
        </w:rPr>
      </w:pPr>
    </w:p>
    <w:p>
      <w:pPr>
        <w:ind w:left="363" w:right="1779" w:hanging="363"/>
        <w:spacing w:after="0" w:line="245" w:lineRule="auto"/>
        <w:tabs>
          <w:tab w:leader="none" w:pos="363" w:val="left"/>
        </w:tabs>
        <w:numPr>
          <w:ilvl w:val="0"/>
          <w:numId w:val="10"/>
        </w:numPr>
        <w:rPr>
          <w:rFonts w:ascii="Arial" w:cs="Arial" w:eastAsia="Arial" w:hAnsi="Arial"/>
          <w:sz w:val="12"/>
          <w:szCs w:val="12"/>
          <w:color w:val="auto"/>
        </w:rPr>
      </w:pPr>
      <w:r>
        <w:rPr>
          <w:rFonts w:ascii="Arial" w:cs="Arial" w:eastAsia="Arial" w:hAnsi="Arial"/>
          <w:sz w:val="12"/>
          <w:szCs w:val="12"/>
          <w:color w:val="auto"/>
        </w:rPr>
        <w:t>To require that the Chairman of the Board not be a current or former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1304290</wp:posOffset>
            </wp:positionV>
            <wp:extent cx="725424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2">
            <w:col w:w="4537" w:space="720"/>
            <w:col w:w="4962"/>
          </w:cols>
          <w:pgMar w:left="240" w:top="919"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373380</wp:posOffset>
            </wp:positionH>
            <wp:positionV relativeFrom="page">
              <wp:posOffset>2868295</wp:posOffset>
            </wp:positionV>
            <wp:extent cx="68148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14820" cy="25400"/>
                    </a:xfrm>
                    <a:prstGeom prst="rect">
                      <a:avLst/>
                    </a:prstGeom>
                    <a:noFill/>
                  </pic:spPr>
                </pic:pic>
              </a:graphicData>
            </a:graphic>
          </wp:anchor>
        </w:drawing>
        <w:drawing>
          <wp:anchor simplePos="0" relativeHeight="251657728" behindDoc="1" locked="0" layoutInCell="0" allowOverlap="1">
            <wp:simplePos x="0" y="0"/>
            <wp:positionH relativeFrom="page">
              <wp:posOffset>373380</wp:posOffset>
            </wp:positionH>
            <wp:positionV relativeFrom="page">
              <wp:posOffset>2901950</wp:posOffset>
            </wp:positionV>
            <wp:extent cx="68148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auto"/>
        </w:rPr>
        <w:t>M20445-P90314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o"/>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o"/>
      <w:numFmt w:val="bullet"/>
      <w:start w:val="1"/>
    </w:lvl>
    <w:lvl w:ilvl="1">
      <w:lvlJc w:val="left"/>
      <w:lvlText w:val="(%2)"/>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lvl>
    <w:lvl w:ilvl="1">
      <w:lvlJc w:val="left"/>
      <w:lvlText w:val="A"/>
      <w:numFmt w:val="bullet"/>
      <w:start w:val="1"/>
    </w:lvl>
  </w:abstractNum>
  <w:abstractNum w:abstractNumId="7">
    <w:nsid w:val="5BD062C2"/>
    <w:multiLevelType w:val="hybridMultilevel"/>
    <w:lvl w:ilvl="0">
      <w:lvlJc w:val="left"/>
      <w:lvlText w:val="%1"/>
      <w:numFmt w:val="decimal"/>
      <w:start w:val="1"/>
    </w:lvl>
    <w:lvl w:ilvl="1">
      <w:lvlJc w:val="left"/>
      <w:lvlText w:val="%2)"/>
      <w:numFmt w:val="decimal"/>
      <w:start w:val="7"/>
    </w:lvl>
  </w:abstractNum>
  <w:abstractNum w:abstractNumId="8">
    <w:nsid w:val="12200854"/>
    <w:multiLevelType w:val="hybridMultilevel"/>
    <w:lvl w:ilvl="0">
      <w:lvlJc w:val="left"/>
      <w:lvlText w:val="%1."/>
      <w:numFmt w:val="decimal"/>
      <w:start w:val="2"/>
    </w:lvl>
    <w:lvl w:ilvl="1">
      <w:lvlJc w:val="left"/>
      <w:lvlText w:val="%2"/>
      <w:numFmt w:val="decimal"/>
      <w:start w:val="1"/>
    </w:lvl>
  </w:abstractNum>
  <w:abstractNum w:abstractNumId="9">
    <w:nsid w:val="4DB127F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2019-12-10T20:58:23Z</dcterms:created>
  <dcterms:modified xsi:type="dcterms:W3CDTF">2019-12-10T20:58:23Z</dcterms:modified>
</cp:coreProperties>
</file>