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Pursuant to Section 13 or 15(d) of</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The Securities Exchange Act of 1934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June 11, 2020</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(State or other jurisdiction of incorporation)</w:t>
      </w:r>
    </w:p>
    <w:p>
      <w:pPr>
        <w:sectPr>
          <w:pgSz w:w="11900" w:h="16838" w:orient="portrait"/>
          <w:cols w:equalWidth="0" w:num="1">
            <w:col w:w="11240"/>
          </w:cols>
          <w:pgMar w:left="320" w:top="792" w:right="339" w:bottom="576" w:gutter="0" w:footer="0" w:header="0"/>
        </w:sectPr>
      </w:pPr>
    </w:p>
    <w:p>
      <w:pPr>
        <w:spacing w:after="0" w:line="9" w:lineRule="exact"/>
        <w:rPr>
          <w:sz w:val="24"/>
          <w:szCs w:val="24"/>
          <w:color w:val="auto"/>
        </w:rPr>
      </w:pPr>
    </w:p>
    <w:p>
      <w:pPr>
        <w:jc w:val="center"/>
        <w:ind w:right="3640"/>
        <w:spacing w:after="0"/>
        <w:rPr>
          <w:sz w:val="20"/>
          <w:szCs w:val="20"/>
          <w:color w:val="auto"/>
        </w:rPr>
      </w:pPr>
      <w:r>
        <w:rPr>
          <w:rFonts w:ascii="Arial" w:cs="Arial" w:eastAsia="Arial" w:hAnsi="Arial"/>
          <w:sz w:val="18"/>
          <w:szCs w:val="18"/>
          <w:b w:val="1"/>
          <w:bCs w:val="1"/>
          <w:color w:val="auto"/>
        </w:rPr>
        <w:t>001-32871</w:t>
      </w:r>
    </w:p>
    <w:p>
      <w:pPr>
        <w:spacing w:after="0" w:line="9" w:lineRule="exact"/>
        <w:rPr>
          <w:sz w:val="24"/>
          <w:szCs w:val="24"/>
          <w:color w:val="auto"/>
        </w:rPr>
      </w:pPr>
    </w:p>
    <w:p>
      <w:pPr>
        <w:jc w:val="center"/>
        <w:ind w:right="36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540"/>
        <w:spacing w:after="0"/>
        <w:rPr>
          <w:sz w:val="20"/>
          <w:szCs w:val="20"/>
          <w:color w:val="auto"/>
        </w:rPr>
      </w:pPr>
      <w:r>
        <w:rPr>
          <w:rFonts w:ascii="Arial" w:cs="Arial" w:eastAsia="Arial" w:hAnsi="Arial"/>
          <w:sz w:val="18"/>
          <w:szCs w:val="18"/>
          <w:b w:val="1"/>
          <w:bCs w:val="1"/>
          <w:color w:val="auto"/>
        </w:rPr>
        <w:t>27-0000798</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7360" w:space="720"/>
            <w:col w:w="3160"/>
          </w:cols>
          <w:pgMar w:left="320" w:top="792" w:right="339" w:bottom="576" w:gutter="0" w:footer="0" w:header="0"/>
          <w:type w:val="continuous"/>
        </w:sectPr>
      </w:pPr>
    </w:p>
    <w:p>
      <w:pPr>
        <w:spacing w:after="0" w:line="57" w:lineRule="exact"/>
        <w:rPr>
          <w:sz w:val="24"/>
          <w:szCs w:val="24"/>
          <w:color w:val="auto"/>
        </w:rPr>
      </w:pPr>
    </w:p>
    <w:p>
      <w:pPr>
        <w:jc w:val="center"/>
        <w:ind w:right="4520"/>
        <w:spacing w:after="0"/>
        <w:rPr>
          <w:sz w:val="20"/>
          <w:szCs w:val="20"/>
          <w:color w:val="auto"/>
        </w:rPr>
      </w:pPr>
      <w:r>
        <w:rPr>
          <w:rFonts w:ascii="Arial" w:cs="Arial" w:eastAsia="Arial" w:hAnsi="Arial"/>
          <w:sz w:val="18"/>
          <w:szCs w:val="18"/>
          <w:b w:val="1"/>
          <w:bCs w:val="1"/>
          <w:color w:val="auto"/>
        </w:rPr>
        <w:t>One Comcast Center</w:t>
      </w:r>
    </w:p>
    <w:p>
      <w:pPr>
        <w:spacing w:after="0" w:line="27" w:lineRule="exact"/>
        <w:rPr>
          <w:sz w:val="24"/>
          <w:szCs w:val="24"/>
          <w:color w:val="auto"/>
        </w:rPr>
      </w:pPr>
    </w:p>
    <w:p>
      <w:pPr>
        <w:jc w:val="center"/>
        <w:ind w:right="4520"/>
        <w:spacing w:after="0"/>
        <w:rPr>
          <w:sz w:val="20"/>
          <w:szCs w:val="20"/>
          <w:color w:val="auto"/>
        </w:rPr>
      </w:pPr>
      <w:r>
        <w:rPr>
          <w:rFonts w:ascii="Arial" w:cs="Arial" w:eastAsia="Arial" w:hAnsi="Arial"/>
          <w:sz w:val="18"/>
          <w:szCs w:val="18"/>
          <w:b w:val="1"/>
          <w:bCs w:val="1"/>
          <w:color w:val="auto"/>
        </w:rPr>
        <w:t>Philadelphia, PA</w:t>
      </w:r>
    </w:p>
    <w:p>
      <w:pPr>
        <w:spacing w:after="0" w:line="9" w:lineRule="exact"/>
        <w:rPr>
          <w:sz w:val="24"/>
          <w:szCs w:val="24"/>
          <w:color w:val="auto"/>
        </w:rPr>
      </w:pPr>
    </w:p>
    <w:p>
      <w:pPr>
        <w:jc w:val="center"/>
        <w:ind w:right="452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19103-2838</w:t>
      </w:r>
    </w:p>
    <w:p>
      <w:pPr>
        <w:spacing w:after="0" w:line="50"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8240" w:space="720"/>
            <w:col w:w="2280"/>
          </w:cols>
          <w:pgMar w:left="320" w:top="792" w:right="339" w:bottom="576"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238"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509" w:lineRule="auto"/>
        <w:tabs>
          <w:tab w:leader="none" w:pos="6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7"/>
        </w:trPr>
        <w:tc>
          <w:tcPr>
            <w:tcW w:w="4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7"/>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$0.01 par value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CMCSA</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0.250% Notes due 2027</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CMCS27</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1.500% Notes due 2029</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CMCS29</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0.750% Notes due 2032</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CMCS32</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1.875% Notes due 2036</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CMCS36</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1.250% Notes due 2040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CMCS40</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9.455% Guaranteed Notes due 2022</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CMCSA/22</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5.50% Notes due 2029</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CCGBP29</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 Exchangeable Subordinated Debentures due 2029</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CCZ</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561975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576"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212529"/>
        </w:rPr>
        <w:t>On June 11, 2020, Comcast Corporation (“Comcast”) announced that it has commenced a cash tender offer to purchase any and all of its outstanding Floating Rate Notes due 2021 (CUSIP No.: 20030NCW9) (the “Comcast Offer”) and NBCUniversal Enterprise, Inc., a subsidiary of Comcast, has commenced a cash tender offer to purchase any and all of its outstanding Senior Floating Rate Notes due 2021 (CUSIP No.: 63946CAG3) (the “NBCU Enterprise Offer” and, together with the Comcast Offer, the “Offers”).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212529"/>
        </w:rPr>
        <w:t>A copy of the press release is attached as Exhibit 99.1 hereto and is incorporated herein by reference.</w:t>
      </w:r>
    </w:p>
    <w:p>
      <w:pPr>
        <w:spacing w:after="0" w:line="225"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212529"/>
        </w:rPr>
        <w:t>This Current Report on Form 8-K is neither an offer to sell nor a solicitation of offers to buy any securities. The Offers are being made only pursuant to the Offer to Purchase, the related Letter of Transmittal and the related Notice of Guaranteed Delivery. The Offers are not being made to holders of securities in any jurisdiction in which the making or acceptance thereof would not be in compliance with the securities, blue sky or other laws of such jurisdiction.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34"/>
        </w:trPr>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Number</w:t>
            </w:r>
          </w:p>
        </w:tc>
        <w:tc>
          <w:tcPr>
            <w:tcW w:w="460" w:type="dxa"/>
            <w:vAlign w:val="bottom"/>
          </w:tcPr>
          <w:p>
            <w:pPr>
              <w:spacing w:after="0"/>
              <w:rPr>
                <w:sz w:val="20"/>
                <w:szCs w:val="20"/>
                <w:color w:val="auto"/>
              </w:rPr>
            </w:pPr>
          </w:p>
        </w:tc>
        <w:tc>
          <w:tcPr>
            <w:tcW w:w="10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19"/>
                <w:szCs w:val="19"/>
                <w:color w:val="auto"/>
              </w:rPr>
            </w:pPr>
          </w:p>
        </w:tc>
        <w:tc>
          <w:tcPr>
            <w:tcW w:w="10100" w:type="dxa"/>
            <w:vAlign w:val="bottom"/>
          </w:tcPr>
          <w:p>
            <w:pPr>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Comcast press release dated June 11, 2020 announcing the commencement of the Offers</w:t>
              </w:r>
              <w:r>
                <w:rPr>
                  <w:rFonts w:ascii="Arial" w:cs="Arial" w:eastAsia="Arial" w:hAnsi="Arial"/>
                  <w:sz w:val="18"/>
                  <w:szCs w:val="18"/>
                  <w:color w:val="0000FF"/>
                </w:rPr>
                <w:t>.</w:t>
              </w:r>
            </w:hyperlink>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26"/>
        </w:trPr>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3600" w:type="dxa"/>
            <w:vAlign w:val="bottom"/>
          </w:tcPr>
          <w:p>
            <w:pPr>
              <w:spacing w:after="0"/>
              <w:rPr>
                <w:sz w:val="20"/>
                <w:szCs w:val="20"/>
                <w:color w:val="auto"/>
              </w:rPr>
            </w:pPr>
            <w:r>
              <w:rPr>
                <w:rFonts w:ascii="Arial" w:cs="Arial" w:eastAsia="Arial" w:hAnsi="Arial"/>
                <w:sz w:val="18"/>
                <w:szCs w:val="18"/>
                <w:color w:val="auto"/>
              </w:rPr>
              <w:t>Date:  June 11, 2020</w:t>
            </w:r>
          </w:p>
        </w:tc>
        <w:tc>
          <w:tcPr>
            <w:tcW w:w="7640" w:type="dxa"/>
            <w:vAlign w:val="bottom"/>
            <w:gridSpan w:val="2"/>
          </w:tcPr>
          <w:p>
            <w:pPr>
              <w:ind w:left="2040"/>
              <w:spacing w:after="0"/>
              <w:rPr>
                <w:sz w:val="20"/>
                <w:szCs w:val="20"/>
                <w:color w:val="auto"/>
              </w:rPr>
            </w:pPr>
            <w:r>
              <w:rPr>
                <w:rFonts w:ascii="Arial" w:cs="Arial" w:eastAsia="Arial" w:hAnsi="Arial"/>
                <w:sz w:val="18"/>
                <w:szCs w:val="18"/>
                <w:color w:val="auto"/>
              </w:rPr>
              <w:t>By:  /s/ Elizabeth Wideman</w:t>
            </w:r>
          </w:p>
        </w:tc>
      </w:tr>
      <w:tr>
        <w:trPr>
          <w:trHeight w:val="195"/>
        </w:trPr>
        <w:tc>
          <w:tcPr>
            <w:tcW w:w="36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Elizabeth Wideman</w:t>
            </w:r>
          </w:p>
        </w:tc>
      </w:tr>
      <w:tr>
        <w:trPr>
          <w:trHeight w:val="216"/>
        </w:trPr>
        <w:tc>
          <w:tcPr>
            <w:tcW w:w="36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4"/>
              </w:rPr>
              <w:t>Title:  Vice President, Senior Deputy General Counsel and Assistant</w:t>
            </w:r>
          </w:p>
        </w:tc>
      </w:tr>
      <w:tr>
        <w:trPr>
          <w:trHeight w:val="230"/>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60" w:type="dxa"/>
            <w:vAlign w:val="bottom"/>
          </w:tcPr>
          <w:p>
            <w:pPr>
              <w:ind w:left="560"/>
              <w:spacing w:after="0"/>
              <w:rPr>
                <w:sz w:val="20"/>
                <w:szCs w:val="20"/>
                <w:color w:val="auto"/>
              </w:rPr>
            </w:pPr>
            <w:r>
              <w:rPr>
                <w:rFonts w:ascii="Arial" w:cs="Arial" w:eastAsia="Arial" w:hAnsi="Arial"/>
                <w:sz w:val="18"/>
                <w:szCs w:val="18"/>
                <w:color w:val="auto"/>
              </w:rPr>
              <w:t>Secretary</w:t>
            </w:r>
          </w:p>
        </w:tc>
      </w:tr>
      <w:tr>
        <w:trPr>
          <w:trHeight w:val="311"/>
        </w:trPr>
        <w:tc>
          <w:tcPr>
            <w:tcW w:w="36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171450</wp:posOffset>
            </wp:positionV>
            <wp:extent cx="1414145" cy="51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14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Comcast Corporation and NBCUniversal Enterprise, Inc. Commence Offers to Purchase Certain of their Outstanding Senior Debt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June 11, 2020 7:49 AM Eastern Daylight Time</w:t>
      </w:r>
    </w:p>
    <w:p>
      <w:pPr>
        <w:spacing w:after="0" w:line="221"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PHILADELPHIA, Pennsylvania.--(BUSINESS WIRE)—Comcast Corporation (“</w:t>
      </w:r>
      <w:r>
        <w:rPr>
          <w:rFonts w:ascii="Arial" w:cs="Arial" w:eastAsia="Arial" w:hAnsi="Arial"/>
          <w:sz w:val="17"/>
          <w:szCs w:val="17"/>
          <w:b w:val="1"/>
          <w:bCs w:val="1"/>
          <w:color w:val="auto"/>
        </w:rPr>
        <w:t>Comcast</w:t>
      </w:r>
      <w:r>
        <w:rPr>
          <w:rFonts w:ascii="Arial" w:cs="Arial" w:eastAsia="Arial" w:hAnsi="Arial"/>
          <w:sz w:val="17"/>
          <w:szCs w:val="17"/>
          <w:color w:val="auto"/>
        </w:rPr>
        <w:t>”) today announced that it has commenced a cash tender offer to purchase any and all of its outstanding Floating Rate Notes due 2021 (the “</w:t>
      </w:r>
      <w:r>
        <w:rPr>
          <w:rFonts w:ascii="Arial" w:cs="Arial" w:eastAsia="Arial" w:hAnsi="Arial"/>
          <w:sz w:val="17"/>
          <w:szCs w:val="17"/>
          <w:b w:val="1"/>
          <w:bCs w:val="1"/>
          <w:color w:val="auto"/>
        </w:rPr>
        <w:t>Comcast Notes</w:t>
      </w:r>
      <w:r>
        <w:rPr>
          <w:rFonts w:ascii="Arial" w:cs="Arial" w:eastAsia="Arial" w:hAnsi="Arial"/>
          <w:sz w:val="17"/>
          <w:szCs w:val="17"/>
          <w:color w:val="auto"/>
        </w:rPr>
        <w:t>”) and NBCUniversal Enterprise, Inc., a subsidiary of Comcast (“</w:t>
      </w:r>
      <w:r>
        <w:rPr>
          <w:rFonts w:ascii="Arial" w:cs="Arial" w:eastAsia="Arial" w:hAnsi="Arial"/>
          <w:sz w:val="17"/>
          <w:szCs w:val="17"/>
          <w:b w:val="1"/>
          <w:bCs w:val="1"/>
          <w:color w:val="auto"/>
        </w:rPr>
        <w:t>NBCU Enterprise</w:t>
      </w:r>
      <w:r>
        <w:rPr>
          <w:rFonts w:ascii="Arial" w:cs="Arial" w:eastAsia="Arial" w:hAnsi="Arial"/>
          <w:sz w:val="17"/>
          <w:szCs w:val="17"/>
          <w:color w:val="auto"/>
        </w:rPr>
        <w:t>” and, together with Comcast, the “</w:t>
      </w:r>
      <w:r>
        <w:rPr>
          <w:rFonts w:ascii="Arial" w:cs="Arial" w:eastAsia="Arial" w:hAnsi="Arial"/>
          <w:sz w:val="17"/>
          <w:szCs w:val="17"/>
          <w:b w:val="1"/>
          <w:bCs w:val="1"/>
          <w:color w:val="auto"/>
        </w:rPr>
        <w:t>Issuers</w:t>
      </w:r>
      <w:r>
        <w:rPr>
          <w:rFonts w:ascii="Arial" w:cs="Arial" w:eastAsia="Arial" w:hAnsi="Arial"/>
          <w:sz w:val="17"/>
          <w:szCs w:val="17"/>
          <w:color w:val="auto"/>
        </w:rPr>
        <w:t>”) has commenced a cash tender offer to purchase any and all of its outstanding Senior Floating Rate Notes due 2021 (the “</w:t>
      </w:r>
      <w:r>
        <w:rPr>
          <w:rFonts w:ascii="Arial" w:cs="Arial" w:eastAsia="Arial" w:hAnsi="Arial"/>
          <w:sz w:val="17"/>
          <w:szCs w:val="17"/>
          <w:b w:val="1"/>
          <w:bCs w:val="1"/>
          <w:color w:val="auto"/>
        </w:rPr>
        <w:t>NBCU Enterprise Notes</w:t>
      </w:r>
      <w:r>
        <w:rPr>
          <w:rFonts w:ascii="Arial" w:cs="Arial" w:eastAsia="Arial" w:hAnsi="Arial"/>
          <w:sz w:val="17"/>
          <w:szCs w:val="17"/>
          <w:color w:val="auto"/>
        </w:rPr>
        <w:t>” and, together with the Comcast Notes, the “</w:t>
      </w:r>
      <w:r>
        <w:rPr>
          <w:rFonts w:ascii="Arial" w:cs="Arial" w:eastAsia="Arial" w:hAnsi="Arial"/>
          <w:sz w:val="17"/>
          <w:szCs w:val="17"/>
          <w:b w:val="1"/>
          <w:bCs w:val="1"/>
          <w:color w:val="auto"/>
        </w:rPr>
        <w:t>Notes</w:t>
      </w:r>
      <w:r>
        <w:rPr>
          <w:rFonts w:ascii="Arial" w:cs="Arial" w:eastAsia="Arial" w:hAnsi="Arial"/>
          <w:sz w:val="17"/>
          <w:szCs w:val="17"/>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The purchase price for each $1,000 principal amount of each Note validly tendered and accepted for purchase pursuant to the tender offers (the</w:t>
      </w:r>
    </w:p>
    <w:p>
      <w:pPr>
        <w:spacing w:after="0" w:line="35" w:lineRule="exact"/>
        <w:rPr>
          <w:sz w:val="20"/>
          <w:szCs w:val="20"/>
          <w:color w:val="auto"/>
        </w:rPr>
      </w:pPr>
    </w:p>
    <w:p>
      <w:pPr>
        <w:ind w:right="320"/>
        <w:spacing w:after="0" w:line="29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Consideration</w:t>
      </w:r>
      <w:r>
        <w:rPr>
          <w:rFonts w:ascii="Arial" w:cs="Arial" w:eastAsia="Arial" w:hAnsi="Arial"/>
          <w:sz w:val="17"/>
          <w:szCs w:val="17"/>
          <w:color w:val="auto"/>
        </w:rPr>
        <w:t>”) is set forth in the below table. All holders whose Notes are accepted for purchase will also receive accrued and unpaid interest on the purchased Notes from the last interest payment date for such Notes up to, but excluding, the Settlement Date (as defined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Aggregate Principal</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Consideration</w:t>
            </w:r>
            <w:r>
              <w:rPr>
                <w:rFonts w:ascii="Arial" w:cs="Arial" w:eastAsia="Arial" w:hAnsi="Arial"/>
                <w:sz w:val="29"/>
                <w:szCs w:val="29"/>
                <w:b w:val="1"/>
                <w:bCs w:val="1"/>
                <w:color w:val="auto"/>
                <w:w w:val="88"/>
                <w:vertAlign w:val="superscript"/>
              </w:rPr>
              <w:t>(1)</w:t>
            </w:r>
          </w:p>
        </w:tc>
        <w:tc>
          <w:tcPr>
            <w:tcW w:w="0" w:type="dxa"/>
            <w:vAlign w:val="bottom"/>
          </w:tcPr>
          <w:p>
            <w:pPr>
              <w:spacing w:after="0"/>
              <w:rPr>
                <w:sz w:val="1"/>
                <w:szCs w:val="1"/>
                <w:color w:val="auto"/>
              </w:rPr>
            </w:pPr>
          </w:p>
        </w:tc>
      </w:tr>
      <w:tr>
        <w:trPr>
          <w:trHeight w:val="234"/>
        </w:trPr>
        <w:tc>
          <w:tcPr>
            <w:tcW w:w="23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Title of Security</w:t>
            </w:r>
          </w:p>
        </w:tc>
        <w:tc>
          <w:tcPr>
            <w:tcW w:w="120" w:type="dxa"/>
            <w:vAlign w:val="bottom"/>
          </w:tcPr>
          <w:p>
            <w:pPr>
              <w:spacing w:after="0"/>
              <w:rPr>
                <w:sz w:val="20"/>
                <w:szCs w:val="20"/>
                <w:color w:val="auto"/>
              </w:rPr>
            </w:pPr>
          </w:p>
        </w:tc>
        <w:tc>
          <w:tcPr>
            <w:tcW w:w="146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CUSIP</w:t>
            </w:r>
          </w:p>
        </w:tc>
        <w:tc>
          <w:tcPr>
            <w:tcW w:w="12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Outstanding</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Interest Rate</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100" w:type="dxa"/>
            <w:vAlign w:val="bottom"/>
          </w:tcPr>
          <w:p>
            <w:pPr>
              <w:spacing w:after="0"/>
              <w:rPr>
                <w:sz w:val="20"/>
                <w:szCs w:val="20"/>
                <w:color w:val="auto"/>
              </w:rPr>
            </w:pPr>
          </w:p>
        </w:tc>
        <w:tc>
          <w:tcPr>
            <w:tcW w:w="1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380" w:type="dxa"/>
            <w:vAlign w:val="bottom"/>
          </w:tcPr>
          <w:p>
            <w:pPr>
              <w:spacing w:after="0" w:line="195" w:lineRule="exact"/>
              <w:rPr>
                <w:sz w:val="20"/>
                <w:szCs w:val="20"/>
                <w:color w:val="auto"/>
              </w:rPr>
            </w:pPr>
            <w:r>
              <w:rPr>
                <w:rFonts w:ascii="Arial" w:cs="Arial" w:eastAsia="Arial" w:hAnsi="Arial"/>
                <w:sz w:val="18"/>
                <w:szCs w:val="18"/>
                <w:color w:val="auto"/>
                <w:w w:val="98"/>
              </w:rPr>
              <w:t>Floating Rate Notes due 2021</w:t>
            </w:r>
          </w:p>
        </w:tc>
        <w:tc>
          <w:tcPr>
            <w:tcW w:w="120" w:type="dxa"/>
            <w:vAlign w:val="bottom"/>
          </w:tcPr>
          <w:p>
            <w:pPr>
              <w:spacing w:after="0"/>
              <w:rPr>
                <w:sz w:val="16"/>
                <w:szCs w:val="16"/>
                <w:color w:val="auto"/>
              </w:rPr>
            </w:pPr>
          </w:p>
        </w:tc>
        <w:tc>
          <w:tcPr>
            <w:tcW w:w="1460" w:type="dxa"/>
            <w:vAlign w:val="bottom"/>
          </w:tcPr>
          <w:p>
            <w:pPr>
              <w:jc w:val="center"/>
              <w:spacing w:after="0" w:line="195" w:lineRule="exact"/>
              <w:rPr>
                <w:sz w:val="20"/>
                <w:szCs w:val="20"/>
                <w:color w:val="auto"/>
              </w:rPr>
            </w:pPr>
            <w:r>
              <w:rPr>
                <w:rFonts w:ascii="Arial" w:cs="Arial" w:eastAsia="Arial" w:hAnsi="Arial"/>
                <w:sz w:val="18"/>
                <w:szCs w:val="18"/>
                <w:color w:val="auto"/>
                <w:w w:val="93"/>
              </w:rPr>
              <w:t>20030NCW9</w:t>
            </w:r>
          </w:p>
        </w:tc>
        <w:tc>
          <w:tcPr>
            <w:tcW w:w="120" w:type="dxa"/>
            <w:vAlign w:val="bottom"/>
          </w:tcPr>
          <w:p>
            <w:pPr>
              <w:spacing w:after="0"/>
              <w:rPr>
                <w:sz w:val="16"/>
                <w:szCs w:val="16"/>
                <w:color w:val="auto"/>
              </w:rPr>
            </w:pPr>
          </w:p>
        </w:tc>
        <w:tc>
          <w:tcPr>
            <w:tcW w:w="1800" w:type="dxa"/>
            <w:vAlign w:val="bottom"/>
          </w:tcPr>
          <w:p>
            <w:pPr>
              <w:jc w:val="center"/>
              <w:spacing w:after="0" w:line="195" w:lineRule="exact"/>
              <w:rPr>
                <w:sz w:val="20"/>
                <w:szCs w:val="20"/>
                <w:color w:val="auto"/>
              </w:rPr>
            </w:pPr>
            <w:r>
              <w:rPr>
                <w:rFonts w:ascii="Arial" w:cs="Arial" w:eastAsia="Arial" w:hAnsi="Arial"/>
                <w:sz w:val="18"/>
                <w:szCs w:val="18"/>
                <w:color w:val="auto"/>
                <w:w w:val="89"/>
              </w:rPr>
              <w:t>$1,000,000,000</w:t>
            </w:r>
          </w:p>
        </w:tc>
        <w:tc>
          <w:tcPr>
            <w:tcW w:w="100" w:type="dxa"/>
            <w:vAlign w:val="bottom"/>
          </w:tcPr>
          <w:p>
            <w:pPr>
              <w:spacing w:after="0"/>
              <w:rPr>
                <w:sz w:val="16"/>
                <w:szCs w:val="16"/>
                <w:color w:val="auto"/>
              </w:rPr>
            </w:pPr>
          </w:p>
        </w:tc>
        <w:tc>
          <w:tcPr>
            <w:tcW w:w="1460" w:type="dxa"/>
            <w:vAlign w:val="bottom"/>
          </w:tcPr>
          <w:p>
            <w:pPr>
              <w:jc w:val="center"/>
              <w:spacing w:after="0" w:line="195" w:lineRule="exact"/>
              <w:rPr>
                <w:sz w:val="20"/>
                <w:szCs w:val="20"/>
                <w:color w:val="auto"/>
              </w:rPr>
            </w:pPr>
            <w:r>
              <w:rPr>
                <w:rFonts w:ascii="Arial" w:cs="Arial" w:eastAsia="Arial" w:hAnsi="Arial"/>
                <w:sz w:val="18"/>
                <w:szCs w:val="18"/>
                <w:color w:val="auto"/>
                <w:w w:val="91"/>
              </w:rPr>
              <w:t>3-month USD</w:t>
            </w:r>
          </w:p>
        </w:tc>
        <w:tc>
          <w:tcPr>
            <w:tcW w:w="120" w:type="dxa"/>
            <w:vAlign w:val="bottom"/>
          </w:tcPr>
          <w:p>
            <w:pPr>
              <w:spacing w:after="0"/>
              <w:rPr>
                <w:sz w:val="16"/>
                <w:szCs w:val="16"/>
                <w:color w:val="auto"/>
              </w:rPr>
            </w:pPr>
          </w:p>
        </w:tc>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89"/>
              </w:rPr>
              <w:t>October 1, 2021</w:t>
            </w:r>
          </w:p>
        </w:tc>
        <w:tc>
          <w:tcPr>
            <w:tcW w:w="100" w:type="dxa"/>
            <w:vAlign w:val="bottom"/>
          </w:tcPr>
          <w:p>
            <w:pPr>
              <w:spacing w:after="0"/>
              <w:rPr>
                <w:sz w:val="16"/>
                <w:szCs w:val="16"/>
                <w:color w:val="auto"/>
              </w:rPr>
            </w:pPr>
          </w:p>
        </w:tc>
        <w:tc>
          <w:tcPr>
            <w:tcW w:w="1920" w:type="dxa"/>
            <w:vAlign w:val="bottom"/>
          </w:tcPr>
          <w:p>
            <w:pPr>
              <w:jc w:val="center"/>
              <w:spacing w:after="0" w:line="195" w:lineRule="exact"/>
              <w:rPr>
                <w:sz w:val="20"/>
                <w:szCs w:val="20"/>
                <w:color w:val="auto"/>
              </w:rPr>
            </w:pPr>
            <w:r>
              <w:rPr>
                <w:rFonts w:ascii="Arial" w:cs="Arial" w:eastAsia="Arial" w:hAnsi="Arial"/>
                <w:sz w:val="18"/>
                <w:szCs w:val="18"/>
                <w:color w:val="auto"/>
                <w:w w:val="89"/>
              </w:rPr>
              <w:t>$1,006.00</w:t>
            </w:r>
          </w:p>
        </w:tc>
        <w:tc>
          <w:tcPr>
            <w:tcW w:w="0" w:type="dxa"/>
            <w:vAlign w:val="bottom"/>
          </w:tcPr>
          <w:p>
            <w:pPr>
              <w:spacing w:after="0"/>
              <w:rPr>
                <w:sz w:val="1"/>
                <w:szCs w:val="1"/>
                <w:color w:val="auto"/>
              </w:rPr>
            </w:pPr>
          </w:p>
        </w:tc>
      </w:tr>
      <w:tr>
        <w:trPr>
          <w:trHeight w:val="216"/>
        </w:trPr>
        <w:tc>
          <w:tcPr>
            <w:tcW w:w="2380" w:type="dxa"/>
            <w:vAlign w:val="bottom"/>
          </w:tcPr>
          <w:p>
            <w:pPr>
              <w:ind w:left="180"/>
              <w:spacing w:after="0"/>
              <w:rPr>
                <w:sz w:val="20"/>
                <w:szCs w:val="20"/>
                <w:color w:val="auto"/>
              </w:rPr>
            </w:pPr>
            <w:r>
              <w:rPr>
                <w:rFonts w:ascii="Arial" w:cs="Arial" w:eastAsia="Arial" w:hAnsi="Arial"/>
                <w:sz w:val="18"/>
                <w:szCs w:val="18"/>
                <w:color w:val="auto"/>
              </w:rPr>
              <w:t>issued by Comcast</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LIBOR + 0.440%</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180"/>
              <w:spacing w:after="0"/>
              <w:rPr>
                <w:sz w:val="20"/>
                <w:szCs w:val="20"/>
                <w:color w:val="auto"/>
              </w:rPr>
            </w:pPr>
            <w:r>
              <w:rPr>
                <w:rFonts w:ascii="Arial" w:cs="Arial" w:eastAsia="Arial" w:hAnsi="Arial"/>
                <w:sz w:val="18"/>
                <w:szCs w:val="18"/>
                <w:color w:val="auto"/>
              </w:rPr>
              <w:t>Corporation</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w w:val="93"/>
              </w:rPr>
              <w:t>Senior Floating Rate Notes due</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63946CAG3</w:t>
            </w:r>
          </w:p>
        </w:tc>
        <w:tc>
          <w:tcPr>
            <w:tcW w:w="19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$1,500,000,000</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3-month USD</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April 1, 2021</w:t>
            </w:r>
          </w:p>
        </w:tc>
        <w:tc>
          <w:tcPr>
            <w:tcW w:w="20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$1,003.50</w:t>
            </w:r>
          </w:p>
        </w:tc>
        <w:tc>
          <w:tcPr>
            <w:tcW w:w="0" w:type="dxa"/>
            <w:vAlign w:val="bottom"/>
          </w:tcPr>
          <w:p>
            <w:pPr>
              <w:spacing w:after="0"/>
              <w:rPr>
                <w:sz w:val="1"/>
                <w:szCs w:val="1"/>
                <w:color w:val="auto"/>
              </w:rPr>
            </w:pPr>
          </w:p>
        </w:tc>
      </w:tr>
      <w:tr>
        <w:trPr>
          <w:trHeight w:val="216"/>
        </w:trPr>
        <w:tc>
          <w:tcPr>
            <w:tcW w:w="2380" w:type="dxa"/>
            <w:vAlign w:val="bottom"/>
          </w:tcPr>
          <w:p>
            <w:pPr>
              <w:ind w:left="180"/>
              <w:spacing w:after="0"/>
              <w:rPr>
                <w:sz w:val="20"/>
                <w:szCs w:val="20"/>
                <w:color w:val="auto"/>
              </w:rPr>
            </w:pPr>
            <w:r>
              <w:rPr>
                <w:rFonts w:ascii="Arial" w:cs="Arial" w:eastAsia="Arial" w:hAnsi="Arial"/>
                <w:sz w:val="18"/>
                <w:szCs w:val="18"/>
                <w:color w:val="auto"/>
              </w:rPr>
              <w:t>2021 issued by</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LIBOR + 0.400%</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180"/>
              <w:spacing w:after="0"/>
              <w:rPr>
                <w:sz w:val="20"/>
                <w:szCs w:val="20"/>
                <w:color w:val="auto"/>
              </w:rPr>
            </w:pPr>
            <w:r>
              <w:rPr>
                <w:rFonts w:ascii="Arial" w:cs="Arial" w:eastAsia="Arial" w:hAnsi="Arial"/>
                <w:sz w:val="18"/>
                <w:szCs w:val="18"/>
                <w:color w:val="auto"/>
              </w:rPr>
              <w:t>NBCUniversal Enterprise,</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180"/>
              <w:spacing w:after="0"/>
              <w:rPr>
                <w:sz w:val="20"/>
                <w:szCs w:val="20"/>
                <w:color w:val="auto"/>
              </w:rPr>
            </w:pPr>
            <w:r>
              <w:rPr>
                <w:rFonts w:ascii="Arial" w:cs="Arial" w:eastAsia="Arial" w:hAnsi="Arial"/>
                <w:sz w:val="18"/>
                <w:szCs w:val="18"/>
                <w:color w:val="auto"/>
              </w:rPr>
              <w:t>Inc.</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20" w:hanging="652"/>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 $1,000 principal amount of Notes validly tendered before the Expiration Time, not validly withdrawn and accepted for purchase. In addition to the Consideration, holders will also receive accrued and unpaid interest on the Notes from the last interest payment date up to, but excluding, the Settlement Date (as defined herein).</w:t>
      </w:r>
    </w:p>
    <w:p>
      <w:pPr>
        <w:spacing w:after="0" w:line="180"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The tender offers will expire at 5:00 p.m., New York City time, on June 17, 2020, unless extended or earlier terminated (the “</w:t>
      </w:r>
      <w:r>
        <w:rPr>
          <w:rFonts w:ascii="Arial" w:cs="Arial" w:eastAsia="Arial" w:hAnsi="Arial"/>
          <w:sz w:val="17"/>
          <w:szCs w:val="17"/>
          <w:b w:val="1"/>
          <w:bCs w:val="1"/>
          <w:color w:val="auto"/>
        </w:rPr>
        <w:t>Expiration Time</w:t>
      </w:r>
      <w:r>
        <w:rPr>
          <w:rFonts w:ascii="Arial" w:cs="Arial" w:eastAsia="Arial" w:hAnsi="Arial"/>
          <w:sz w:val="17"/>
          <w:szCs w:val="17"/>
          <w:color w:val="auto"/>
        </w:rPr>
        <w:t>”). Holders who have validly tendered their Notes may withdraw such Notes at any time at or prior to the Expiration Time. The Guaranteed Delivery Date is June 19, 2020. The Issuers expect to pay the Consideration for Notes validly tendered and not validly withdrawn at or prior to the Expiration Time on June 22, 2020, the third business day following the Expiration Time (the “</w:t>
      </w:r>
      <w:r>
        <w:rPr>
          <w:rFonts w:ascii="Arial" w:cs="Arial" w:eastAsia="Arial" w:hAnsi="Arial"/>
          <w:sz w:val="17"/>
          <w:szCs w:val="17"/>
          <w:b w:val="1"/>
          <w:bCs w:val="1"/>
          <w:color w:val="auto"/>
        </w:rPr>
        <w:t>Settlement Date</w:t>
      </w:r>
      <w:r>
        <w:rPr>
          <w:rFonts w:ascii="Arial" w:cs="Arial" w:eastAsia="Arial" w:hAnsi="Arial"/>
          <w:sz w:val="17"/>
          <w:szCs w:val="17"/>
          <w:color w:val="auto"/>
        </w:rPr>
        <w:t>”). The tender offers are conditioned upon satisfaction of certain conditions, but are not conditioned upon any minimum amount of Notes being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line="273" w:lineRule="auto"/>
        <w:rPr>
          <w:sz w:val="20"/>
          <w:szCs w:val="20"/>
          <w:color w:val="auto"/>
        </w:rPr>
      </w:pPr>
      <w:r>
        <w:rPr>
          <w:rFonts w:ascii="Arial" w:cs="Arial" w:eastAsia="Arial" w:hAnsi="Arial"/>
          <w:sz w:val="17"/>
          <w:szCs w:val="17"/>
          <w:color w:val="auto"/>
        </w:rPr>
        <w:t>The complete terms and conditions of the tender offers are set forth in the Offer to Purchase, dated June 11, 2020 (the “</w:t>
      </w:r>
      <w:r>
        <w:rPr>
          <w:rFonts w:ascii="Arial" w:cs="Arial" w:eastAsia="Arial" w:hAnsi="Arial"/>
          <w:sz w:val="17"/>
          <w:szCs w:val="17"/>
          <w:b w:val="1"/>
          <w:bCs w:val="1"/>
          <w:color w:val="auto"/>
        </w:rPr>
        <w:t>Offer to Purchase</w:t>
      </w:r>
      <w:r>
        <w:rPr>
          <w:rFonts w:ascii="Arial" w:cs="Arial" w:eastAsia="Arial" w:hAnsi="Arial"/>
          <w:sz w:val="17"/>
          <w:szCs w:val="17"/>
          <w:color w:val="auto"/>
        </w:rPr>
        <w:t>”) and in the related Letter of Transmittal and Notice of Guaranteed Delivery, along with any amendments and supplements thereto, which holders are urged to read carefully before making any decision with respect to the tender offers. The Issuers have retained Goldman Sachs &amp; Co. LLC and MUFG Securities Americas Inc. to act as Joint Dealer Managers in connection with the tender offers. Copies of the Offer to Purchase and the related Letter of Transmittal and Notice of Guaranteed Delivery may be obtained from D.F. King &amp; Co., Inc., the Tender and Information Agent for the tender offers, by phone at (212) 269-5550 (banks and brokers) or (866) 530-8623 (all others), by email at cmcsa@dfking.com or online at https://www.dfking.com/cmcsa. Questions regarding the tender offers may also be directed to the Joint Dealer Managers as set forth below:</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4240" w:type="dxa"/>
            <w:vAlign w:val="bottom"/>
          </w:tcPr>
          <w:p>
            <w:pPr>
              <w:jc w:val="center"/>
              <w:ind w:right="1270"/>
              <w:spacing w:after="0"/>
              <w:rPr>
                <w:sz w:val="20"/>
                <w:szCs w:val="20"/>
                <w:color w:val="auto"/>
              </w:rPr>
            </w:pPr>
            <w:r>
              <w:rPr>
                <w:rFonts w:ascii="Arial" w:cs="Arial" w:eastAsia="Arial" w:hAnsi="Arial"/>
                <w:sz w:val="18"/>
                <w:szCs w:val="18"/>
                <w:color w:val="auto"/>
                <w:w w:val="92"/>
              </w:rPr>
              <w:t>Goldman Sachs &amp; Co. LLC</w:t>
            </w:r>
          </w:p>
        </w:tc>
        <w:tc>
          <w:tcPr>
            <w:tcW w:w="4260" w:type="dxa"/>
            <w:vAlign w:val="bottom"/>
          </w:tcPr>
          <w:p>
            <w:pPr>
              <w:jc w:val="center"/>
              <w:ind w:left="1270"/>
              <w:spacing w:after="0"/>
              <w:rPr>
                <w:sz w:val="20"/>
                <w:szCs w:val="20"/>
                <w:color w:val="auto"/>
              </w:rPr>
            </w:pPr>
            <w:r>
              <w:rPr>
                <w:rFonts w:ascii="Arial" w:cs="Arial" w:eastAsia="Arial" w:hAnsi="Arial"/>
                <w:sz w:val="18"/>
                <w:szCs w:val="18"/>
                <w:color w:val="auto"/>
                <w:w w:val="93"/>
              </w:rPr>
              <w:t>MUFG Securities Americas Inc.</w:t>
            </w:r>
          </w:p>
        </w:tc>
      </w:tr>
      <w:tr>
        <w:trPr>
          <w:trHeight w:val="216"/>
        </w:trPr>
        <w:tc>
          <w:tcPr>
            <w:tcW w:w="4240" w:type="dxa"/>
            <w:vAlign w:val="bottom"/>
          </w:tcPr>
          <w:p>
            <w:pPr>
              <w:jc w:val="center"/>
              <w:ind w:right="1290"/>
              <w:spacing w:after="0"/>
              <w:rPr>
                <w:sz w:val="20"/>
                <w:szCs w:val="20"/>
                <w:color w:val="auto"/>
              </w:rPr>
            </w:pPr>
            <w:r>
              <w:rPr>
                <w:rFonts w:ascii="Arial" w:cs="Arial" w:eastAsia="Arial" w:hAnsi="Arial"/>
                <w:sz w:val="18"/>
                <w:szCs w:val="18"/>
                <w:color w:val="auto"/>
                <w:w w:val="88"/>
              </w:rPr>
              <w:t>200 West Street</w:t>
            </w:r>
          </w:p>
        </w:tc>
        <w:tc>
          <w:tcPr>
            <w:tcW w:w="4260" w:type="dxa"/>
            <w:vAlign w:val="bottom"/>
          </w:tcPr>
          <w:p>
            <w:pPr>
              <w:jc w:val="center"/>
              <w:ind w:left="1270"/>
              <w:spacing w:after="0"/>
              <w:rPr>
                <w:sz w:val="20"/>
                <w:szCs w:val="20"/>
                <w:color w:val="auto"/>
              </w:rPr>
            </w:pPr>
            <w:r>
              <w:rPr>
                <w:rFonts w:ascii="Arial" w:cs="Arial" w:eastAsia="Arial" w:hAnsi="Arial"/>
                <w:sz w:val="18"/>
                <w:szCs w:val="18"/>
                <w:color w:val="auto"/>
                <w:w w:val="91"/>
              </w:rPr>
              <w:t>1221 Avenue of the Americas, 6th Floor</w:t>
            </w:r>
          </w:p>
        </w:tc>
      </w:tr>
      <w:tr>
        <w:trPr>
          <w:trHeight w:val="216"/>
        </w:trPr>
        <w:tc>
          <w:tcPr>
            <w:tcW w:w="4240" w:type="dxa"/>
            <w:vAlign w:val="bottom"/>
          </w:tcPr>
          <w:p>
            <w:pPr>
              <w:jc w:val="center"/>
              <w:ind w:right="1290"/>
              <w:spacing w:after="0"/>
              <w:rPr>
                <w:sz w:val="20"/>
                <w:szCs w:val="20"/>
                <w:color w:val="auto"/>
              </w:rPr>
            </w:pPr>
            <w:r>
              <w:rPr>
                <w:rFonts w:ascii="Arial" w:cs="Arial" w:eastAsia="Arial" w:hAnsi="Arial"/>
                <w:sz w:val="18"/>
                <w:szCs w:val="18"/>
                <w:color w:val="auto"/>
                <w:w w:val="93"/>
              </w:rPr>
              <w:t>New York, New York 10282</w:t>
            </w:r>
          </w:p>
        </w:tc>
        <w:tc>
          <w:tcPr>
            <w:tcW w:w="4260" w:type="dxa"/>
            <w:vAlign w:val="bottom"/>
          </w:tcPr>
          <w:p>
            <w:pPr>
              <w:jc w:val="center"/>
              <w:ind w:left="1270"/>
              <w:spacing w:after="0"/>
              <w:rPr>
                <w:sz w:val="20"/>
                <w:szCs w:val="20"/>
                <w:color w:val="auto"/>
              </w:rPr>
            </w:pPr>
            <w:r>
              <w:rPr>
                <w:rFonts w:ascii="Arial" w:cs="Arial" w:eastAsia="Arial" w:hAnsi="Arial"/>
                <w:sz w:val="18"/>
                <w:szCs w:val="18"/>
                <w:color w:val="auto"/>
                <w:w w:val="93"/>
              </w:rPr>
              <w:t>New York, New York 10020</w:t>
            </w:r>
          </w:p>
        </w:tc>
      </w:tr>
      <w:tr>
        <w:trPr>
          <w:trHeight w:val="216"/>
        </w:trPr>
        <w:tc>
          <w:tcPr>
            <w:tcW w:w="4240" w:type="dxa"/>
            <w:vAlign w:val="bottom"/>
          </w:tcPr>
          <w:p>
            <w:pPr>
              <w:jc w:val="center"/>
              <w:ind w:right="1270"/>
              <w:spacing w:after="0"/>
              <w:rPr>
                <w:sz w:val="20"/>
                <w:szCs w:val="20"/>
                <w:color w:val="auto"/>
              </w:rPr>
            </w:pPr>
            <w:r>
              <w:rPr>
                <w:rFonts w:ascii="Arial" w:cs="Arial" w:eastAsia="Arial" w:hAnsi="Arial"/>
                <w:sz w:val="18"/>
                <w:szCs w:val="18"/>
                <w:color w:val="auto"/>
                <w:w w:val="94"/>
              </w:rPr>
              <w:t>Attention: Liability Management Group</w:t>
            </w:r>
          </w:p>
        </w:tc>
        <w:tc>
          <w:tcPr>
            <w:tcW w:w="4260" w:type="dxa"/>
            <w:vAlign w:val="bottom"/>
          </w:tcPr>
          <w:p>
            <w:pPr>
              <w:jc w:val="center"/>
              <w:ind w:left="1270"/>
              <w:spacing w:after="0"/>
              <w:rPr>
                <w:sz w:val="20"/>
                <w:szCs w:val="20"/>
                <w:color w:val="auto"/>
              </w:rPr>
            </w:pPr>
            <w:r>
              <w:rPr>
                <w:rFonts w:ascii="Arial" w:cs="Arial" w:eastAsia="Arial" w:hAnsi="Arial"/>
                <w:sz w:val="18"/>
                <w:szCs w:val="18"/>
                <w:color w:val="auto"/>
                <w:w w:val="94"/>
              </w:rPr>
              <w:t>Attention: Liability Management</w:t>
            </w:r>
          </w:p>
        </w:tc>
      </w:tr>
      <w:tr>
        <w:trPr>
          <w:trHeight w:val="216"/>
        </w:trPr>
        <w:tc>
          <w:tcPr>
            <w:tcW w:w="4240" w:type="dxa"/>
            <w:vAlign w:val="bottom"/>
          </w:tcPr>
          <w:p>
            <w:pPr>
              <w:jc w:val="center"/>
              <w:ind w:right="1290"/>
              <w:spacing w:after="0"/>
              <w:rPr>
                <w:sz w:val="20"/>
                <w:szCs w:val="20"/>
                <w:color w:val="auto"/>
              </w:rPr>
            </w:pPr>
            <w:r>
              <w:rPr>
                <w:rFonts w:ascii="Arial" w:cs="Arial" w:eastAsia="Arial" w:hAnsi="Arial"/>
                <w:sz w:val="18"/>
                <w:szCs w:val="18"/>
                <w:color w:val="auto"/>
                <w:w w:val="91"/>
              </w:rPr>
              <w:t>U.S.: (212) 357-1452</w:t>
            </w:r>
          </w:p>
        </w:tc>
        <w:tc>
          <w:tcPr>
            <w:tcW w:w="4260" w:type="dxa"/>
            <w:vAlign w:val="bottom"/>
          </w:tcPr>
          <w:p>
            <w:pPr>
              <w:jc w:val="center"/>
              <w:ind w:left="1270"/>
              <w:spacing w:after="0"/>
              <w:rPr>
                <w:sz w:val="20"/>
                <w:szCs w:val="20"/>
                <w:color w:val="auto"/>
              </w:rPr>
            </w:pPr>
            <w:r>
              <w:rPr>
                <w:rFonts w:ascii="Arial" w:cs="Arial" w:eastAsia="Arial" w:hAnsi="Arial"/>
                <w:sz w:val="18"/>
                <w:szCs w:val="18"/>
                <w:color w:val="auto"/>
                <w:w w:val="91"/>
              </w:rPr>
              <w:t>U.S.: (212) 405-7481</w:t>
            </w:r>
          </w:p>
        </w:tc>
      </w:tr>
      <w:tr>
        <w:trPr>
          <w:trHeight w:val="230"/>
        </w:trPr>
        <w:tc>
          <w:tcPr>
            <w:tcW w:w="4240" w:type="dxa"/>
            <w:vAlign w:val="bottom"/>
          </w:tcPr>
          <w:p>
            <w:pPr>
              <w:jc w:val="center"/>
              <w:ind w:right="1270"/>
              <w:spacing w:after="0"/>
              <w:rPr>
                <w:sz w:val="20"/>
                <w:szCs w:val="20"/>
                <w:color w:val="auto"/>
              </w:rPr>
            </w:pPr>
            <w:r>
              <w:rPr>
                <w:rFonts w:ascii="Arial" w:cs="Arial" w:eastAsia="Arial" w:hAnsi="Arial"/>
                <w:sz w:val="18"/>
                <w:szCs w:val="18"/>
                <w:color w:val="auto"/>
                <w:w w:val="91"/>
              </w:rPr>
              <w:t>Toll-Free: (800) 828-3182</w:t>
            </w:r>
          </w:p>
        </w:tc>
        <w:tc>
          <w:tcPr>
            <w:tcW w:w="4260" w:type="dxa"/>
            <w:vAlign w:val="bottom"/>
          </w:tcPr>
          <w:p>
            <w:pPr>
              <w:jc w:val="center"/>
              <w:ind w:left="1270"/>
              <w:spacing w:after="0"/>
              <w:rPr>
                <w:sz w:val="20"/>
                <w:szCs w:val="20"/>
                <w:color w:val="auto"/>
              </w:rPr>
            </w:pPr>
            <w:r>
              <w:rPr>
                <w:rFonts w:ascii="Arial" w:cs="Arial" w:eastAsia="Arial" w:hAnsi="Arial"/>
                <w:sz w:val="18"/>
                <w:szCs w:val="18"/>
                <w:color w:val="auto"/>
                <w:w w:val="92"/>
              </w:rPr>
              <w:t>Toll-Free: (877) 744-4532</w:t>
            </w:r>
          </w:p>
        </w:tc>
      </w:tr>
    </w:tbl>
    <w:p>
      <w:pPr>
        <w:spacing w:after="0" w:line="20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This news release is neither an offer to purchase nor a solicitation of an offer to sell any securities. The tender offers are being made only by, and pursuant to the terms of, the Offer to Purchase and the related Letter of Transmittal and Notice of Guaranteed Delivery. The tender offers are not being made in any jurisdiction in which the making or acceptance thereof would not be in compliance with the securities, blue sky or other laws of such jurisdiction. In any jurisdiction where the laws require the tender offers to be made by a licensed broker or dealer, the tender offers will be made by the Joint Dealer Managers on behalf of the Issuers. None of the Issuers, the Tender and Information Agent or the Joint Dealer Managers, nor any of their affiliates, makes any recommendation as to whether holders should tender or refrain from tendering all or any portion of their Notes in response to the tender offers.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Comcast Corporation (Nasdaq: CMCSA) is a global media and technology company with three primary businesses: Comcast Cable Communications, LLC (“</w:t>
      </w:r>
      <w:r>
        <w:rPr>
          <w:rFonts w:ascii="Arial" w:cs="Arial" w:eastAsia="Arial" w:hAnsi="Arial"/>
          <w:sz w:val="16"/>
          <w:szCs w:val="16"/>
          <w:b w:val="1"/>
          <w:bCs w:val="1"/>
          <w:color w:val="auto"/>
        </w:rPr>
        <w:t>Comcast Cable</w:t>
      </w:r>
      <w:r>
        <w:rPr>
          <w:rFonts w:ascii="Arial" w:cs="Arial" w:eastAsia="Arial" w:hAnsi="Arial"/>
          <w:sz w:val="16"/>
          <w:szCs w:val="16"/>
          <w:color w:val="auto"/>
        </w:rPr>
        <w:t>”), NBCUniversal Media, LLC (“</w:t>
      </w:r>
      <w:r>
        <w:rPr>
          <w:rFonts w:ascii="Arial" w:cs="Arial" w:eastAsia="Arial" w:hAnsi="Arial"/>
          <w:sz w:val="16"/>
          <w:szCs w:val="16"/>
          <w:b w:val="1"/>
          <w:bCs w:val="1"/>
          <w:color w:val="auto"/>
        </w:rPr>
        <w:t>NBCUniversal</w:t>
      </w:r>
      <w:r>
        <w:rPr>
          <w:rFonts w:ascii="Arial" w:cs="Arial" w:eastAsia="Arial" w:hAnsi="Arial"/>
          <w:sz w:val="16"/>
          <w:szCs w:val="16"/>
          <w:color w:val="auto"/>
        </w:rPr>
        <w:t>”), and Sky Limited (“</w:t>
      </w:r>
      <w:r>
        <w:rPr>
          <w:rFonts w:ascii="Arial" w:cs="Arial" w:eastAsia="Arial" w:hAnsi="Arial"/>
          <w:sz w:val="16"/>
          <w:szCs w:val="16"/>
          <w:b w:val="1"/>
          <w:bCs w:val="1"/>
          <w:color w:val="auto"/>
        </w:rPr>
        <w:t>Sky</w:t>
      </w:r>
      <w:r>
        <w:rPr>
          <w:rFonts w:ascii="Arial" w:cs="Arial" w:eastAsia="Arial" w:hAnsi="Arial"/>
          <w:sz w:val="16"/>
          <w:szCs w:val="16"/>
          <w:color w:val="auto"/>
        </w:rPr>
        <w:t>”). Comcast Cable is one of the United States’ largest high-speed internet, video, and phone providers to residential customers under the Xfinity brand, and also provides these services to businesses. It also provides wireless and security and automation services to residential customers under the Xfinity brand. NBCUniversal is global and operates news, entertainment and sports cable networks, the NBC and Telemundo broadcast networks, television production operations, television station groups, Universal Pictures, and Universal Parks and Resorts. Sky is one of Europe's leading media and entertainment companies, connecting customers to a broad range of video content through its pay television services. It also provides communications services, including residential high-speed internet, phone, and wireless services. Sky operates the Sky News broadcast network and sports and entertainment networks, produces original content, and has exclusive content rights. Visit www.comcastcorporation.com for more information.</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225"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could have a material adverse effect on our businesses and results of operations;</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operate in highly competitive and dynamic industries, and our businesses and results of operations could be adversely affected if we do not compete effectively;</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behavior driven by online video distribution platforms for viewing content continue to adversely affect our businesses and challenge existing business models;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impose additional costs and restrictions on our businesses;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programming expenses for our video services are increasing, which could adversely affect Comcast Cable’s and Sky’s video businesses;</w:t>
      </w:r>
    </w:p>
    <w:p>
      <w:pPr>
        <w:spacing w:after="0" w:line="248" w:lineRule="exact"/>
        <w:rPr>
          <w:rFonts w:ascii="Arial" w:cs="Arial" w:eastAsia="Arial" w:hAnsi="Arial"/>
          <w:sz w:val="16"/>
          <w:szCs w:val="16"/>
          <w:color w:val="auto"/>
        </w:rPr>
      </w:pPr>
    </w:p>
    <w:p>
      <w:pPr>
        <w:ind w:left="980" w:right="1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spacing w:after="0" w:line="170"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programming distribution and licensing agreements, or the renewal of these agreements on less favorable terms, could adversely affect our businesses;</w:t>
      </w:r>
    </w:p>
    <w:p>
      <w:pPr>
        <w:spacing w:after="0" w:line="170" w:lineRule="exact"/>
        <w:rPr>
          <w:rFonts w:ascii="Arial" w:cs="Arial" w:eastAsia="Arial" w:hAnsi="Arial"/>
          <w:sz w:val="18"/>
          <w:szCs w:val="18"/>
          <w:color w:val="auto"/>
        </w:rPr>
      </w:pPr>
    </w:p>
    <w:p>
      <w:pPr>
        <w:ind w:left="980" w:right="680" w:hanging="324"/>
        <w:spacing w:after="0" w:line="34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less favorable telecommunications access regulations, the loss of Sky’s transmission agreements with satellite or telecommunications providers or the renewal of these agreements on less favorable terms could adversely affect Sky’s businesses;</w:t>
      </w:r>
    </w:p>
    <w:p>
      <w:pPr>
        <w:spacing w:after="0" w:line="123" w:lineRule="exact"/>
        <w:rPr>
          <w:rFonts w:ascii="Arial" w:cs="Arial" w:eastAsia="Arial" w:hAnsi="Arial"/>
          <w:sz w:val="16"/>
          <w:szCs w:val="16"/>
          <w:color w:val="auto"/>
        </w:rPr>
      </w:pPr>
    </w:p>
    <w:p>
      <w:pPr>
        <w:ind w:left="980" w:right="56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 w:name="page7"/>
    <w:bookmarkEnd w:id="6"/>
    <w:p>
      <w:pPr>
        <w:ind w:left="980" w:right="30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businesses depend on using and protecting certain intellectual property rights and on not infringing the intellectual property rights of others;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225" w:lineRule="exact"/>
        <w:rPr>
          <w:rFonts w:ascii="Arial" w:cs="Arial" w:eastAsia="Arial" w:hAnsi="Arial"/>
          <w:sz w:val="18"/>
          <w:szCs w:val="18"/>
          <w:color w:val="auto"/>
        </w:rPr>
      </w:pPr>
    </w:p>
    <w:p>
      <w:pPr>
        <w:ind w:left="980" w:right="7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acquisitions and other strategic initiatives present many risks, and we may not realize the financial and strategic goals that we had contemplated;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w:t>
      </w:r>
    </w:p>
    <w:p>
      <w:pPr>
        <w:spacing w:after="0" w:line="225" w:lineRule="exact"/>
        <w:rPr>
          <w:rFonts w:ascii="Arial" w:cs="Arial" w:eastAsia="Arial" w:hAnsi="Arial"/>
          <w:sz w:val="18"/>
          <w:szCs w:val="18"/>
          <w:color w:val="auto"/>
        </w:rPr>
      </w:pPr>
    </w:p>
    <w:p>
      <w:pPr>
        <w:ind w:left="980" w:right="64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litigation or governmental investigation results could require us to pay significant amounts or lead to onerous operating procedures;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labor disputes, whether involving employees or sports organizations, may disrupt our operations and adversely affect our businesses;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loss of key management personnel or popular on-air and creative talent could have an adverse effect on our businesses; and</w:t>
      </w:r>
    </w:p>
    <w:p>
      <w:pPr>
        <w:spacing w:after="0" w:line="236" w:lineRule="exact"/>
        <w:rPr>
          <w:rFonts w:ascii="Arial" w:cs="Arial" w:eastAsia="Arial" w:hAnsi="Arial"/>
          <w:sz w:val="17"/>
          <w:szCs w:val="17"/>
          <w:color w:val="auto"/>
        </w:rPr>
      </w:pPr>
    </w:p>
    <w:p>
      <w:pPr>
        <w:ind w:left="980" w:right="140" w:hanging="324"/>
        <w:spacing w:after="0" w:line="34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You should not place undue reliance on any forward-looking statements, which speak only as of the date made. Factors or events that could cause our actual results to differ may emerge from time to time, and it is not possible to predict all of them.</w:t>
      </w:r>
    </w:p>
    <w:p>
      <w:pPr>
        <w:spacing w:after="0" w:line="17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foregoing list of factors is not exhaustive. For discussion of these and other factors that may cause actual results to differ from expectations, look under the captions “Forward Looking Statements” and “Risk Factors” in Comcast’s Annual Report on Form 10-K for the year ended December 31, 2019 and Quarterly Report on Form 10-Q for the quarter ended March 31, 2020 as filed with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Marci Ryvicker (215) 286-4781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Jane Kearns (215) 286-4794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 Kaplan (215) 286-6527</w:t>
      </w: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00"/>
      </w:cols>
      <w:pgMar w:left="320" w:top="54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2020-06-11T07:15:50Z</dcterms:created>
  <dcterms:modified xsi:type="dcterms:W3CDTF">2020-06-11T07:15:50Z</dcterms:modified>
</cp:coreProperties>
</file>