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428,438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428,438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428,438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subject to the achievement of performance conditions, which were attained on the transaction date. The restricted stock units vest 100% on the 3rd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394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3366</Characters>
  <CharactersWithSpaces>3923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