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3525_8k.htm"/>
      <w:bookmarkStart w:id="1" w:name="ksdp193525_8k"/>
      <w:bookmarkEnd w:id="0"/>
      <w:bookmarkEnd w:id="1"/>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ind w:left="0" w:right="0" w:hanging="0"/>
        <w:jc w:val="center"/>
        <w:rPr>
          <w:sz w:val="20"/>
        </w:rPr>
      </w:pPr>
      <w:r>
        <w:rPr>
          <w:sz w:val="20"/>
        </w:rPr>
        <w:t>____________________________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509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May 9,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bookmarkStart w:id="4" w:name="xdx_900_edei--EntityRegistrantName_c2023"/>
      <w:bookmarkEnd w:id="4"/>
      <w:r>
        <w:rPr>
          <w:rFonts w:ascii="Times New Roman;Times;Serif" w:hAnsi="Times New Roman;Times;Serif"/>
          <w:b/>
          <w:i w:val="false"/>
          <w:caps w:val="false"/>
          <w:smallCaps w:val="false"/>
          <w:sz w:val="48"/>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jc w:val="center"/>
        <w:rPr>
          <w:caps w:val="false"/>
          <w:smallCaps w:val="false"/>
        </w:rPr>
      </w:pPr>
      <w:r>
        <w:rPr>
          <w:caps w:val="false"/>
          <w:smallCaps w:val="false"/>
        </w:rPr>
        <w:t> </w:t>
      </w:r>
    </w:p>
    <w:tbl>
      <w:tblPr>
        <w:tblW w:w="8955" w:type="dxa"/>
        <w:jc w:val="left"/>
        <w:tblInd w:w="0" w:type="dxa"/>
        <w:tblCellMar>
          <w:top w:w="0" w:type="dxa"/>
          <w:left w:w="0" w:type="dxa"/>
          <w:bottom w:w="0" w:type="dxa"/>
          <w:right w:w="0" w:type="dxa"/>
        </w:tblCellMar>
      </w:tblPr>
      <w:tblGrid>
        <w:gridCol w:w="2315"/>
        <w:gridCol w:w="3755"/>
        <w:gridCol w:w="2885"/>
      </w:tblGrid>
      <w:tr>
        <w:trPr/>
        <w:tc>
          <w:tcPr>
            <w:tcW w:w="2315" w:type="dxa"/>
            <w:tcBorders/>
            <w:shd w:fill="auto" w:val="clear"/>
            <w:vAlign w:val="center"/>
          </w:tcPr>
          <w:p>
            <w:pPr>
              <w:pStyle w:val="TableContents"/>
              <w:spacing w:before="0" w:after="283"/>
              <w:jc w:val="center"/>
              <w:rPr/>
            </w:pPr>
            <w:r>
              <w:rPr/>
              <w:t> </w:t>
            </w:r>
          </w:p>
        </w:tc>
        <w:tc>
          <w:tcPr>
            <w:tcW w:w="375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Pennsylvania</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885" w:type="dxa"/>
            <w:tcBorders/>
            <w:shd w:fill="auto" w:val="clear"/>
            <w:vAlign w:val="center"/>
          </w:tcPr>
          <w:p>
            <w:pPr>
              <w:pStyle w:val="TableContents"/>
              <w:spacing w:before="0" w:after="283"/>
              <w:jc w:val="center"/>
              <w:rPr/>
            </w:pPr>
            <w:r>
              <w:rPr/>
              <w:t> </w:t>
            </w:r>
          </w:p>
        </w:tc>
      </w:tr>
      <w:tr>
        <w:trPr/>
        <w:tc>
          <w:tcPr>
            <w:tcW w:w="23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6" w:name="xdx_902_edei--EntityFileNumber_c20230509"/>
            <w:bookmarkEnd w:id="6"/>
            <w:r>
              <w:rPr>
                <w:rFonts w:ascii="Times New Roman;Times;Serif" w:hAnsi="Times New Roman;Times;Serif"/>
                <w:b/>
                <w:i w:val="false"/>
                <w:caps w:val="false"/>
                <w:smallCaps w:val="false"/>
                <w:sz w:val="20"/>
              </w:rPr>
              <w:t>001-32871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3755" w:type="dxa"/>
            <w:tcBorders/>
            <w:shd w:fill="auto" w:val="clear"/>
            <w:vAlign w:val="center"/>
          </w:tcPr>
          <w:p>
            <w:pPr>
              <w:pStyle w:val="TableContents"/>
              <w:spacing w:before="0" w:after="283"/>
              <w:jc w:val="center"/>
              <w:rPr/>
            </w:pPr>
            <w:r>
              <w:rPr/>
              <w:t> </w:t>
            </w:r>
          </w:p>
        </w:tc>
        <w:tc>
          <w:tcPr>
            <w:tcW w:w="288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27-0000798</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rPr/>
      </w:pPr>
      <w:r>
        <w:rPr/>
        <w:t> </w:t>
      </w:r>
    </w:p>
    <w:tbl>
      <w:tblPr>
        <w:tblW w:w="4495" w:type="dxa"/>
        <w:jc w:val="left"/>
        <w:tblInd w:w="0" w:type="dxa"/>
        <w:tblCellMar>
          <w:top w:w="0" w:type="dxa"/>
          <w:left w:w="0" w:type="dxa"/>
          <w:bottom w:w="0" w:type="dxa"/>
          <w:right w:w="0" w:type="dxa"/>
        </w:tblCellMar>
      </w:tblPr>
      <w:tblGrid>
        <w:gridCol w:w="3395"/>
        <w:gridCol w:w="60"/>
        <w:gridCol w:w="1040"/>
      </w:tblGrid>
      <w:tr>
        <w:trPr/>
        <w:tc>
          <w:tcPr>
            <w:tcW w:w="339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One Comcast Center</w:t>
            </w:r>
          </w:p>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Philadelphia, </w:t>
            </w:r>
            <w:bookmarkStart w:id="10" w:name="xdx_902_edei--EntityAddressStateOrProvin"/>
            <w:bookmarkEnd w:id="10"/>
            <w:r>
              <w:rPr>
                <w:rFonts w:ascii="Times New Roman;Times;Serif" w:hAnsi="Times New Roman;Times;Serif"/>
                <w:b/>
                <w:i w:val="false"/>
                <w:caps w:val="false"/>
                <w:smallCaps w:val="false"/>
                <w:sz w:val="20"/>
              </w:rPr>
              <w:t>PA</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pPr>
            <w:r>
              <w:rPr/>
              <w:t> </w:t>
            </w:r>
          </w:p>
        </w:tc>
        <w:tc>
          <w:tcPr>
            <w:tcW w:w="104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11" w:name="xdx_903_edei--EntityAddressPostalZipCode"/>
            <w:bookmarkEnd w:id="11"/>
            <w:r>
              <w:rPr>
                <w:rFonts w:ascii="Times New Roman;Times;Serif" w:hAnsi="Times New Roman;Times;Serif"/>
                <w:b/>
                <w:i w:val="false"/>
                <w:caps w:val="false"/>
                <w:smallCaps w:val="false"/>
                <w:sz w:val="20"/>
              </w:rPr>
              <w:t>19103-2838</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5_edei--CityAreaCode_c20230509__20"/>
      <w:bookmarkEnd w:id="12"/>
      <w:r>
        <w:rPr>
          <w:rFonts w:ascii="Times New Roman;Times;Serif" w:hAnsi="Times New Roman;Times;Serif"/>
          <w:b/>
          <w:i w:val="false"/>
          <w:caps w:val="false"/>
          <w:smallCaps w:val="false"/>
          <w:sz w:val="20"/>
        </w:rPr>
        <w:t xml:space="preserve">215) </w:t>
      </w:r>
      <w:bookmarkStart w:id="13" w:name="xdx_90A_edei--LocalPhoneNumber_c20230509"/>
      <w:bookmarkEnd w:id="13"/>
      <w:r>
        <w:rPr>
          <w:rFonts w:ascii="Times New Roman;Times;Serif" w:hAnsi="Times New Roman;Times;Serif"/>
          <w:b/>
          <w:i w:val="false"/>
          <w:caps w:val="false"/>
          <w:smallCaps w:val="false"/>
          <w:sz w:val="20"/>
        </w:rPr>
        <w:t>286-1700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jc w:val="center"/>
        <w:rPr>
          <w:sz w:val="20"/>
        </w:rPr>
      </w:pPr>
      <w:r>
        <w:rPr>
          <w:sz w:val="20"/>
        </w:rPr>
        <w:t>____________________________</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360"/>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4" w:name="xdx_901_edei--WrittenCommunications_c202"/>
            <w:bookmarkEnd w:id="14"/>
            <w:r>
              <w:rPr/>
              <w:t>☐</w:t>
            </w:r>
          </w:p>
        </w:tc>
        <w:tc>
          <w:tcPr>
            <w:tcW w:w="8525" w:type="dxa"/>
            <w:tcBorders/>
            <w:shd w:fill="auto" w:val="clear"/>
            <w:vAlign w:val="center"/>
          </w:tcPr>
          <w:p>
            <w:pPr>
              <w:pStyle w:val="TableContents"/>
              <w:spacing w:before="0" w:after="283"/>
              <w:rPr/>
            </w:pPr>
            <w:r>
              <w:rPr/>
              <w:t>Written communications pursuant to Rule 425 under the Securities Act (17 CFR 230.425)</w:t>
            </w:r>
          </w:p>
        </w:tc>
      </w:tr>
    </w:tbl>
    <w:p>
      <w:pPr>
        <w:pStyle w:val="TextBody"/>
        <w:spacing w:before="0" w:after="0"/>
        <w:rPr>
          <w:caps w:val="false"/>
          <w:smallCaps w:val="false"/>
        </w:rPr>
      </w:pPr>
      <w:r>
        <w:rPr>
          <w:caps w:val="false"/>
          <w:smallCaps w:val="false"/>
        </w:rPr>
        <w:t> </w:t>
      </w:r>
    </w:p>
    <w:tbl>
      <w:tblPr>
        <w:tblW w:w="9093" w:type="dxa"/>
        <w:jc w:val="left"/>
        <w:tblInd w:w="0" w:type="dxa"/>
        <w:tblCellMar>
          <w:top w:w="0" w:type="dxa"/>
          <w:left w:w="0" w:type="dxa"/>
          <w:bottom w:w="0" w:type="dxa"/>
          <w:right w:w="0" w:type="dxa"/>
        </w:tblCellMar>
      </w:tblPr>
      <w:tblGrid>
        <w:gridCol w:w="38"/>
        <w:gridCol w:w="230"/>
        <w:gridCol w:w="88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5" w:name="xdx_90A_edei--SolicitingMaterial_c202305"/>
            <w:bookmarkEnd w:id="15"/>
            <w:r>
              <w:rPr/>
              <w:t>☐</w:t>
            </w:r>
          </w:p>
        </w:tc>
        <w:tc>
          <w:tcPr>
            <w:tcW w:w="8825" w:type="dxa"/>
            <w:tcBorders/>
            <w:shd w:fill="auto" w:val="clear"/>
            <w:vAlign w:val="center"/>
          </w:tcPr>
          <w:p>
            <w:pPr>
              <w:pStyle w:val="TableContents"/>
              <w:spacing w:before="0" w:after="283"/>
              <w:rPr/>
            </w:pPr>
            <w:r>
              <w:rPr/>
              <w:t>Soliciting material pursuant to Rule 14a-12(b) under the Exchange Act (17 CFR 240.14a-12)</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30"/>
        <w:gridCol w:w="10271"/>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6" w:name="xdx_90B_edei--PreCommencementTenderOffer"/>
            <w:bookmarkEnd w:id="16"/>
            <w:r>
              <w:rPr/>
              <w:t>☐</w:t>
            </w:r>
          </w:p>
        </w:tc>
        <w:tc>
          <w:tcPr>
            <w:tcW w:w="10271" w:type="dxa"/>
            <w:tcBorders/>
            <w:shd w:fill="auto" w:val="clear"/>
            <w:vAlign w:val="center"/>
          </w:tcPr>
          <w:p>
            <w:pPr>
              <w:pStyle w:val="TableContents"/>
              <w:spacing w:before="0" w:after="283"/>
              <w:rPr/>
            </w:pPr>
            <w:r>
              <w:rPr/>
              <w:t>Pre-commencement communications pursuant to Rule 14d-2(b) under the Exchange Act (17 CFR 240.14d-2(b))</w:t>
            </w:r>
          </w:p>
        </w:tc>
      </w:tr>
    </w:tbl>
    <w:p>
      <w:pPr>
        <w:pStyle w:val="TextBody"/>
        <w:spacing w:before="0" w:after="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8"/>
        <w:gridCol w:w="230"/>
        <w:gridCol w:w="10271"/>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pPr>
            <w:bookmarkStart w:id="17" w:name="xdx_909_edei--PreCommencementIssuerTende"/>
            <w:bookmarkEnd w:id="17"/>
            <w:r>
              <w:rPr/>
              <w:t>☐</w:t>
            </w:r>
          </w:p>
        </w:tc>
        <w:tc>
          <w:tcPr>
            <w:tcW w:w="10271" w:type="dxa"/>
            <w:tcBorders/>
            <w:shd w:fill="auto" w:val="clear"/>
            <w:vAlign w:val="center"/>
          </w:tcPr>
          <w:p>
            <w:pPr>
              <w:pStyle w:val="TableContents"/>
              <w:spacing w:before="0" w:after="283"/>
              <w:rPr/>
            </w:pPr>
            <w:r>
              <w:rPr/>
              <w:t>Pre-commencement communications pursuant to Rule 13e-4(c) under the Exchange Act (17 CFR 240.13e-4(c))</w:t>
            </w:r>
          </w:p>
        </w:tc>
      </w:tr>
    </w:tbl>
    <w:p>
      <w:pPr>
        <w:pStyle w:val="TextBody"/>
        <w:spacing w:before="0" w:after="0"/>
        <w:rPr>
          <w:caps w:val="false"/>
          <w:smallCaps w:val="false"/>
        </w:rPr>
      </w:pPr>
      <w:r>
        <w:rPr>
          <w:caps w:val="false"/>
          <w:smallCaps w:val="false"/>
        </w:rPr>
        <w:t> </w:t>
      </w:r>
    </w:p>
    <w:tbl>
      <w:tblPr>
        <w:tblW w:w="10455" w:type="dxa"/>
        <w:jc w:val="left"/>
        <w:tblInd w:w="0" w:type="dxa"/>
        <w:tblCellMar>
          <w:top w:w="28" w:type="dxa"/>
          <w:left w:w="28" w:type="dxa"/>
          <w:bottom w:w="28" w:type="dxa"/>
          <w:right w:w="28" w:type="dxa"/>
        </w:tblCellMar>
      </w:tblPr>
      <w:tblGrid>
        <w:gridCol w:w="5330"/>
        <w:gridCol w:w="1535"/>
        <w:gridCol w:w="3590"/>
      </w:tblGrid>
      <w:tr>
        <w:trPr/>
        <w:tc>
          <w:tcPr>
            <w:tcW w:w="533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Name of each exchange on which registered</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18" w:name="xdx_90D_edei--Security12bTitle_c20230509"/>
            <w:bookmarkEnd w:id="18"/>
            <w:r>
              <w:rPr>
                <w:sz w:val="20"/>
              </w:rPr>
              <w:t>Class A Common Stock, $0.01 par value</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19" w:name="xdx_90C_edei--TradingSymbol_c20230509__2"/>
            <w:bookmarkEnd w:id="19"/>
            <w:r>
              <w:rPr/>
              <w:t>CMCSA</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0" w:name="xdx_90F_edei--SecurityExchangeName_c2023"/>
            <w:bookmarkEnd w:id="20"/>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1" w:name="xdx_906_edei--Security12bTitle_c20230509"/>
            <w:bookmarkEnd w:id="21"/>
            <w:r>
              <w:rPr/>
              <w:t>0.000% Notes due 2026</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2" w:name="xdx_909_edei--TradingSymbol_c20230509__2"/>
            <w:bookmarkEnd w:id="22"/>
            <w:r>
              <w:rPr/>
              <w:t>CMCS26</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3" w:name="xdx_90F_edei--SecurityExchangeName_c2023"/>
            <w:bookmarkEnd w:id="23"/>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4" w:name="xdx_902_edei--Security12bTitle_c20230509"/>
            <w:bookmarkEnd w:id="24"/>
            <w:r>
              <w:rPr/>
              <w:t>0.250% Notes due 2027</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5" w:name="xdx_90C_edei--TradingSymbol_c20230509__2"/>
            <w:bookmarkEnd w:id="25"/>
            <w:r>
              <w:rPr/>
              <w:t>CMCS27</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6" w:name="xdx_904_edei--SecurityExchangeName_c2023"/>
            <w:bookmarkEnd w:id="26"/>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27" w:name="xdx_90C_edei--Security12bTitle_c20230509"/>
            <w:bookmarkEnd w:id="27"/>
            <w:r>
              <w:rPr/>
              <w:t>1.500%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8" w:name="xdx_905_edei--TradingSymbol_c20230509__2"/>
            <w:bookmarkEnd w:id="28"/>
            <w:r>
              <w:rPr/>
              <w:t>CMCS29</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29" w:name="xdx_908_edei--SecurityExchangeName_c2023"/>
            <w:bookmarkEnd w:id="29"/>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0" w:name="xdx_909_edei--Security12bTitle_c20230509"/>
            <w:bookmarkEnd w:id="30"/>
            <w:r>
              <w:rPr/>
              <w:t>0.250%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1" w:name="xdx_90F_edei--TradingSymbol_c20230509__2"/>
            <w:bookmarkEnd w:id="31"/>
            <w:r>
              <w:rPr/>
              <w:t>CMCS29A</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2" w:name="xdx_903_edei--SecurityExchangeName_c2023"/>
            <w:bookmarkEnd w:id="32"/>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3" w:name="xdx_90E_edei--Security12bTitle_c20230509"/>
            <w:bookmarkEnd w:id="33"/>
            <w:r>
              <w:rPr/>
              <w:t>0.750% Notes due 2032</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4" w:name="xdx_908_edei--TradingSymbol_c20230509__2"/>
            <w:bookmarkEnd w:id="34"/>
            <w:r>
              <w:rPr/>
              <w:t>CMCS32</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5" w:name="xdx_90C_edei--SecurityExchangeName_c2023"/>
            <w:bookmarkEnd w:id="35"/>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6" w:name="xdx_902_edei--Security12bTitle_c20230509"/>
            <w:bookmarkEnd w:id="36"/>
            <w:r>
              <w:rPr/>
              <w:t>1.875% Notes due 2036</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7" w:name="xdx_906_edei--TradingSymbol_c20230509__2"/>
            <w:bookmarkEnd w:id="37"/>
            <w:r>
              <w:rPr/>
              <w:t>CMCS36</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38" w:name="xdx_907_edei--SecurityExchangeName_c2023"/>
            <w:bookmarkEnd w:id="38"/>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39" w:name="xdx_908_edei--Security12bTitle_c20230509"/>
            <w:bookmarkEnd w:id="39"/>
            <w:r>
              <w:rPr/>
              <w:t>1.250% Notes due 2040</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0" w:name="xdx_907_edei--TradingSymbol_c20230509__2"/>
            <w:bookmarkEnd w:id="40"/>
            <w:r>
              <w:rPr/>
              <w:t>CMCS40</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1" w:name="xdx_90F_edei--SecurityExchangeName_c2023"/>
            <w:bookmarkEnd w:id="41"/>
            <w:r>
              <w:rPr/>
              <w:t>The Nasdaq Stock Market LLC</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42" w:name="xdx_90C_edei--Security12bTitle_c20230509"/>
            <w:bookmarkEnd w:id="42"/>
            <w:r>
              <w:rPr/>
              <w:t>5.50%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3" w:name="xdx_900_edei--TradingSymbol_c20230509__2"/>
            <w:bookmarkEnd w:id="43"/>
            <w:r>
              <w:rPr/>
              <w:t>CCGBP29</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4" w:name="xdx_903_edei--SecurityExchangeName_c2023"/>
            <w:bookmarkEnd w:id="44"/>
            <w:r>
              <w:rPr/>
              <w:t>New York Stock Exchange</w:t>
            </w:r>
          </w:p>
        </w:tc>
      </w:tr>
      <w:tr>
        <w:trPr/>
        <w:tc>
          <w:tcPr>
            <w:tcW w:w="533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pPr>
            <w:bookmarkStart w:id="45" w:name="xdx_906_edei--Security12bTitle_c20230509"/>
            <w:bookmarkEnd w:id="45"/>
            <w:r>
              <w:rPr/>
              <w:t>2.0% Exchangeable Subordinated Debentures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6" w:name="xdx_90A_edei--TradingSymbol_c20230509__2"/>
            <w:bookmarkEnd w:id="46"/>
            <w:r>
              <w:rPr/>
              <w:t>CCZ</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pPr>
            <w:bookmarkStart w:id="47" w:name="xdx_90C_edei--SecurityExchangeName_c2023"/>
            <w:bookmarkEnd w:id="47"/>
            <w:r>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48" w:name="xdx_901_edei--EntityEmergingGrowthCompan"/>
      <w:bookmarkEnd w:id="4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rPr/>
      </w:pPr>
      <w:r>
        <w:rPr/>
        <w:t> </w:t>
      </w:r>
    </w:p>
    <w:p>
      <w:pPr>
        <w:pStyle w:val="TextBody"/>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87"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pacing w:before="0" w:after="0"/>
        <w:ind w:left="187"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Comcast Corporation (“Comcast”) consummated the issuance and sale of $1,000,000,000 aggregate principal amount of its 4.550% Notes due 2029 (the “2029 Notes”), $1,000,000,000 aggregate principal amount of its 4.800% Notes due 2033 (the “2033 Notes”), $1,600,000,000 aggregate principal amount of its 5.350% Notes due 2053 (the “2053 Notes”) and $1,400,000,000 aggregate principal amount of its 5.500% Notes due 2064 (the “2064 Notes” and, together with the 2029 Notes, the 2033 Notes and the 2053 Notes, the “Notes”), pursuant to an underwriting agreement dated May 1, 2023 among Comcast, the Guarantors (as defined below) and Goldman Sachs &amp; Co. LLC, Morgan Stanley &amp; Co. LLC, SMBC Nikko Securities America, Inc.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Notes are guaranteed on an unsecured and unsubordinated basis by Comcast Cable Communications, LLC and NBCUniversal Media, LLC (the “Guarantors”).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pursuant to Comcast’s Registration Statement on Form S-3 filed on July 29, 2022 (the “Registration Statement”), as amended at the date of the underwriting agreement (Reg. No. 333-266390), including the prospectus contained therein, and a related prospectus supplement, dated May 1, 2023.</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the Registration Statement, each of which are incorporated by reference herein.</w:t>
      </w:r>
    </w:p>
    <w:p>
      <w:pPr>
        <w:pStyle w:val="TextBody"/>
        <w:spacing w:before="0" w:after="0"/>
        <w:ind w:left="0" w:right="0" w:firstLine="360"/>
        <w:rPr>
          <w:caps w:val="false"/>
          <w:smallCaps w:val="false"/>
        </w:rPr>
      </w:pPr>
      <w:r>
        <w:rPr>
          <w:caps w:val="false"/>
          <w:smallCaps w:val="false"/>
        </w:rPr>
        <w:t> </w:t>
      </w:r>
    </w:p>
    <w:p>
      <w:pPr>
        <w:pStyle w:val="TextBody"/>
        <w:spacing w:before="0" w:after="0"/>
        <w:ind w:left="187"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9.01(d) Exhibits</w:t>
      </w:r>
    </w:p>
    <w:p>
      <w:pPr>
        <w:pStyle w:val="TextBody"/>
        <w:spacing w:before="0" w:after="0"/>
        <w:ind w:left="187" w:right="0" w:hanging="0"/>
        <w:rPr>
          <w:caps w:val="false"/>
          <w:smallCaps w:val="false"/>
        </w:rPr>
      </w:pPr>
      <w:r>
        <w:rPr>
          <w:caps w:val="false"/>
          <w:smallCaps w:val="false"/>
        </w:rPr>
        <w:t> </w:t>
      </w:r>
    </w:p>
    <w:tbl>
      <w:tblPr>
        <w:tblW w:w="9085" w:type="dxa"/>
        <w:jc w:val="left"/>
        <w:tblInd w:w="0" w:type="dxa"/>
        <w:tblCellMar>
          <w:top w:w="0" w:type="dxa"/>
          <w:left w:w="0" w:type="dxa"/>
          <w:bottom w:w="28" w:type="dxa"/>
          <w:right w:w="0" w:type="dxa"/>
        </w:tblCellMar>
      </w:tblPr>
      <w:tblGrid>
        <w:gridCol w:w="1400"/>
        <w:gridCol w:w="60"/>
        <w:gridCol w:w="7625"/>
      </w:tblGrid>
      <w:tr>
        <w:trPr/>
        <w:tc>
          <w:tcPr>
            <w:tcW w:w="1400" w:type="dxa"/>
            <w:tcBorders>
              <w:bottom w:val="single" w:sz="8" w:space="0" w:color="000000"/>
            </w:tcBorders>
            <w:shd w:fill="auto" w:val="clear"/>
            <w:vAlign w:val="center"/>
          </w:tcPr>
          <w:p>
            <w:pPr>
              <w:pStyle w:val="TableContents"/>
              <w:spacing w:before="0" w:after="283"/>
              <w:rPr>
                <w:b/>
                <w:sz w:val="20"/>
              </w:rPr>
            </w:pPr>
            <w:r>
              <w:rPr>
                <w:b/>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7625" w:type="dxa"/>
            <w:tcBorders>
              <w:bottom w:val="single" w:sz="8" w:space="0" w:color="000000"/>
            </w:tcBorders>
            <w:shd w:fill="auto" w:val="clear"/>
            <w:vAlign w:val="center"/>
          </w:tcPr>
          <w:p>
            <w:pPr>
              <w:pStyle w:val="TableContents"/>
              <w:spacing w:before="0" w:after="283"/>
              <w:rPr>
                <w:b/>
                <w:sz w:val="20"/>
              </w:rPr>
            </w:pPr>
            <w:r>
              <w:rPr>
                <w:b/>
                <w:sz w:val="20"/>
              </w:rPr>
              <w:t>Description</w:t>
            </w:r>
          </w:p>
        </w:tc>
      </w:tr>
      <w:tr>
        <w:trPr/>
        <w:tc>
          <w:tcPr>
            <w:tcW w:w="1400" w:type="dxa"/>
            <w:tcBorders/>
            <w:shd w:fill="auto" w:val="clear"/>
            <w:tcMar>
              <w:bottom w:w="0" w:type="dxa"/>
            </w:tcMar>
            <w:vAlign w:val="center"/>
          </w:tcPr>
          <w:p>
            <w:pPr>
              <w:pStyle w:val="TableContents"/>
              <w:spacing w:before="0" w:after="283"/>
              <w:rPr/>
            </w:pPr>
            <w:hyperlink w:anchor="dp193525_ex0401.htm">
              <w:r>
                <w:rPr>
                  <w:rStyle w:val="InternetLink"/>
                </w:rPr>
                <w:t>4.1</w:t>
              </w:r>
            </w:hyperlink>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hyperlink w:anchor="dp193525_ex0401.htm">
              <w:r>
                <w:rPr>
                  <w:rStyle w:val="InternetLink"/>
                </w:rPr>
                <w:t>Form of Officers’ Certificate setting forth the terms of the Notes</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pPr>
            <w:hyperlink w:anchor="dp193525_ex0501.htm">
              <w:r>
                <w:rPr>
                  <w:rStyle w:val="InternetLink"/>
                </w:rPr>
                <w:t>5.1</w:t>
              </w:r>
            </w:hyperlink>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hyperlink w:anchor="dp193525_ex0501.htm">
              <w:r>
                <w:rPr>
                  <w:rStyle w:val="InternetLink"/>
                </w:rPr>
                <w:t>Opinion of Elizabeth Wideman, Esq.</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pPr>
            <w:hyperlink w:anchor="dp193525_ex0502.htm">
              <w:r>
                <w:rPr>
                  <w:rStyle w:val="InternetLink"/>
                </w:rPr>
                <w:t>5.2</w:t>
              </w:r>
            </w:hyperlink>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hyperlink w:anchor="dp193525_ex0502.htm">
              <w:r>
                <w:rPr>
                  <w:rStyle w:val="InternetLink"/>
                </w:rPr>
                <w:t>Opinion of Davis Polk &amp; Wardwell LLP</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pPr>
            <w:hyperlink w:anchor="dp193525_ex0501.htm">
              <w:r>
                <w:rPr>
                  <w:rStyle w:val="InternetLink"/>
                </w:rPr>
                <w:t>23.1</w:t>
              </w:r>
            </w:hyperlink>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hyperlink w:anchor="dp193525_ex0501.htm">
              <w:r>
                <w:rPr>
                  <w:rStyle w:val="InternetLink"/>
                </w:rPr>
                <w:t>Consent of Elizabeth Wideman, Esq. (contained in Exhibit 5.1)</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pPr>
            <w:hyperlink w:anchor="dp193525_ex0502.htm">
              <w:r>
                <w:rPr>
                  <w:rStyle w:val="InternetLink"/>
                </w:rPr>
                <w:t>23.2</w:t>
              </w:r>
            </w:hyperlink>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hyperlink w:anchor="dp193525_ex0502.htm">
              <w:r>
                <w:rPr>
                  <w:rStyle w:val="InternetLink"/>
                </w:rPr>
                <w:t>Consent of Davis Polk &amp; Wardwell LLP (contained in Exhibit 5.2)</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pPr>
            <w:r>
              <w:rPr/>
              <w:t>104</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Cover Page Interactive Data File (embedded within the Inline XBRL document)</w:t>
            </w:r>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625" w:type="dxa"/>
            <w:tcBorders/>
            <w:shd w:fill="auto" w:val="clear"/>
            <w:tcMar>
              <w:bottom w:w="0" w:type="dxa"/>
            </w:tcMar>
            <w:vAlign w:val="center"/>
          </w:tcPr>
          <w:p>
            <w:pPr>
              <w:pStyle w:val="TableContents"/>
              <w:spacing w:before="0" w:after="283"/>
              <w:rPr/>
            </w:pPr>
            <w:r>
              <w:rPr/>
              <w:t> </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0"/>
        <w:rPr>
          <w:caps w:val="false"/>
          <w:smallCaps w:val="false"/>
        </w:rPr>
      </w:pPr>
      <w:r>
        <w:rPr>
          <w:caps w:val="false"/>
          <w:smallCaps w:val="false"/>
        </w:rPr>
        <w:t> </w:t>
      </w:r>
    </w:p>
    <w:tbl>
      <w:tblPr>
        <w:tblW w:w="10360" w:type="dxa"/>
        <w:jc w:val="left"/>
        <w:tblInd w:w="0" w:type="dxa"/>
        <w:tblCellMar>
          <w:top w:w="0" w:type="dxa"/>
          <w:left w:w="0" w:type="dxa"/>
          <w:bottom w:w="0" w:type="dxa"/>
          <w:right w:w="0" w:type="dxa"/>
        </w:tblCellMar>
      </w:tblPr>
      <w:tblGrid>
        <w:gridCol w:w="545"/>
        <w:gridCol w:w="1235"/>
        <w:gridCol w:w="60"/>
        <w:gridCol w:w="365"/>
        <w:gridCol w:w="650"/>
        <w:gridCol w:w="7505"/>
      </w:tblGrid>
      <w:tr>
        <w:trPr/>
        <w:tc>
          <w:tcPr>
            <w:tcW w:w="17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b/>
              </w:rPr>
            </w:pPr>
            <w:r>
              <w:rPr>
                <w:b/>
              </w:rPr>
              <w:t>COMCAST CORPORATION</w:t>
            </w:r>
          </w:p>
        </w:tc>
      </w:tr>
      <w:tr>
        <w:trPr/>
        <w:tc>
          <w:tcPr>
            <w:tcW w:w="17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pPr>
            <w:r>
              <w:rPr/>
              <w:t> </w:t>
            </w:r>
          </w:p>
        </w:tc>
      </w:tr>
      <w:tr>
        <w:trPr/>
        <w:tc>
          <w:tcPr>
            <w:tcW w:w="17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283"/>
              <w:rPr/>
            </w:pPr>
            <w:r>
              <w:rPr/>
              <w:t>Date:</w:t>
            </w:r>
          </w:p>
        </w:tc>
        <w:tc>
          <w:tcPr>
            <w:tcW w:w="1235" w:type="dxa"/>
            <w:tcBorders/>
            <w:shd w:fill="auto" w:val="clear"/>
            <w:vAlign w:val="center"/>
          </w:tcPr>
          <w:p>
            <w:pPr>
              <w:pStyle w:val="TableContents"/>
              <w:spacing w:before="0" w:after="283"/>
              <w:rPr/>
            </w:pPr>
            <w:r>
              <w:rPr/>
              <w:t>May 9, 2023</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8155" w:type="dxa"/>
            <w:gridSpan w:val="2"/>
            <w:tcBorders>
              <w:bottom w:val="single" w:sz="8" w:space="0" w:color="000000"/>
            </w:tcBorders>
            <w:shd w:fill="auto" w:val="clear"/>
            <w:tcMar>
              <w:bottom w:w="28" w:type="dxa"/>
            </w:tcMar>
            <w:vAlign w:val="center"/>
          </w:tcPr>
          <w:p>
            <w:pPr>
              <w:pStyle w:val="TableContents"/>
              <w:spacing w:before="0" w:after="283"/>
              <w:rPr/>
            </w:pPr>
            <w:r>
              <w:rPr/>
              <w:t>/s/ Elizabeth Wideman</w:t>
            </w:r>
          </w:p>
        </w:tc>
      </w:tr>
      <w:tr>
        <w:trPr/>
        <w:tc>
          <w:tcPr>
            <w:tcW w:w="54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7505" w:type="dxa"/>
            <w:tcBorders/>
            <w:shd w:fill="auto" w:val="clear"/>
            <w:vAlign w:val="center"/>
          </w:tcPr>
          <w:p>
            <w:pPr>
              <w:pStyle w:val="TableContents"/>
              <w:spacing w:before="0" w:after="283"/>
              <w:rPr/>
            </w:pPr>
            <w:r>
              <w:rPr/>
              <w:t>Elizabeth Wideman</w:t>
            </w:r>
          </w:p>
        </w:tc>
      </w:tr>
      <w:tr>
        <w:trPr/>
        <w:tc>
          <w:tcPr>
            <w:tcW w:w="545"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7505" w:type="dxa"/>
            <w:tcBorders/>
            <w:shd w:fill="auto" w:val="clear"/>
            <w:vAlign w:val="center"/>
          </w:tcPr>
          <w:p>
            <w:pPr>
              <w:pStyle w:val="TableContents"/>
              <w:spacing w:before="0" w:after="283"/>
              <w:rPr/>
            </w:pPr>
            <w:r>
              <w:rPr/>
              <w:t>Senior Vice President, Senior Deputy General Counsel and Assistant Secretary</w:t>
            </w:r>
          </w:p>
        </w:tc>
      </w:tr>
    </w:tbl>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TextBody"/>
        <w:rPr/>
      </w:pPr>
      <w:bookmarkStart w:id="49" w:name="dp193525_ex0401.htm"/>
      <w:bookmarkStart w:id="50" w:name="ksdp193525_ex0401"/>
      <w:bookmarkEnd w:id="49"/>
      <w:bookmarkEnd w:id="50"/>
      <w:r>
        <w:rPr/>
        <w:t> </w:t>
      </w:r>
    </w:p>
    <w:p>
      <w:pPr>
        <w:pStyle w:val="TextBody"/>
        <w:jc w:val="right"/>
        <w:rPr>
          <w:b/>
        </w:rPr>
      </w:pPr>
      <w:r>
        <w:rPr>
          <w:b/>
        </w:rPr>
        <w:t>Exhibit 4.1</w:t>
      </w:r>
    </w:p>
    <w:p>
      <w:pPr>
        <w:pStyle w:val="TextBody"/>
        <w:spacing w:before="0" w:after="0"/>
        <w:ind w:left="110" w:right="11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Officers’ Certificate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9,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2.03 of the Indenture dated as of September 18, 2013, by and among Comcast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guarantors named therein and The Bank of New York Mellon,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the First Supplemental Indenture dated as of November 17, 2015 by and among Comcast, the guarantors named therein and the Trustee and as further supplemented by the second Supplemental Indenture dated as of July 29, 2022 (as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w:t>
      </w:r>
      <w:r>
        <w:rPr>
          <w:rFonts w:ascii="Times New Roman;Times;Serif" w:hAnsi="Times New Roman;Times;Serif"/>
          <w:b w:val="false"/>
          <w:i w:val="false"/>
          <w:caps w:val="false"/>
          <w:smallCaps w:val="false"/>
          <w:color w:val="231F20"/>
          <w:sz w:val="20"/>
        </w:rPr>
        <w:t>1,000,000,000</w:t>
      </w:r>
      <w:r>
        <w:rPr>
          <w:rFonts w:ascii="Times New Roman;Times;Serif" w:hAnsi="Times New Roman;Times;Serif"/>
          <w:b w:val="false"/>
          <w:i w:val="false"/>
          <w:caps w:val="false"/>
          <w:smallCaps w:val="false"/>
          <w:sz w:val="20"/>
        </w:rPr>
        <w:t xml:space="preserve"> aggregate principal amount of 4.550% Notes due 2029 (the “</w:t>
      </w:r>
      <w:r>
        <w:rPr>
          <w:rFonts w:ascii="Times New Roman;Times;Serif" w:hAnsi="Times New Roman;Times;Serif"/>
          <w:b/>
          <w:i w:val="false"/>
          <w:caps w:val="false"/>
          <w:smallCaps w:val="false"/>
          <w:sz w:val="20"/>
        </w:rPr>
        <w:t>2029 Notes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231F20"/>
          <w:sz w:val="20"/>
        </w:rPr>
        <w:t>1,000,000,000</w:t>
      </w:r>
      <w:r>
        <w:rPr>
          <w:rFonts w:ascii="Times New Roman;Times;Serif" w:hAnsi="Times New Roman;Times;Serif"/>
          <w:b w:val="false"/>
          <w:i w:val="false"/>
          <w:caps w:val="false"/>
          <w:smallCaps w:val="false"/>
          <w:sz w:val="20"/>
        </w:rPr>
        <w:t xml:space="preserve"> aggregate principal amount of 4.800% Notes due 2033 (the “</w:t>
      </w:r>
      <w:r>
        <w:rPr>
          <w:rFonts w:ascii="Times New Roman;Times;Serif" w:hAnsi="Times New Roman;Times;Serif"/>
          <w:b/>
          <w:i w:val="false"/>
          <w:caps w:val="false"/>
          <w:smallCaps w:val="false"/>
          <w:sz w:val="20"/>
        </w:rPr>
        <w:t>2033 Notes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231F20"/>
          <w:sz w:val="20"/>
        </w:rPr>
        <w:t>1,600,000,000</w:t>
      </w:r>
      <w:r>
        <w:rPr>
          <w:rFonts w:ascii="Times New Roman;Times;Serif" w:hAnsi="Times New Roman;Times;Serif"/>
          <w:b w:val="false"/>
          <w:i w:val="false"/>
          <w:caps w:val="false"/>
          <w:smallCaps w:val="false"/>
          <w:sz w:val="20"/>
        </w:rPr>
        <w:t xml:space="preserve"> aggregate principal amount of 5.350% Notes due 2053 (the “</w:t>
      </w:r>
      <w:r>
        <w:rPr>
          <w:rFonts w:ascii="Times New Roman;Times;Serif" w:hAnsi="Times New Roman;Times;Serif"/>
          <w:b/>
          <w:i w:val="false"/>
          <w:caps w:val="false"/>
          <w:smallCaps w:val="false"/>
          <w:sz w:val="20"/>
        </w:rPr>
        <w:t>2053 Notes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color w:val="231F20"/>
          <w:sz w:val="20"/>
        </w:rPr>
        <w:t>1,400,000,000</w:t>
      </w:r>
      <w:r>
        <w:rPr>
          <w:rFonts w:ascii="Times New Roman;Times;Serif" w:hAnsi="Times New Roman;Times;Serif"/>
          <w:b w:val="false"/>
          <w:i w:val="false"/>
          <w:caps w:val="false"/>
          <w:smallCaps w:val="false"/>
          <w:sz w:val="20"/>
        </w:rPr>
        <w:t xml:space="preserve"> aggregate principal amount of 5.500% Notes due 2064 (the “</w:t>
      </w:r>
      <w:r>
        <w:rPr>
          <w:rFonts w:ascii="Times New Roman;Times;Serif" w:hAnsi="Times New Roman;Times;Serif"/>
          <w:b/>
          <w:i w:val="false"/>
          <w:caps w:val="false"/>
          <w:smallCaps w:val="false"/>
          <w:sz w:val="20"/>
        </w:rPr>
        <w:t>2064 Notes</w:t>
      </w:r>
      <w:r>
        <w:rPr>
          <w:rFonts w:ascii="Times New Roman;Times;Serif" w:hAnsi="Times New Roman;Times;Serif"/>
          <w:b w:val="false"/>
          <w:i w:val="false"/>
          <w:caps w:val="false"/>
          <w:smallCaps w:val="false"/>
          <w:sz w:val="20"/>
        </w:rPr>
        <w:t>” and, together with the 2029 Notes, the 2033 Notes and the 2053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that the terms of the Notes are as follows:</w:t>
      </w:r>
    </w:p>
    <w:p>
      <w:pPr>
        <w:pStyle w:val="TextBody"/>
        <w:spacing w:before="0" w:after="0"/>
        <w:ind w:left="0" w:right="0" w:firstLine="72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1411"/>
        <w:gridCol w:w="9128"/>
      </w:tblGrid>
      <w:tr>
        <w:trPr/>
        <w:tc>
          <w:tcPr>
            <w:tcW w:w="10539" w:type="dxa"/>
            <w:gridSpan w:val="2"/>
            <w:tcBorders/>
            <w:shd w:fill="auto" w:val="clear"/>
            <w:vAlign w:val="center"/>
          </w:tcPr>
          <w:p>
            <w:pPr>
              <w:pStyle w:val="TableContents"/>
              <w:spacing w:before="0" w:after="283"/>
              <w:jc w:val="center"/>
              <w:rPr>
                <w:b/>
                <w:u w:val="single"/>
              </w:rPr>
            </w:pPr>
            <w:r>
              <w:rPr>
                <w:b/>
                <w:u w:val="single"/>
              </w:rPr>
              <w:t>4.550</w:t>
            </w:r>
            <w:r>
              <w:rPr>
                <w:b/>
                <w:sz w:val="20"/>
                <w:u w:val="single"/>
              </w:rPr>
              <w:t>% Notes due 2029</w:t>
            </w:r>
          </w:p>
        </w:tc>
      </w:tr>
      <w:tr>
        <w:trPr/>
        <w:tc>
          <w:tcPr>
            <w:tcW w:w="10539" w:type="dxa"/>
            <w:gridSpan w:val="2"/>
            <w:tcBorders/>
            <w:shd w:fill="auto" w:val="clear"/>
            <w:vAlign w:val="center"/>
          </w:tcPr>
          <w:p>
            <w:pPr>
              <w:pStyle w:val="TableContents"/>
              <w:spacing w:before="0" w:after="283"/>
              <w:rPr/>
            </w:pPr>
            <w:r>
              <w:rPr/>
              <w:t> </w:t>
            </w:r>
          </w:p>
        </w:tc>
      </w:tr>
      <w:tr>
        <w:trPr/>
        <w:tc>
          <w:tcPr>
            <w:tcW w:w="1411" w:type="dxa"/>
            <w:tcBorders/>
            <w:shd w:fill="auto" w:val="clear"/>
            <w:vAlign w:val="center"/>
          </w:tcPr>
          <w:p>
            <w:pPr>
              <w:pStyle w:val="TableContents"/>
              <w:spacing w:before="0" w:after="283"/>
              <w:rPr>
                <w:i/>
                <w:sz w:val="20"/>
              </w:rPr>
            </w:pPr>
            <w:r>
              <w:rPr>
                <w:i/>
                <w:sz w:val="20"/>
              </w:rPr>
              <w:t>Title:</w:t>
            </w:r>
          </w:p>
        </w:tc>
        <w:tc>
          <w:tcPr>
            <w:tcW w:w="9128" w:type="dxa"/>
            <w:tcBorders/>
            <w:shd w:fill="auto" w:val="clear"/>
            <w:vAlign w:val="center"/>
          </w:tcPr>
          <w:p>
            <w:pPr>
              <w:pStyle w:val="TableContents"/>
              <w:spacing w:before="0" w:after="283"/>
              <w:rPr>
                <w:sz w:val="20"/>
              </w:rPr>
            </w:pPr>
            <w:r>
              <w:rPr>
                <w:sz w:val="20"/>
              </w:rPr>
              <w:t>4.550% Notes due 2029</w:t>
            </w:r>
          </w:p>
        </w:tc>
      </w:tr>
      <w:tr>
        <w:trPr/>
        <w:tc>
          <w:tcPr>
            <w:tcW w:w="1411" w:type="dxa"/>
            <w:tcBorders/>
            <w:shd w:fill="auto" w:val="clear"/>
            <w:vAlign w:val="center"/>
          </w:tcPr>
          <w:p>
            <w:pPr>
              <w:pStyle w:val="TableContents"/>
              <w:spacing w:before="0" w:after="283"/>
              <w:rPr/>
            </w:pPr>
            <w:r>
              <w:rPr/>
              <w:t> </w:t>
            </w:r>
          </w:p>
        </w:tc>
        <w:tc>
          <w:tcPr>
            <w:tcW w:w="9128" w:type="dxa"/>
            <w:tcBorders/>
            <w:shd w:fill="auto" w:val="clear"/>
            <w:vAlign w:val="center"/>
          </w:tcPr>
          <w:p>
            <w:pPr>
              <w:pStyle w:val="TableContents"/>
              <w:spacing w:before="0" w:after="283"/>
              <w:rPr/>
            </w:pPr>
            <w:r>
              <w:rPr/>
              <w:t> </w:t>
            </w:r>
          </w:p>
        </w:tc>
      </w:tr>
      <w:tr>
        <w:trPr/>
        <w:tc>
          <w:tcPr>
            <w:tcW w:w="1411" w:type="dxa"/>
            <w:tcBorders/>
            <w:shd w:fill="auto" w:val="clear"/>
            <w:vAlign w:val="center"/>
          </w:tcPr>
          <w:p>
            <w:pPr>
              <w:pStyle w:val="TableContents"/>
              <w:spacing w:before="0" w:after="283"/>
              <w:rPr>
                <w:i/>
                <w:sz w:val="20"/>
              </w:rPr>
            </w:pPr>
            <w:r>
              <w:rPr>
                <w:i/>
                <w:sz w:val="20"/>
              </w:rPr>
              <w:t>Aggregate Principal Amount at Maturity:</w:t>
            </w:r>
          </w:p>
        </w:tc>
        <w:tc>
          <w:tcPr>
            <w:tcW w:w="9128" w:type="dxa"/>
            <w:tcBorders/>
            <w:shd w:fill="auto" w:val="clear"/>
            <w:vAlign w:val="center"/>
          </w:tcPr>
          <w:p>
            <w:pPr>
              <w:pStyle w:val="TableContents"/>
              <w:spacing w:before="0" w:after="283"/>
              <w:rPr>
                <w:sz w:val="20"/>
              </w:rPr>
            </w:pPr>
            <w:r>
              <w:rPr>
                <w:sz w:val="20"/>
              </w:rPr>
              <w:t>$</w:t>
            </w:r>
            <w:r>
              <w:rPr>
                <w:color w:val="231F20"/>
                <w:sz w:val="20"/>
              </w:rPr>
              <w:t>1,000,000,000</w:t>
            </w:r>
          </w:p>
        </w:tc>
      </w:tr>
      <w:tr>
        <w:trPr/>
        <w:tc>
          <w:tcPr>
            <w:tcW w:w="1411" w:type="dxa"/>
            <w:tcBorders/>
            <w:shd w:fill="auto" w:val="clear"/>
            <w:vAlign w:val="center"/>
          </w:tcPr>
          <w:p>
            <w:pPr>
              <w:pStyle w:val="TableContents"/>
              <w:spacing w:before="0" w:after="283"/>
              <w:rPr/>
            </w:pPr>
            <w:r>
              <w:rPr/>
              <w:t> </w:t>
            </w:r>
          </w:p>
        </w:tc>
        <w:tc>
          <w:tcPr>
            <w:tcW w:w="9128" w:type="dxa"/>
            <w:tcBorders/>
            <w:shd w:fill="auto" w:val="clear"/>
            <w:vAlign w:val="center"/>
          </w:tcPr>
          <w:p>
            <w:pPr>
              <w:pStyle w:val="TableContents"/>
              <w:spacing w:before="0" w:after="283"/>
              <w:rPr/>
            </w:pPr>
            <w:r>
              <w:rPr/>
              <w:t> </w:t>
            </w:r>
          </w:p>
        </w:tc>
      </w:tr>
      <w:tr>
        <w:trPr/>
        <w:tc>
          <w:tcPr>
            <w:tcW w:w="1411" w:type="dxa"/>
            <w:tcBorders/>
            <w:shd w:fill="auto" w:val="clear"/>
            <w:vAlign w:val="center"/>
          </w:tcPr>
          <w:p>
            <w:pPr>
              <w:pStyle w:val="TableContents"/>
              <w:spacing w:before="0" w:after="283"/>
              <w:rPr>
                <w:i/>
                <w:sz w:val="20"/>
              </w:rPr>
            </w:pPr>
            <w:r>
              <w:rPr>
                <w:i/>
                <w:sz w:val="20"/>
              </w:rPr>
              <w:t>Principal Payment Date:</w:t>
            </w:r>
          </w:p>
        </w:tc>
        <w:tc>
          <w:tcPr>
            <w:tcW w:w="9128" w:type="dxa"/>
            <w:tcBorders/>
            <w:shd w:fill="auto" w:val="clear"/>
            <w:vAlign w:val="center"/>
          </w:tcPr>
          <w:p>
            <w:pPr>
              <w:pStyle w:val="TableContents"/>
              <w:spacing w:before="0" w:after="283"/>
              <w:rPr>
                <w:sz w:val="20"/>
              </w:rPr>
            </w:pPr>
            <w:r>
              <w:rPr>
                <w:sz w:val="20"/>
              </w:rPr>
              <w:t>January 15, 2029</w:t>
            </w:r>
          </w:p>
        </w:tc>
      </w:tr>
      <w:tr>
        <w:trPr/>
        <w:tc>
          <w:tcPr>
            <w:tcW w:w="1411" w:type="dxa"/>
            <w:tcBorders/>
            <w:shd w:fill="auto" w:val="clear"/>
            <w:vAlign w:val="center"/>
          </w:tcPr>
          <w:p>
            <w:pPr>
              <w:pStyle w:val="TableContents"/>
              <w:spacing w:before="0" w:after="283"/>
              <w:rPr/>
            </w:pPr>
            <w:r>
              <w:rPr/>
              <w:t> </w:t>
            </w:r>
          </w:p>
        </w:tc>
        <w:tc>
          <w:tcPr>
            <w:tcW w:w="9128" w:type="dxa"/>
            <w:tcBorders/>
            <w:shd w:fill="auto" w:val="clear"/>
            <w:vAlign w:val="center"/>
          </w:tcPr>
          <w:p>
            <w:pPr>
              <w:pStyle w:val="TableContents"/>
              <w:spacing w:before="0" w:after="283"/>
              <w:rPr/>
            </w:pPr>
            <w:r>
              <w:rPr/>
              <w:t> </w:t>
            </w:r>
          </w:p>
        </w:tc>
      </w:tr>
      <w:tr>
        <w:trPr/>
        <w:tc>
          <w:tcPr>
            <w:tcW w:w="1411" w:type="dxa"/>
            <w:tcBorders/>
            <w:shd w:fill="auto" w:val="clear"/>
            <w:vAlign w:val="center"/>
          </w:tcPr>
          <w:p>
            <w:pPr>
              <w:pStyle w:val="TableContents"/>
              <w:spacing w:before="0" w:after="283"/>
              <w:rPr>
                <w:i/>
                <w:sz w:val="20"/>
              </w:rPr>
            </w:pPr>
            <w:r>
              <w:rPr>
                <w:i/>
                <w:sz w:val="20"/>
              </w:rPr>
              <w:t>Interest:</w:t>
            </w:r>
          </w:p>
        </w:tc>
        <w:tc>
          <w:tcPr>
            <w:tcW w:w="9128" w:type="dxa"/>
            <w:tcBorders/>
            <w:shd w:fill="auto" w:val="clear"/>
            <w:vAlign w:val="center"/>
          </w:tcPr>
          <w:p>
            <w:pPr>
              <w:pStyle w:val="TableContents"/>
              <w:spacing w:before="0" w:after="283"/>
              <w:rPr>
                <w:sz w:val="20"/>
              </w:rPr>
            </w:pPr>
            <w:r>
              <w:rPr>
                <w:sz w:val="20"/>
              </w:rPr>
              <w:t>4.550%</w:t>
            </w:r>
          </w:p>
        </w:tc>
      </w:tr>
      <w:tr>
        <w:trPr/>
        <w:tc>
          <w:tcPr>
            <w:tcW w:w="1411" w:type="dxa"/>
            <w:tcBorders/>
            <w:shd w:fill="auto" w:val="clear"/>
            <w:vAlign w:val="center"/>
          </w:tcPr>
          <w:p>
            <w:pPr>
              <w:pStyle w:val="TableContents"/>
              <w:spacing w:before="0" w:after="283"/>
              <w:rPr/>
            </w:pPr>
            <w:r>
              <w:rPr/>
              <w:t> </w:t>
            </w:r>
          </w:p>
        </w:tc>
        <w:tc>
          <w:tcPr>
            <w:tcW w:w="9128" w:type="dxa"/>
            <w:tcBorders/>
            <w:shd w:fill="auto" w:val="clear"/>
            <w:vAlign w:val="center"/>
          </w:tcPr>
          <w:p>
            <w:pPr>
              <w:pStyle w:val="TableContents"/>
              <w:spacing w:before="0" w:after="283"/>
              <w:rPr/>
            </w:pPr>
            <w:r>
              <w:rPr/>
              <w:t> </w:t>
            </w:r>
          </w:p>
        </w:tc>
      </w:tr>
      <w:tr>
        <w:trPr/>
        <w:tc>
          <w:tcPr>
            <w:tcW w:w="1411" w:type="dxa"/>
            <w:tcBorders/>
            <w:shd w:fill="auto" w:val="clear"/>
            <w:vAlign w:val="center"/>
          </w:tcPr>
          <w:p>
            <w:pPr>
              <w:pStyle w:val="TableContents"/>
              <w:spacing w:before="0" w:after="283"/>
              <w:rPr>
                <w:i/>
                <w:sz w:val="20"/>
              </w:rPr>
            </w:pPr>
            <w:r>
              <w:rPr>
                <w:i/>
                <w:sz w:val="20"/>
              </w:rPr>
              <w:t>Redemption:</w:t>
            </w:r>
          </w:p>
        </w:tc>
        <w:tc>
          <w:tcPr>
            <w:tcW w:w="9128" w:type="dxa"/>
            <w:tcBorders/>
            <w:shd w:fill="auto" w:val="clear"/>
            <w:vAlign w:val="center"/>
          </w:tcPr>
          <w:p>
            <w:pPr>
              <w:pStyle w:val="TableContents"/>
              <w:spacing w:before="0" w:after="0"/>
              <w:ind w:left="15"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15, 2028 (one (1) month prior to the maturity date of the 2029 Notes) (the “</w:t>
            </w:r>
            <w:r>
              <w:rPr>
                <w:rFonts w:ascii="Times New Roman;Times;Serif" w:hAnsi="Times New Roman;Times;Serif"/>
                <w:b/>
                <w:i w:val="false"/>
                <w:caps w:val="false"/>
                <w:smallCaps w:val="false"/>
                <w:sz w:val="20"/>
              </w:rPr>
              <w:t>2029 Par Call Date</w:t>
            </w:r>
            <w:r>
              <w:rPr>
                <w:rFonts w:ascii="Times New Roman;Times;Serif" w:hAnsi="Times New Roman;Times;Serif"/>
                <w:b w:val="false"/>
                <w:i w:val="false"/>
                <w:caps w:val="false"/>
                <w:smallCaps w:val="false"/>
                <w:sz w:val="20"/>
              </w:rPr>
              <w:t>”), the Company may redeem the 2029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2029 Notes matured on the 2029 Par Call Date) on a semi-annual basis (assuming a</w:t>
            </w:r>
          </w:p>
          <w:p>
            <w:pPr>
              <w:pStyle w:val="TableContents"/>
              <w:spacing w:before="0" w:after="0"/>
              <w:ind w:left="15" w:right="0" w:hanging="0"/>
              <w:rPr>
                <w:caps w:val="false"/>
                <w:smallCaps w:val="false"/>
              </w:rPr>
            </w:pPr>
            <w:r>
              <w:rPr>
                <w:caps w:val="false"/>
                <w:smallCaps w:val="false"/>
              </w:rPr>
              <w:t> </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0539" w:type="dxa"/>
        <w:jc w:val="left"/>
        <w:tblInd w:w="0" w:type="dxa"/>
        <w:tblCellMar>
          <w:top w:w="0" w:type="dxa"/>
          <w:left w:w="0" w:type="dxa"/>
          <w:bottom w:w="0" w:type="dxa"/>
          <w:right w:w="0" w:type="dxa"/>
        </w:tblCellMar>
      </w:tblPr>
      <w:tblGrid>
        <w:gridCol w:w="1300"/>
        <w:gridCol w:w="9239"/>
      </w:tblGrid>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0"/>
              <w:ind w:left="15"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360-day year consisting of twelve 30-day months) at the Treasury Rate (as defined in the 2029 Notes) plus 15 basis points, less (b) interest accrued to the date of redemption, and (2) 100% of the principal amount of the 2029 Notes to be redeemed, plus, in either case, accrued and unpaid interest thereon to the redemption date.</w:t>
            </w:r>
          </w:p>
          <w:p>
            <w:pPr>
              <w:pStyle w:val="TableContents"/>
              <w:spacing w:before="0" w:after="0"/>
              <w:ind w:left="15" w:right="0" w:hanging="0"/>
              <w:rPr>
                <w:caps w:val="false"/>
                <w:smallCaps w:val="false"/>
              </w:rPr>
            </w:pPr>
            <w:r>
              <w:rPr>
                <w:caps w:val="false"/>
                <w:smallCaps w:val="false"/>
              </w:rPr>
              <w:t> </w:t>
            </w:r>
          </w:p>
          <w:p>
            <w:pPr>
              <w:pStyle w:val="TableContents"/>
              <w:spacing w:before="0" w:after="0"/>
              <w:ind w:left="15"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2029 Par Call Date, the Company may redeem the 2029 Notes, in whole or in part, at any time and from time to time, at a redemption price equal to 100% of the principal amount of the 2029 Notes being redeemed plus accrued and unpaid interest thereon to the redemption date.</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Additional Issuances:</w:t>
            </w:r>
          </w:p>
        </w:tc>
        <w:tc>
          <w:tcPr>
            <w:tcW w:w="9239" w:type="dxa"/>
            <w:tcBorders/>
            <w:shd w:fill="auto" w:val="clear"/>
            <w:vAlign w:val="center"/>
          </w:tcPr>
          <w:p>
            <w:pPr>
              <w:pStyle w:val="TableContents"/>
              <w:spacing w:before="0" w:after="283"/>
              <w:rPr>
                <w:sz w:val="20"/>
              </w:rPr>
            </w:pPr>
            <w:r>
              <w:rPr>
                <w:sz w:val="20"/>
              </w:rPr>
              <w:t>The 2029 Notes need not be issued at the same time and the series may be reopened for issuance of an unlimited principal amount of additional 2029 Notes under this series. Additional 2029 Notes of this series may be consolidated with, and form a single series with, 2029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2029 Notes are not fungible with the 2029 Notes then outstanding for U.S. federal income tax purposes, such additional 2029 Notes will have one or more separate CUSIP numbers.</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Conversion:</w:t>
            </w:r>
          </w:p>
        </w:tc>
        <w:tc>
          <w:tcPr>
            <w:tcW w:w="9239" w:type="dxa"/>
            <w:tcBorders/>
            <w:shd w:fill="auto" w:val="clear"/>
            <w:vAlign w:val="center"/>
          </w:tcPr>
          <w:p>
            <w:pPr>
              <w:pStyle w:val="TableContents"/>
              <w:spacing w:before="0" w:after="283"/>
              <w:rPr>
                <w:sz w:val="20"/>
              </w:rPr>
            </w:pPr>
            <w:r>
              <w:rPr>
                <w:sz w:val="20"/>
              </w:rPr>
              <w:t>None</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Sinking Fund:</w:t>
            </w:r>
          </w:p>
        </w:tc>
        <w:tc>
          <w:tcPr>
            <w:tcW w:w="9239" w:type="dxa"/>
            <w:tcBorders/>
            <w:shd w:fill="auto" w:val="clear"/>
            <w:vAlign w:val="center"/>
          </w:tcPr>
          <w:p>
            <w:pPr>
              <w:pStyle w:val="TableContents"/>
              <w:spacing w:before="0" w:after="283"/>
              <w:rPr>
                <w:sz w:val="20"/>
              </w:rPr>
            </w:pPr>
            <w:r>
              <w:rPr>
                <w:sz w:val="20"/>
              </w:rPr>
              <w:t>None</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Miscellaneous:</w:t>
            </w:r>
          </w:p>
        </w:tc>
        <w:tc>
          <w:tcPr>
            <w:tcW w:w="9239" w:type="dxa"/>
            <w:tcBorders/>
            <w:shd w:fill="auto" w:val="clear"/>
            <w:vAlign w:val="center"/>
          </w:tcPr>
          <w:p>
            <w:pPr>
              <w:pStyle w:val="TableContents"/>
              <w:spacing w:before="0" w:after="283"/>
              <w:rPr>
                <w:sz w:val="20"/>
              </w:rPr>
            </w:pPr>
            <w:r>
              <w:rPr>
                <w:sz w:val="20"/>
              </w:rPr>
              <w:t xml:space="preserve">The terms of the 2029 Notes shall include such other terms as are set forth in the Form of Note due 2029 attached hereto as </w:t>
            </w:r>
            <w:r>
              <w:rPr>
                <w:b/>
                <w:sz w:val="20"/>
                <w:u w:val="single"/>
              </w:rPr>
              <w:t>Exhibit A</w:t>
            </w:r>
            <w:r>
              <w:rPr>
                <w:sz w:val="20"/>
              </w:rPr>
              <w:t>.</w:t>
            </w:r>
          </w:p>
        </w:tc>
      </w:tr>
    </w:tbl>
    <w:p>
      <w:pPr>
        <w:pStyle w:val="TextBody"/>
        <w:rPr/>
      </w:pPr>
      <w:r>
        <w:rPr/>
        <w:t> </w:t>
      </w:r>
    </w:p>
    <w:tbl>
      <w:tblPr>
        <w:tblW w:w="5410" w:type="dxa"/>
        <w:jc w:val="left"/>
        <w:tblInd w:w="0" w:type="dxa"/>
        <w:tblCellMar>
          <w:top w:w="0" w:type="dxa"/>
          <w:left w:w="0" w:type="dxa"/>
          <w:bottom w:w="0" w:type="dxa"/>
          <w:right w:w="0" w:type="dxa"/>
        </w:tblCellMar>
      </w:tblPr>
      <w:tblGrid>
        <w:gridCol w:w="3425"/>
        <w:gridCol w:w="1985"/>
      </w:tblGrid>
      <w:tr>
        <w:trPr/>
        <w:tc>
          <w:tcPr>
            <w:tcW w:w="5410" w:type="dxa"/>
            <w:gridSpan w:val="2"/>
            <w:tcBorders/>
            <w:shd w:fill="auto" w:val="clear"/>
            <w:vAlign w:val="center"/>
          </w:tcPr>
          <w:p>
            <w:pPr>
              <w:pStyle w:val="TableContents"/>
              <w:spacing w:before="0" w:after="283"/>
              <w:jc w:val="center"/>
              <w:rPr>
                <w:b/>
                <w:u w:val="single"/>
              </w:rPr>
            </w:pPr>
            <w:r>
              <w:rPr>
                <w:b/>
                <w:u w:val="single"/>
              </w:rPr>
              <w:t>4.800</w:t>
            </w:r>
            <w:r>
              <w:rPr>
                <w:b/>
                <w:sz w:val="20"/>
                <w:u w:val="single"/>
              </w:rPr>
              <w:t>% Notes due 2033</w:t>
            </w:r>
          </w:p>
        </w:tc>
      </w:tr>
      <w:tr>
        <w:trPr/>
        <w:tc>
          <w:tcPr>
            <w:tcW w:w="5410" w:type="dxa"/>
            <w:gridSpan w:val="2"/>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i/>
                <w:sz w:val="20"/>
              </w:rPr>
            </w:pPr>
            <w:r>
              <w:rPr>
                <w:i/>
                <w:sz w:val="20"/>
              </w:rPr>
              <w:t>Title:</w:t>
            </w:r>
          </w:p>
        </w:tc>
        <w:tc>
          <w:tcPr>
            <w:tcW w:w="1985" w:type="dxa"/>
            <w:tcBorders/>
            <w:shd w:fill="auto" w:val="clear"/>
            <w:vAlign w:val="center"/>
          </w:tcPr>
          <w:p>
            <w:pPr>
              <w:pStyle w:val="TableContents"/>
              <w:spacing w:before="0" w:after="283"/>
              <w:rPr>
                <w:sz w:val="20"/>
              </w:rPr>
            </w:pPr>
            <w:r>
              <w:rPr>
                <w:sz w:val="20"/>
              </w:rPr>
              <w:t>4.800% Notes due 2033</w:t>
            </w:r>
          </w:p>
        </w:tc>
      </w:tr>
      <w:tr>
        <w:trPr/>
        <w:tc>
          <w:tcPr>
            <w:tcW w:w="3425"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i/>
                <w:sz w:val="20"/>
              </w:rPr>
            </w:pPr>
            <w:r>
              <w:rPr>
                <w:i/>
                <w:sz w:val="20"/>
              </w:rPr>
              <w:t>Aggregate Principal Amount at Maturity:</w:t>
            </w:r>
          </w:p>
        </w:tc>
        <w:tc>
          <w:tcPr>
            <w:tcW w:w="1985" w:type="dxa"/>
            <w:tcBorders/>
            <w:shd w:fill="auto" w:val="clear"/>
            <w:vAlign w:val="center"/>
          </w:tcPr>
          <w:p>
            <w:pPr>
              <w:pStyle w:val="TableContents"/>
              <w:spacing w:before="0" w:after="283"/>
              <w:rPr>
                <w:sz w:val="20"/>
              </w:rPr>
            </w:pPr>
            <w:r>
              <w:rPr>
                <w:sz w:val="20"/>
              </w:rPr>
              <w:t>$</w:t>
            </w:r>
            <w:r>
              <w:rPr>
                <w:color w:val="231F20"/>
                <w:sz w:val="20"/>
              </w:rPr>
              <w:t>1,000,000,000</w:t>
            </w:r>
          </w:p>
        </w:tc>
      </w:tr>
      <w:tr>
        <w:trPr/>
        <w:tc>
          <w:tcPr>
            <w:tcW w:w="3425"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i/>
                <w:sz w:val="20"/>
              </w:rPr>
            </w:pPr>
            <w:r>
              <w:rPr>
                <w:i/>
                <w:sz w:val="20"/>
              </w:rPr>
              <w:t>Principal Payment Date:</w:t>
            </w:r>
          </w:p>
        </w:tc>
        <w:tc>
          <w:tcPr>
            <w:tcW w:w="1985" w:type="dxa"/>
            <w:tcBorders/>
            <w:shd w:fill="auto" w:val="clear"/>
            <w:vAlign w:val="center"/>
          </w:tcPr>
          <w:p>
            <w:pPr>
              <w:pStyle w:val="TableContents"/>
              <w:spacing w:before="0" w:after="283"/>
              <w:rPr>
                <w:sz w:val="20"/>
              </w:rPr>
            </w:pPr>
            <w:r>
              <w:rPr>
                <w:sz w:val="20"/>
              </w:rPr>
              <w:t>May 15, 2033</w:t>
            </w:r>
          </w:p>
        </w:tc>
      </w:tr>
      <w:tr>
        <w:trPr/>
        <w:tc>
          <w:tcPr>
            <w:tcW w:w="3425"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i/>
                <w:sz w:val="20"/>
              </w:rPr>
            </w:pPr>
            <w:r>
              <w:rPr>
                <w:i/>
                <w:sz w:val="20"/>
              </w:rPr>
              <w:t>Interest:</w:t>
            </w:r>
          </w:p>
        </w:tc>
        <w:tc>
          <w:tcPr>
            <w:tcW w:w="1985" w:type="dxa"/>
            <w:tcBorders/>
            <w:shd w:fill="auto" w:val="clear"/>
            <w:vAlign w:val="center"/>
          </w:tcPr>
          <w:p>
            <w:pPr>
              <w:pStyle w:val="TableContents"/>
              <w:spacing w:before="0" w:after="283"/>
              <w:rPr>
                <w:sz w:val="20"/>
              </w:rPr>
            </w:pPr>
            <w:r>
              <w:rPr>
                <w:sz w:val="20"/>
              </w:rPr>
              <w:t>4.800%</w:t>
            </w:r>
          </w:p>
        </w:tc>
      </w:tr>
      <w:tr>
        <w:trPr/>
        <w:tc>
          <w:tcPr>
            <w:tcW w:w="3425" w:type="dxa"/>
            <w:tcBorders/>
            <w:shd w:fill="auto" w:val="clear"/>
            <w:vAlign w:val="center"/>
          </w:tcPr>
          <w:p>
            <w:pPr>
              <w:pStyle w:val="TableContents"/>
              <w:spacing w:before="0" w:after="283"/>
              <w:rPr/>
            </w:pPr>
            <w:r>
              <w:rPr/>
              <w:t> </w:t>
            </w:r>
          </w:p>
        </w:tc>
        <w:tc>
          <w:tcPr>
            <w:tcW w:w="1985" w:type="dxa"/>
            <w:tcBorders/>
            <w:shd w:fill="auto" w:val="clear"/>
            <w:vAlign w:val="center"/>
          </w:tcPr>
          <w:p>
            <w:pPr>
              <w:pStyle w:val="TableContents"/>
              <w:spacing w:before="0" w:after="283"/>
              <w:rPr/>
            </w:pPr>
            <w:r>
              <w:rPr/>
              <w:t> </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0539" w:type="dxa"/>
        <w:jc w:val="left"/>
        <w:tblInd w:w="0" w:type="dxa"/>
        <w:tblCellMar>
          <w:top w:w="0" w:type="dxa"/>
          <w:left w:w="0" w:type="dxa"/>
          <w:bottom w:w="0" w:type="dxa"/>
          <w:right w:w="0" w:type="dxa"/>
        </w:tblCellMar>
      </w:tblPr>
      <w:tblGrid>
        <w:gridCol w:w="1284"/>
        <w:gridCol w:w="9255"/>
      </w:tblGrid>
      <w:tr>
        <w:trPr/>
        <w:tc>
          <w:tcPr>
            <w:tcW w:w="1284" w:type="dxa"/>
            <w:tcBorders/>
            <w:shd w:fill="auto" w:val="clear"/>
            <w:vAlign w:val="center"/>
          </w:tcPr>
          <w:p>
            <w:pPr>
              <w:pStyle w:val="TableContents"/>
              <w:spacing w:before="0" w:after="283"/>
              <w:rPr>
                <w:i/>
                <w:sz w:val="20"/>
              </w:rPr>
            </w:pPr>
            <w:r>
              <w:rPr>
                <w:i/>
                <w:sz w:val="20"/>
              </w:rPr>
              <w:t>Redemption:</w:t>
            </w:r>
          </w:p>
        </w:tc>
        <w:tc>
          <w:tcPr>
            <w:tcW w:w="925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February 15, 2033 (three (3) months prior to the maturity date of the 2033 Notes) (the “</w:t>
            </w:r>
            <w:r>
              <w:rPr>
                <w:rFonts w:ascii="Times New Roman;Times;Serif" w:hAnsi="Times New Roman;Times;Serif"/>
                <w:b/>
                <w:i w:val="false"/>
                <w:caps w:val="false"/>
                <w:smallCaps w:val="false"/>
                <w:sz w:val="20"/>
              </w:rPr>
              <w:t>2033 Par Call Date</w:t>
            </w:r>
            <w:r>
              <w:rPr>
                <w:rFonts w:ascii="Times New Roman;Times;Serif" w:hAnsi="Times New Roman;Times;Serif"/>
                <w:b w:val="false"/>
                <w:i w:val="false"/>
                <w:caps w:val="false"/>
                <w:smallCaps w:val="false"/>
                <w:sz w:val="20"/>
              </w:rPr>
              <w:t>”), the Company may redeem the 2033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2033 Notes matured on the 2033 Par Call Date) on a semi-annual basis (assuming a 360-day year consisting of twelve 30-day months) at the Treasury Rate (as defined in the 2033 Notes) plus 20 basis points, less (b) interest accrued to the date of redemption, and (2) 100% of the principal amount of the 2033 Notes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2033 Par Call Date, the Company may redeem the 2033 Notes, in whole or in part, at any time and from time to time, at a redemption price equal to 100% of the principal amount of the 2033 Notes being redeemed plus accrued and unpaid interest thereon to the redemption date.</w:t>
            </w:r>
          </w:p>
        </w:tc>
      </w:tr>
      <w:tr>
        <w:trPr/>
        <w:tc>
          <w:tcPr>
            <w:tcW w:w="1284"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r>
              <w:rPr/>
              <w:t> </w:t>
            </w:r>
          </w:p>
        </w:tc>
      </w:tr>
      <w:tr>
        <w:trPr/>
        <w:tc>
          <w:tcPr>
            <w:tcW w:w="1284" w:type="dxa"/>
            <w:tcBorders/>
            <w:shd w:fill="auto" w:val="clear"/>
            <w:vAlign w:val="center"/>
          </w:tcPr>
          <w:p>
            <w:pPr>
              <w:pStyle w:val="TableContents"/>
              <w:spacing w:before="0" w:after="283"/>
              <w:rPr>
                <w:i/>
                <w:sz w:val="20"/>
              </w:rPr>
            </w:pPr>
            <w:r>
              <w:rPr>
                <w:i/>
                <w:sz w:val="20"/>
              </w:rPr>
              <w:t>Additional Issuances:</w:t>
            </w:r>
          </w:p>
        </w:tc>
        <w:tc>
          <w:tcPr>
            <w:tcW w:w="9255" w:type="dxa"/>
            <w:tcBorders/>
            <w:shd w:fill="auto" w:val="clear"/>
            <w:vAlign w:val="center"/>
          </w:tcPr>
          <w:p>
            <w:pPr>
              <w:pStyle w:val="TableContents"/>
              <w:spacing w:before="0" w:after="283"/>
              <w:rPr>
                <w:sz w:val="20"/>
              </w:rPr>
            </w:pPr>
            <w:r>
              <w:rPr>
                <w:sz w:val="20"/>
              </w:rPr>
              <w:t>The 2033 Notes need not be issued at the same time and the series may be reopened for issuance of an unlimited principal amount of additional 2033 Notes under this series. Additional 2033 Notes of this series may be consolidated with, and form a single series with, 2033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2033 Notes are not fungible with the 2033 Notes then outstanding for U.S. federal income tax purposes, such additional 2033 Notes will have one or more separate CUSIP numbers.</w:t>
            </w:r>
          </w:p>
        </w:tc>
      </w:tr>
      <w:tr>
        <w:trPr/>
        <w:tc>
          <w:tcPr>
            <w:tcW w:w="1284"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r>
              <w:rPr/>
              <w:t> </w:t>
            </w:r>
          </w:p>
        </w:tc>
      </w:tr>
      <w:tr>
        <w:trPr/>
        <w:tc>
          <w:tcPr>
            <w:tcW w:w="1284" w:type="dxa"/>
            <w:tcBorders/>
            <w:shd w:fill="auto" w:val="clear"/>
            <w:vAlign w:val="center"/>
          </w:tcPr>
          <w:p>
            <w:pPr>
              <w:pStyle w:val="TableContents"/>
              <w:spacing w:before="0" w:after="283"/>
              <w:rPr>
                <w:i/>
                <w:sz w:val="20"/>
              </w:rPr>
            </w:pPr>
            <w:r>
              <w:rPr>
                <w:i/>
                <w:sz w:val="20"/>
              </w:rPr>
              <w:t>Conversion:</w:t>
            </w:r>
          </w:p>
        </w:tc>
        <w:tc>
          <w:tcPr>
            <w:tcW w:w="9255" w:type="dxa"/>
            <w:tcBorders/>
            <w:shd w:fill="auto" w:val="clear"/>
            <w:vAlign w:val="center"/>
          </w:tcPr>
          <w:p>
            <w:pPr>
              <w:pStyle w:val="TableContents"/>
              <w:spacing w:before="0" w:after="283"/>
              <w:rPr>
                <w:sz w:val="20"/>
              </w:rPr>
            </w:pPr>
            <w:r>
              <w:rPr>
                <w:sz w:val="20"/>
              </w:rPr>
              <w:t>None</w:t>
            </w:r>
          </w:p>
        </w:tc>
      </w:tr>
      <w:tr>
        <w:trPr/>
        <w:tc>
          <w:tcPr>
            <w:tcW w:w="1284"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r>
              <w:rPr/>
              <w:t> </w:t>
            </w:r>
          </w:p>
        </w:tc>
      </w:tr>
      <w:tr>
        <w:trPr/>
        <w:tc>
          <w:tcPr>
            <w:tcW w:w="1284" w:type="dxa"/>
            <w:tcBorders/>
            <w:shd w:fill="auto" w:val="clear"/>
            <w:vAlign w:val="center"/>
          </w:tcPr>
          <w:p>
            <w:pPr>
              <w:pStyle w:val="TableContents"/>
              <w:spacing w:before="0" w:after="283"/>
              <w:rPr>
                <w:i/>
                <w:sz w:val="20"/>
              </w:rPr>
            </w:pPr>
            <w:r>
              <w:rPr>
                <w:i/>
                <w:sz w:val="20"/>
              </w:rPr>
              <w:t>Sinking Fund:</w:t>
            </w:r>
          </w:p>
        </w:tc>
        <w:tc>
          <w:tcPr>
            <w:tcW w:w="9255" w:type="dxa"/>
            <w:tcBorders/>
            <w:shd w:fill="auto" w:val="clear"/>
            <w:vAlign w:val="center"/>
          </w:tcPr>
          <w:p>
            <w:pPr>
              <w:pStyle w:val="TableContents"/>
              <w:spacing w:before="0" w:after="283"/>
              <w:rPr>
                <w:sz w:val="20"/>
              </w:rPr>
            </w:pPr>
            <w:r>
              <w:rPr>
                <w:sz w:val="20"/>
              </w:rPr>
              <w:t>None</w:t>
            </w:r>
          </w:p>
        </w:tc>
      </w:tr>
      <w:tr>
        <w:trPr/>
        <w:tc>
          <w:tcPr>
            <w:tcW w:w="1284" w:type="dxa"/>
            <w:tcBorders/>
            <w:shd w:fill="auto" w:val="clear"/>
            <w:vAlign w:val="center"/>
          </w:tcPr>
          <w:p>
            <w:pPr>
              <w:pStyle w:val="TableContents"/>
              <w:spacing w:before="0" w:after="283"/>
              <w:rPr/>
            </w:pPr>
            <w:r>
              <w:rPr/>
              <w:t> </w:t>
            </w:r>
          </w:p>
        </w:tc>
        <w:tc>
          <w:tcPr>
            <w:tcW w:w="9255" w:type="dxa"/>
            <w:tcBorders/>
            <w:shd w:fill="auto" w:val="clear"/>
            <w:vAlign w:val="center"/>
          </w:tcPr>
          <w:p>
            <w:pPr>
              <w:pStyle w:val="TableContents"/>
              <w:spacing w:before="0" w:after="283"/>
              <w:rPr/>
            </w:pPr>
            <w:r>
              <w:rPr/>
              <w:t> </w:t>
            </w:r>
          </w:p>
        </w:tc>
      </w:tr>
      <w:tr>
        <w:trPr/>
        <w:tc>
          <w:tcPr>
            <w:tcW w:w="1284" w:type="dxa"/>
            <w:tcBorders/>
            <w:shd w:fill="auto" w:val="clear"/>
            <w:vAlign w:val="center"/>
          </w:tcPr>
          <w:p>
            <w:pPr>
              <w:pStyle w:val="TableContents"/>
              <w:spacing w:before="0" w:after="283"/>
              <w:rPr>
                <w:i/>
                <w:sz w:val="20"/>
              </w:rPr>
            </w:pPr>
            <w:r>
              <w:rPr>
                <w:i/>
                <w:sz w:val="20"/>
              </w:rPr>
              <w:t>Miscellaneous:</w:t>
            </w:r>
          </w:p>
        </w:tc>
        <w:tc>
          <w:tcPr>
            <w:tcW w:w="9255" w:type="dxa"/>
            <w:tcBorders/>
            <w:shd w:fill="auto" w:val="clear"/>
            <w:vAlign w:val="center"/>
          </w:tcPr>
          <w:p>
            <w:pPr>
              <w:pStyle w:val="TableContents"/>
              <w:spacing w:before="0" w:after="283"/>
              <w:rPr>
                <w:sz w:val="20"/>
              </w:rPr>
            </w:pPr>
            <w:r>
              <w:rPr>
                <w:sz w:val="20"/>
              </w:rPr>
              <w:t xml:space="preserve">The terms of the 2033 Notes shall include such other terms as are set forth in the Form of Note due 2033 attached hereto as </w:t>
            </w:r>
            <w:r>
              <w:rPr>
                <w:b/>
                <w:sz w:val="20"/>
                <w:u w:val="single"/>
              </w:rPr>
              <w:t>Exhibit B</w:t>
            </w:r>
            <w:r>
              <w:rPr>
                <w:sz w:val="20"/>
              </w:rPr>
              <w:t>.</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0539" w:type="dxa"/>
        <w:jc w:val="left"/>
        <w:tblInd w:w="0" w:type="dxa"/>
        <w:tblCellMar>
          <w:top w:w="0" w:type="dxa"/>
          <w:left w:w="0" w:type="dxa"/>
          <w:bottom w:w="0" w:type="dxa"/>
          <w:right w:w="0" w:type="dxa"/>
        </w:tblCellMar>
      </w:tblPr>
      <w:tblGrid>
        <w:gridCol w:w="1272"/>
        <w:gridCol w:w="9267"/>
      </w:tblGrid>
      <w:tr>
        <w:trPr/>
        <w:tc>
          <w:tcPr>
            <w:tcW w:w="10539" w:type="dxa"/>
            <w:gridSpan w:val="2"/>
            <w:tcBorders/>
            <w:shd w:fill="auto" w:val="clear"/>
            <w:vAlign w:val="center"/>
          </w:tcPr>
          <w:p>
            <w:pPr>
              <w:pStyle w:val="TableContents"/>
              <w:spacing w:before="0" w:after="283"/>
              <w:jc w:val="center"/>
              <w:rPr>
                <w:b/>
                <w:sz w:val="20"/>
                <w:u w:val="single"/>
              </w:rPr>
            </w:pPr>
            <w:r>
              <w:rPr>
                <w:b/>
                <w:sz w:val="20"/>
                <w:u w:val="single"/>
              </w:rPr>
              <w:t>5.350% Notes due 2053</w:t>
            </w:r>
          </w:p>
        </w:tc>
      </w:tr>
      <w:tr>
        <w:trPr/>
        <w:tc>
          <w:tcPr>
            <w:tcW w:w="10539" w:type="dxa"/>
            <w:gridSpan w:val="2"/>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Title:</w:t>
            </w:r>
          </w:p>
        </w:tc>
        <w:tc>
          <w:tcPr>
            <w:tcW w:w="9267" w:type="dxa"/>
            <w:tcBorders/>
            <w:shd w:fill="auto" w:val="clear"/>
            <w:vAlign w:val="center"/>
          </w:tcPr>
          <w:p>
            <w:pPr>
              <w:pStyle w:val="TableContents"/>
              <w:spacing w:before="0" w:after="283"/>
              <w:rPr>
                <w:sz w:val="20"/>
              </w:rPr>
            </w:pPr>
            <w:r>
              <w:rPr>
                <w:sz w:val="20"/>
              </w:rPr>
              <w:t>5.350% Notes due 2053</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Aggregate Principal Amount at Maturity:</w:t>
            </w:r>
          </w:p>
        </w:tc>
        <w:tc>
          <w:tcPr>
            <w:tcW w:w="9267" w:type="dxa"/>
            <w:tcBorders/>
            <w:shd w:fill="auto" w:val="clear"/>
            <w:vAlign w:val="center"/>
          </w:tcPr>
          <w:p>
            <w:pPr>
              <w:pStyle w:val="TableContents"/>
              <w:spacing w:before="0" w:after="283"/>
              <w:rPr>
                <w:sz w:val="20"/>
              </w:rPr>
            </w:pPr>
            <w:r>
              <w:rPr>
                <w:sz w:val="20"/>
              </w:rPr>
              <w:t>$</w:t>
            </w:r>
            <w:r>
              <w:rPr>
                <w:color w:val="231F20"/>
                <w:sz w:val="20"/>
              </w:rPr>
              <w:t>1,600,000,000</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Principal Payment Date:</w:t>
            </w:r>
          </w:p>
        </w:tc>
        <w:tc>
          <w:tcPr>
            <w:tcW w:w="9267" w:type="dxa"/>
            <w:tcBorders/>
            <w:shd w:fill="auto" w:val="clear"/>
            <w:vAlign w:val="center"/>
          </w:tcPr>
          <w:p>
            <w:pPr>
              <w:pStyle w:val="TableContents"/>
              <w:spacing w:before="0" w:after="283"/>
              <w:rPr>
                <w:sz w:val="20"/>
              </w:rPr>
            </w:pPr>
            <w:r>
              <w:rPr>
                <w:sz w:val="20"/>
              </w:rPr>
              <w:t>May 15, 2053</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Interest:</w:t>
            </w:r>
          </w:p>
        </w:tc>
        <w:tc>
          <w:tcPr>
            <w:tcW w:w="9267" w:type="dxa"/>
            <w:tcBorders/>
            <w:shd w:fill="auto" w:val="clear"/>
            <w:vAlign w:val="center"/>
          </w:tcPr>
          <w:p>
            <w:pPr>
              <w:pStyle w:val="TableContents"/>
              <w:spacing w:before="0" w:after="283"/>
              <w:rPr>
                <w:sz w:val="20"/>
              </w:rPr>
            </w:pPr>
            <w:r>
              <w:rPr>
                <w:sz w:val="20"/>
              </w:rPr>
              <w:t>5.350%</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Redemption:</w:t>
            </w:r>
          </w:p>
        </w:tc>
        <w:tc>
          <w:tcPr>
            <w:tcW w:w="9267"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2052 (six (6) months prior to the maturity date of the 2053 Notes) (the “</w:t>
            </w:r>
            <w:r>
              <w:rPr>
                <w:rFonts w:ascii="Times New Roman;Times;Serif" w:hAnsi="Times New Roman;Times;Serif"/>
                <w:b/>
                <w:i w:val="false"/>
                <w:caps w:val="false"/>
                <w:smallCaps w:val="false"/>
                <w:sz w:val="20"/>
              </w:rPr>
              <w:t>2053 Par Call Date</w:t>
            </w:r>
            <w:r>
              <w:rPr>
                <w:rFonts w:ascii="Times New Roman;Times;Serif" w:hAnsi="Times New Roman;Times;Serif"/>
                <w:b w:val="false"/>
                <w:i w:val="false"/>
                <w:caps w:val="false"/>
                <w:smallCaps w:val="false"/>
                <w:sz w:val="20"/>
              </w:rPr>
              <w:t>”), the Company may redeem the 2053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2053 Notes matured on the 2053 Par Call Date) on a semi-annual basis (assuming a 360-day year consisting of twelve 30-day months) at the Treasury Rate (as defined in the 2053 Notes) plus 25 basis points, less (b) interest accrued to the date of redemption, and (2) 100% of the principal amount of the 2053 Notes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2053 Par Call Date, the Company may redeem the 2053 Notes, in whole or in part, at any time and from time to time, at a redemption price equal to 100% of the principal amount of the 2053 Notes being redeemed plus accrued and unpaid interest thereon to the redemption date.</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Additional Issuances:</w:t>
            </w:r>
          </w:p>
        </w:tc>
        <w:tc>
          <w:tcPr>
            <w:tcW w:w="9267" w:type="dxa"/>
            <w:tcBorders/>
            <w:shd w:fill="auto" w:val="clear"/>
            <w:vAlign w:val="center"/>
          </w:tcPr>
          <w:p>
            <w:pPr>
              <w:pStyle w:val="TableContents"/>
              <w:spacing w:before="0" w:after="283"/>
              <w:rPr>
                <w:sz w:val="20"/>
              </w:rPr>
            </w:pPr>
            <w:r>
              <w:rPr>
                <w:sz w:val="20"/>
              </w:rPr>
              <w:t xml:space="preserve">The 2053 Notes need not be issued at the same time and the series may be reopened for issuance of an unlimited principal amount of additional 2053 Notes under this series. Additional 2053 Notes of this series may be consolidated with, and form a single series with, 2053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2053 Notes are not fungible </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0539" w:type="dxa"/>
        <w:jc w:val="left"/>
        <w:tblInd w:w="0" w:type="dxa"/>
        <w:tblCellMar>
          <w:top w:w="0" w:type="dxa"/>
          <w:left w:w="0" w:type="dxa"/>
          <w:bottom w:w="0" w:type="dxa"/>
          <w:right w:w="0" w:type="dxa"/>
        </w:tblCellMar>
      </w:tblPr>
      <w:tblGrid>
        <w:gridCol w:w="1264"/>
        <w:gridCol w:w="9275"/>
      </w:tblGrid>
      <w:tr>
        <w:trPr/>
        <w:tc>
          <w:tcPr>
            <w:tcW w:w="1264"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283"/>
              <w:rPr>
                <w:sz w:val="20"/>
              </w:rPr>
            </w:pPr>
            <w:r>
              <w:rPr>
                <w:sz w:val="20"/>
              </w:rPr>
              <w:t>with the 2053 Notes then outstanding for U.S. federal income tax purposes, such additional 2053 Notes will have one or more separate CUSIP numbers.</w:t>
            </w:r>
          </w:p>
        </w:tc>
      </w:tr>
      <w:tr>
        <w:trPr/>
        <w:tc>
          <w:tcPr>
            <w:tcW w:w="1264"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283"/>
              <w:rPr/>
            </w:pPr>
            <w:r>
              <w:rPr/>
              <w:t> </w:t>
            </w:r>
          </w:p>
        </w:tc>
      </w:tr>
      <w:tr>
        <w:trPr/>
        <w:tc>
          <w:tcPr>
            <w:tcW w:w="1264" w:type="dxa"/>
            <w:tcBorders/>
            <w:shd w:fill="auto" w:val="clear"/>
            <w:vAlign w:val="center"/>
          </w:tcPr>
          <w:p>
            <w:pPr>
              <w:pStyle w:val="TableContents"/>
              <w:spacing w:before="0" w:after="283"/>
              <w:rPr>
                <w:i/>
                <w:sz w:val="20"/>
              </w:rPr>
            </w:pPr>
            <w:r>
              <w:rPr>
                <w:i/>
                <w:sz w:val="20"/>
              </w:rPr>
              <w:t>Conversion:</w:t>
            </w:r>
          </w:p>
        </w:tc>
        <w:tc>
          <w:tcPr>
            <w:tcW w:w="9275" w:type="dxa"/>
            <w:tcBorders/>
            <w:shd w:fill="auto" w:val="clear"/>
            <w:vAlign w:val="center"/>
          </w:tcPr>
          <w:p>
            <w:pPr>
              <w:pStyle w:val="TableContents"/>
              <w:spacing w:before="0" w:after="283"/>
              <w:rPr>
                <w:sz w:val="20"/>
              </w:rPr>
            </w:pPr>
            <w:r>
              <w:rPr>
                <w:sz w:val="20"/>
              </w:rPr>
              <w:t>None</w:t>
            </w:r>
          </w:p>
        </w:tc>
      </w:tr>
      <w:tr>
        <w:trPr/>
        <w:tc>
          <w:tcPr>
            <w:tcW w:w="1264"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283"/>
              <w:rPr/>
            </w:pPr>
            <w:r>
              <w:rPr/>
              <w:t> </w:t>
            </w:r>
          </w:p>
        </w:tc>
      </w:tr>
      <w:tr>
        <w:trPr/>
        <w:tc>
          <w:tcPr>
            <w:tcW w:w="1264" w:type="dxa"/>
            <w:tcBorders/>
            <w:shd w:fill="auto" w:val="clear"/>
            <w:vAlign w:val="center"/>
          </w:tcPr>
          <w:p>
            <w:pPr>
              <w:pStyle w:val="TableContents"/>
              <w:spacing w:before="0" w:after="283"/>
              <w:rPr>
                <w:i/>
                <w:sz w:val="20"/>
              </w:rPr>
            </w:pPr>
            <w:r>
              <w:rPr>
                <w:i/>
                <w:sz w:val="20"/>
              </w:rPr>
              <w:t>Sinking Fund:</w:t>
            </w:r>
          </w:p>
        </w:tc>
        <w:tc>
          <w:tcPr>
            <w:tcW w:w="9275" w:type="dxa"/>
            <w:tcBorders/>
            <w:shd w:fill="auto" w:val="clear"/>
            <w:vAlign w:val="center"/>
          </w:tcPr>
          <w:p>
            <w:pPr>
              <w:pStyle w:val="TableContents"/>
              <w:spacing w:before="0" w:after="283"/>
              <w:rPr>
                <w:sz w:val="20"/>
              </w:rPr>
            </w:pPr>
            <w:r>
              <w:rPr>
                <w:sz w:val="20"/>
              </w:rPr>
              <w:t>None</w:t>
            </w:r>
          </w:p>
        </w:tc>
      </w:tr>
      <w:tr>
        <w:trPr/>
        <w:tc>
          <w:tcPr>
            <w:tcW w:w="1264"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283"/>
              <w:rPr/>
            </w:pPr>
            <w:r>
              <w:rPr/>
              <w:t> </w:t>
            </w:r>
          </w:p>
        </w:tc>
      </w:tr>
      <w:tr>
        <w:trPr/>
        <w:tc>
          <w:tcPr>
            <w:tcW w:w="1264" w:type="dxa"/>
            <w:tcBorders/>
            <w:shd w:fill="auto" w:val="clear"/>
            <w:vAlign w:val="center"/>
          </w:tcPr>
          <w:p>
            <w:pPr>
              <w:pStyle w:val="TableContents"/>
              <w:spacing w:before="0" w:after="283"/>
              <w:rPr>
                <w:i/>
                <w:sz w:val="20"/>
              </w:rPr>
            </w:pPr>
            <w:r>
              <w:rPr>
                <w:i/>
                <w:sz w:val="20"/>
              </w:rPr>
              <w:t>Miscellaneous:</w:t>
            </w:r>
          </w:p>
        </w:tc>
        <w:tc>
          <w:tcPr>
            <w:tcW w:w="9275" w:type="dxa"/>
            <w:tcBorders/>
            <w:shd w:fill="auto" w:val="clear"/>
            <w:vAlign w:val="center"/>
          </w:tcPr>
          <w:p>
            <w:pPr>
              <w:pStyle w:val="TableContents"/>
              <w:spacing w:before="0" w:after="283"/>
              <w:rPr>
                <w:sz w:val="20"/>
              </w:rPr>
            </w:pPr>
            <w:r>
              <w:rPr>
                <w:sz w:val="20"/>
              </w:rPr>
              <w:t xml:space="preserve">The terms of the 2053 Notes shall include such other terms as are set forth in the Form of Note due 2053 attached hereto as </w:t>
            </w:r>
            <w:r>
              <w:rPr>
                <w:b/>
                <w:sz w:val="20"/>
                <w:u w:val="single"/>
              </w:rPr>
              <w:t>Exhibit C</w:t>
            </w:r>
            <w:r>
              <w:rPr>
                <w:sz w:val="20"/>
              </w:rPr>
              <w:t>.</w:t>
            </w:r>
          </w:p>
        </w:tc>
      </w:tr>
    </w:tbl>
    <w:p>
      <w:pPr>
        <w:pStyle w:val="TextBody"/>
        <w:rPr/>
      </w:pPr>
      <w:r>
        <w:rPr/>
        <w:t> </w:t>
      </w:r>
    </w:p>
    <w:tbl>
      <w:tblPr>
        <w:tblW w:w="10539" w:type="dxa"/>
        <w:jc w:val="left"/>
        <w:tblInd w:w="0" w:type="dxa"/>
        <w:tblCellMar>
          <w:top w:w="0" w:type="dxa"/>
          <w:left w:w="0" w:type="dxa"/>
          <w:bottom w:w="0" w:type="dxa"/>
          <w:right w:w="0" w:type="dxa"/>
        </w:tblCellMar>
      </w:tblPr>
      <w:tblGrid>
        <w:gridCol w:w="1272"/>
        <w:gridCol w:w="9267"/>
      </w:tblGrid>
      <w:tr>
        <w:trPr/>
        <w:tc>
          <w:tcPr>
            <w:tcW w:w="10539" w:type="dxa"/>
            <w:gridSpan w:val="2"/>
            <w:tcBorders/>
            <w:shd w:fill="auto" w:val="clear"/>
            <w:vAlign w:val="center"/>
          </w:tcPr>
          <w:p>
            <w:pPr>
              <w:pStyle w:val="TableContents"/>
              <w:spacing w:before="0" w:after="283"/>
              <w:jc w:val="center"/>
              <w:rPr>
                <w:b/>
                <w:sz w:val="20"/>
                <w:u w:val="single"/>
              </w:rPr>
            </w:pPr>
            <w:r>
              <w:rPr>
                <w:b/>
                <w:sz w:val="20"/>
                <w:u w:val="single"/>
              </w:rPr>
              <w:t>5.500% Notes due 2064</w:t>
            </w:r>
          </w:p>
        </w:tc>
      </w:tr>
      <w:tr>
        <w:trPr/>
        <w:tc>
          <w:tcPr>
            <w:tcW w:w="10539" w:type="dxa"/>
            <w:gridSpan w:val="2"/>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Title:</w:t>
            </w:r>
          </w:p>
        </w:tc>
        <w:tc>
          <w:tcPr>
            <w:tcW w:w="9267" w:type="dxa"/>
            <w:tcBorders/>
            <w:shd w:fill="auto" w:val="clear"/>
            <w:vAlign w:val="center"/>
          </w:tcPr>
          <w:p>
            <w:pPr>
              <w:pStyle w:val="TableContents"/>
              <w:spacing w:before="0" w:after="283"/>
              <w:rPr>
                <w:sz w:val="20"/>
              </w:rPr>
            </w:pPr>
            <w:r>
              <w:rPr>
                <w:sz w:val="20"/>
              </w:rPr>
              <w:t>5.500% Notes due 2064</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Aggregate Principal Amount at Maturity:</w:t>
            </w:r>
          </w:p>
        </w:tc>
        <w:tc>
          <w:tcPr>
            <w:tcW w:w="9267" w:type="dxa"/>
            <w:tcBorders/>
            <w:shd w:fill="auto" w:val="clear"/>
            <w:vAlign w:val="center"/>
          </w:tcPr>
          <w:p>
            <w:pPr>
              <w:pStyle w:val="TableContents"/>
              <w:spacing w:before="0" w:after="283"/>
              <w:rPr>
                <w:sz w:val="20"/>
              </w:rPr>
            </w:pPr>
            <w:r>
              <w:rPr>
                <w:sz w:val="20"/>
              </w:rPr>
              <w:t>$</w:t>
            </w:r>
            <w:r>
              <w:rPr>
                <w:color w:val="231F20"/>
                <w:sz w:val="20"/>
              </w:rPr>
              <w:t>1,400,000,000</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Principal Payment Date:</w:t>
            </w:r>
          </w:p>
        </w:tc>
        <w:tc>
          <w:tcPr>
            <w:tcW w:w="9267" w:type="dxa"/>
            <w:tcBorders/>
            <w:shd w:fill="auto" w:val="clear"/>
            <w:vAlign w:val="center"/>
          </w:tcPr>
          <w:p>
            <w:pPr>
              <w:pStyle w:val="TableContents"/>
              <w:spacing w:before="0" w:after="283"/>
              <w:rPr>
                <w:sz w:val="20"/>
              </w:rPr>
            </w:pPr>
            <w:r>
              <w:rPr>
                <w:sz w:val="20"/>
              </w:rPr>
              <w:t>May 15, 2064</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Interest:</w:t>
            </w:r>
          </w:p>
        </w:tc>
        <w:tc>
          <w:tcPr>
            <w:tcW w:w="9267" w:type="dxa"/>
            <w:tcBorders/>
            <w:shd w:fill="auto" w:val="clear"/>
            <w:vAlign w:val="center"/>
          </w:tcPr>
          <w:p>
            <w:pPr>
              <w:pStyle w:val="TableContents"/>
              <w:spacing w:before="0" w:after="283"/>
              <w:rPr>
                <w:sz w:val="20"/>
              </w:rPr>
            </w:pPr>
            <w:r>
              <w:rPr>
                <w:sz w:val="20"/>
              </w:rPr>
              <w:t>5.500%</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r>
        <w:trPr/>
        <w:tc>
          <w:tcPr>
            <w:tcW w:w="1272" w:type="dxa"/>
            <w:tcBorders/>
            <w:shd w:fill="auto" w:val="clear"/>
            <w:vAlign w:val="center"/>
          </w:tcPr>
          <w:p>
            <w:pPr>
              <w:pStyle w:val="TableContents"/>
              <w:spacing w:before="0" w:after="283"/>
              <w:rPr>
                <w:i/>
                <w:sz w:val="20"/>
              </w:rPr>
            </w:pPr>
            <w:r>
              <w:rPr>
                <w:i/>
                <w:sz w:val="20"/>
              </w:rPr>
              <w:t>Redemption:</w:t>
            </w:r>
          </w:p>
        </w:tc>
        <w:tc>
          <w:tcPr>
            <w:tcW w:w="9267"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2063 (six (6) months prior to the maturity date of the 2064 Notes) (the “</w:t>
            </w:r>
            <w:r>
              <w:rPr>
                <w:rFonts w:ascii="Times New Roman;Times;Serif" w:hAnsi="Times New Roman;Times;Serif"/>
                <w:b/>
                <w:i w:val="false"/>
                <w:caps w:val="false"/>
                <w:smallCaps w:val="false"/>
                <w:sz w:val="20"/>
              </w:rPr>
              <w:t>2064 Par Call Date</w:t>
            </w:r>
            <w:r>
              <w:rPr>
                <w:rFonts w:ascii="Times New Roman;Times;Serif" w:hAnsi="Times New Roman;Times;Serif"/>
                <w:b w:val="false"/>
                <w:i w:val="false"/>
                <w:caps w:val="false"/>
                <w:smallCaps w:val="false"/>
                <w:sz w:val="20"/>
              </w:rPr>
              <w:t>”), the Company may redeem the 2064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2064 Notes matured on the 2064 Par Call Date) on a semi-annual basis (assuming a 360-day year consisting of twelve 30-day months) at the Treasury Rate (as defined in the 2064 Notes) plus 30 basis points, less (b) interest accrued to the date of redemption, and (2) 100% of the principal amount of the 2064 Notes to be redeemed, plus, in either case, accrued and unpaid interest thereon to the redemption date.</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2064 Par Call Date, the Company may redeem the 2064 Notes, in whole or in part, at any time and from time to time, at a redemption price equal to 100% of the principal amount of the 2064 Notes being redeemed plus accrued and unpaid interest thereon to the redemption date.</w:t>
            </w:r>
          </w:p>
        </w:tc>
      </w:tr>
      <w:tr>
        <w:trPr/>
        <w:tc>
          <w:tcPr>
            <w:tcW w:w="1272" w:type="dxa"/>
            <w:tcBorders/>
            <w:shd w:fill="auto" w:val="clear"/>
            <w:vAlign w:val="center"/>
          </w:tcPr>
          <w:p>
            <w:pPr>
              <w:pStyle w:val="TableContents"/>
              <w:spacing w:before="0" w:after="283"/>
              <w:rPr/>
            </w:pPr>
            <w:r>
              <w:rPr/>
              <w:t> </w:t>
            </w:r>
          </w:p>
        </w:tc>
        <w:tc>
          <w:tcPr>
            <w:tcW w:w="9267" w:type="dxa"/>
            <w:tcBorders/>
            <w:shd w:fill="auto" w:val="clear"/>
            <w:vAlign w:val="center"/>
          </w:tcPr>
          <w:p>
            <w:pPr>
              <w:pStyle w:val="TableContents"/>
              <w:spacing w:before="0" w:after="283"/>
              <w:rPr/>
            </w:pPr>
            <w:r>
              <w:rPr/>
              <w:t> </w:t>
            </w:r>
          </w:p>
        </w:tc>
      </w:tr>
    </w:tbl>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10539" w:type="dxa"/>
        <w:jc w:val="left"/>
        <w:tblInd w:w="0" w:type="dxa"/>
        <w:tblCellMar>
          <w:top w:w="0" w:type="dxa"/>
          <w:left w:w="0" w:type="dxa"/>
          <w:bottom w:w="0" w:type="dxa"/>
          <w:right w:w="0" w:type="dxa"/>
        </w:tblCellMar>
      </w:tblPr>
      <w:tblGrid>
        <w:gridCol w:w="1300"/>
        <w:gridCol w:w="9239"/>
      </w:tblGrid>
      <w:tr>
        <w:trPr/>
        <w:tc>
          <w:tcPr>
            <w:tcW w:w="1300" w:type="dxa"/>
            <w:tcBorders/>
            <w:shd w:fill="auto" w:val="clear"/>
            <w:vAlign w:val="center"/>
          </w:tcPr>
          <w:p>
            <w:pPr>
              <w:pStyle w:val="TableContents"/>
              <w:spacing w:before="0" w:after="283"/>
              <w:rPr>
                <w:i/>
                <w:sz w:val="20"/>
              </w:rPr>
            </w:pPr>
            <w:r>
              <w:rPr>
                <w:i/>
                <w:sz w:val="20"/>
              </w:rPr>
              <w:t>Additional Issuances:</w:t>
            </w:r>
          </w:p>
        </w:tc>
        <w:tc>
          <w:tcPr>
            <w:tcW w:w="9239" w:type="dxa"/>
            <w:tcBorders/>
            <w:shd w:fill="auto" w:val="clear"/>
            <w:vAlign w:val="center"/>
          </w:tcPr>
          <w:p>
            <w:pPr>
              <w:pStyle w:val="TableContents"/>
              <w:spacing w:before="0" w:after="283"/>
              <w:rPr>
                <w:sz w:val="20"/>
              </w:rPr>
            </w:pPr>
            <w:r>
              <w:rPr>
                <w:sz w:val="20"/>
              </w:rPr>
              <w:t>The 2064 Notes need not be issued at the same time and the series may be reopened for issuance of an unlimited principal amount of additional 2064 Notes under this series. Additional 2064 Notes of this series may be consolidated with, and form a single series with, 2064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2064 Notes are not fungible with the 2064 Notes then outstanding for U.S. federal income tax purposes, such additional 2064 Notes will have one or more separate CUSIP numbers.</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Conversion:</w:t>
            </w:r>
          </w:p>
        </w:tc>
        <w:tc>
          <w:tcPr>
            <w:tcW w:w="9239" w:type="dxa"/>
            <w:tcBorders/>
            <w:shd w:fill="auto" w:val="clear"/>
            <w:vAlign w:val="center"/>
          </w:tcPr>
          <w:p>
            <w:pPr>
              <w:pStyle w:val="TableContents"/>
              <w:spacing w:before="0" w:after="283"/>
              <w:rPr>
                <w:sz w:val="20"/>
              </w:rPr>
            </w:pPr>
            <w:r>
              <w:rPr>
                <w:sz w:val="20"/>
              </w:rPr>
              <w:t>None</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Sinking Fund:</w:t>
            </w:r>
          </w:p>
        </w:tc>
        <w:tc>
          <w:tcPr>
            <w:tcW w:w="9239" w:type="dxa"/>
            <w:tcBorders/>
            <w:shd w:fill="auto" w:val="clear"/>
            <w:vAlign w:val="center"/>
          </w:tcPr>
          <w:p>
            <w:pPr>
              <w:pStyle w:val="TableContents"/>
              <w:spacing w:before="0" w:after="283"/>
              <w:rPr>
                <w:sz w:val="20"/>
              </w:rPr>
            </w:pPr>
            <w:r>
              <w:rPr>
                <w:sz w:val="20"/>
              </w:rPr>
              <w:t>None</w:t>
            </w:r>
          </w:p>
        </w:tc>
      </w:tr>
      <w:tr>
        <w:trPr/>
        <w:tc>
          <w:tcPr>
            <w:tcW w:w="1300" w:type="dxa"/>
            <w:tcBorders/>
            <w:shd w:fill="auto" w:val="clear"/>
            <w:vAlign w:val="center"/>
          </w:tcPr>
          <w:p>
            <w:pPr>
              <w:pStyle w:val="TableContents"/>
              <w:spacing w:before="0" w:after="283"/>
              <w:rPr/>
            </w:pPr>
            <w:r>
              <w:rPr/>
              <w:t> </w:t>
            </w:r>
          </w:p>
        </w:tc>
        <w:tc>
          <w:tcPr>
            <w:tcW w:w="9239" w:type="dxa"/>
            <w:tcBorders/>
            <w:shd w:fill="auto" w:val="clear"/>
            <w:vAlign w:val="center"/>
          </w:tcPr>
          <w:p>
            <w:pPr>
              <w:pStyle w:val="TableContents"/>
              <w:spacing w:before="0" w:after="283"/>
              <w:rPr/>
            </w:pPr>
            <w:r>
              <w:rPr/>
              <w:t> </w:t>
            </w:r>
          </w:p>
        </w:tc>
      </w:tr>
      <w:tr>
        <w:trPr/>
        <w:tc>
          <w:tcPr>
            <w:tcW w:w="1300" w:type="dxa"/>
            <w:tcBorders/>
            <w:shd w:fill="auto" w:val="clear"/>
            <w:vAlign w:val="center"/>
          </w:tcPr>
          <w:p>
            <w:pPr>
              <w:pStyle w:val="TableContents"/>
              <w:spacing w:before="0" w:after="283"/>
              <w:rPr>
                <w:i/>
                <w:sz w:val="20"/>
              </w:rPr>
            </w:pPr>
            <w:r>
              <w:rPr>
                <w:i/>
                <w:sz w:val="20"/>
              </w:rPr>
              <w:t>Miscellaneous:</w:t>
            </w:r>
          </w:p>
        </w:tc>
        <w:tc>
          <w:tcPr>
            <w:tcW w:w="9239" w:type="dxa"/>
            <w:tcBorders/>
            <w:shd w:fill="auto" w:val="clear"/>
            <w:vAlign w:val="center"/>
          </w:tcPr>
          <w:p>
            <w:pPr>
              <w:pStyle w:val="TableContents"/>
              <w:spacing w:before="0" w:after="283"/>
              <w:rPr>
                <w:sz w:val="20"/>
              </w:rPr>
            </w:pPr>
            <w:r>
              <w:rPr>
                <w:sz w:val="20"/>
              </w:rPr>
              <w:t xml:space="preserve">The terms of the 2064 Notes shall include such other terms as are set forth in the Form of Note due 2064 attached hereto as </w:t>
            </w:r>
            <w:r>
              <w:rPr>
                <w:b/>
                <w:sz w:val="20"/>
                <w:u w:val="single"/>
              </w:rPr>
              <w:t>Exhibit D</w:t>
            </w:r>
            <w:r>
              <w:rPr>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officers of the Company have duly executed this certificate as of the date first set forth above.</w:t>
      </w:r>
    </w:p>
    <w:p>
      <w:pPr>
        <w:pStyle w:val="TextBody"/>
        <w:spacing w:before="0" w:after="0"/>
        <w:ind w:left="0" w:right="0" w:firstLine="720"/>
        <w:rPr>
          <w:caps w:val="false"/>
          <w:smallCaps w:val="false"/>
        </w:rPr>
      </w:pPr>
      <w:r>
        <w:rPr>
          <w:caps w:val="false"/>
          <w:smallCaps w:val="false"/>
        </w:rPr>
        <w:t> </w:t>
      </w:r>
    </w:p>
    <w:tbl>
      <w:tblPr>
        <w:tblW w:w="4035" w:type="dxa"/>
        <w:jc w:val="left"/>
        <w:tblInd w:w="0" w:type="dxa"/>
        <w:tblCellMar>
          <w:top w:w="0" w:type="dxa"/>
          <w:left w:w="0" w:type="dxa"/>
          <w:bottom w:w="0" w:type="dxa"/>
          <w:right w:w="0" w:type="dxa"/>
        </w:tblCellMar>
      </w:tblPr>
      <w:tblGrid>
        <w:gridCol w:w="75"/>
        <w:gridCol w:w="320"/>
        <w:gridCol w:w="605"/>
        <w:gridCol w:w="3035"/>
      </w:tblGrid>
      <w:tr>
        <w:trPr/>
        <w:tc>
          <w:tcPr>
            <w:tcW w:w="75" w:type="dxa"/>
            <w:tcBorders/>
            <w:shd w:fill="auto" w:val="clear"/>
            <w:vAlign w:val="center"/>
          </w:tcPr>
          <w:p>
            <w:pPr>
              <w:pStyle w:val="TableContents"/>
              <w:spacing w:before="0" w:after="283"/>
              <w:ind w:left="0" w:right="0" w:hanging="360"/>
              <w:rPr/>
            </w:pPr>
            <w:r>
              <w:rPr/>
              <w:t> </w:t>
            </w:r>
          </w:p>
        </w:tc>
        <w:tc>
          <w:tcPr>
            <w:tcW w:w="396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640" w:type="dxa"/>
            <w:gridSpan w:val="2"/>
            <w:tcBorders>
              <w:bottom w:val="single" w:sz="8" w:space="0" w:color="000000"/>
            </w:tcBorders>
            <w:shd w:fill="auto" w:val="clear"/>
            <w:tcMar>
              <w:bottom w:w="28" w:type="dxa"/>
            </w:tcMar>
            <w:vAlign w:val="center"/>
          </w:tcPr>
          <w:p>
            <w:pPr>
              <w:pStyle w:val="TableContents"/>
              <w:spacing w:before="0" w:after="283"/>
              <w:rPr/>
            </w:pPr>
            <w:r>
              <w:rPr/>
              <w:t>/s/ Jason S. Armstrong</w:t>
            </w:r>
          </w:p>
        </w:tc>
      </w:tr>
      <w:tr>
        <w:trPr/>
        <w:tc>
          <w:tcPr>
            <w:tcW w:w="75" w:type="dxa"/>
            <w:tcBorders/>
            <w:shd w:fill="auto" w:val="cle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jc w:val="right"/>
              <w:rPr/>
            </w:pPr>
            <w:r>
              <w:rPr/>
              <w:t> </w:t>
            </w:r>
          </w:p>
        </w:tc>
        <w:tc>
          <w:tcPr>
            <w:tcW w:w="605" w:type="dxa"/>
            <w:tcBorders/>
            <w:shd w:fill="auto" w:val="clear"/>
            <w:vAlign w:val="center"/>
          </w:tcPr>
          <w:p>
            <w:pPr>
              <w:pStyle w:val="TableContents"/>
              <w:spacing w:before="0" w:after="283"/>
              <w:rPr>
                <w:sz w:val="20"/>
              </w:rPr>
            </w:pPr>
            <w:r>
              <w:rPr>
                <w:sz w:val="20"/>
              </w:rPr>
              <w:t xml:space="preserve">Name: </w:t>
            </w:r>
          </w:p>
        </w:tc>
        <w:tc>
          <w:tcPr>
            <w:tcW w:w="3035" w:type="dxa"/>
            <w:tcBorders/>
            <w:shd w:fill="auto" w:val="clear"/>
            <w:vAlign w:val="center"/>
          </w:tcPr>
          <w:p>
            <w:pPr>
              <w:pStyle w:val="TableContents"/>
              <w:spacing w:before="0" w:after="283"/>
              <w:rPr>
                <w:sz w:val="20"/>
              </w:rPr>
            </w:pPr>
            <w:r>
              <w:rPr>
                <w:sz w:val="20"/>
              </w:rPr>
              <w:t>Jason S. Armstrong</w:t>
            </w:r>
          </w:p>
        </w:tc>
      </w:tr>
      <w:tr>
        <w:trPr/>
        <w:tc>
          <w:tcPr>
            <w:tcW w:w="75" w:type="dxa"/>
            <w:tcBorders/>
            <w:shd w:fill="auto" w:val="cle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ind w:left="0" w:right="0" w:hanging="0"/>
              <w:jc w:val="right"/>
              <w:rPr/>
            </w:pPr>
            <w:r>
              <w:rPr/>
              <w:t> </w:t>
            </w:r>
          </w:p>
        </w:tc>
        <w:tc>
          <w:tcPr>
            <w:tcW w:w="605" w:type="dxa"/>
            <w:tcBorders/>
            <w:shd w:fill="auto" w:val="clear"/>
            <w:vAlign w:val="center"/>
          </w:tcPr>
          <w:p>
            <w:pPr>
              <w:pStyle w:val="TableContents"/>
              <w:spacing w:before="0" w:after="283"/>
              <w:ind w:left="0" w:right="0" w:hanging="0"/>
              <w:rPr>
                <w:sz w:val="20"/>
              </w:rPr>
            </w:pPr>
            <w:r>
              <w:rPr>
                <w:sz w:val="20"/>
              </w:rPr>
              <w:t>Title:   </w:t>
            </w:r>
          </w:p>
        </w:tc>
        <w:tc>
          <w:tcPr>
            <w:tcW w:w="3035" w:type="dxa"/>
            <w:tcBorders/>
            <w:shd w:fill="auto" w:val="clear"/>
            <w:vAlign w:val="center"/>
          </w:tcPr>
          <w:p>
            <w:pPr>
              <w:pStyle w:val="TableContents"/>
              <w:spacing w:before="0" w:after="283"/>
              <w:rPr>
                <w:sz w:val="20"/>
              </w:rPr>
            </w:pPr>
            <w:r>
              <w:rPr>
                <w:sz w:val="20"/>
              </w:rPr>
              <w:t>Chief Financial Officer and Treasurer</w:t>
            </w:r>
          </w:p>
        </w:tc>
      </w:tr>
    </w:tbl>
    <w:p>
      <w:pPr>
        <w:pStyle w:val="TextBody"/>
        <w:rPr/>
      </w:pPr>
      <w:r>
        <w:rPr/>
        <w:t> </w:t>
      </w:r>
    </w:p>
    <w:p>
      <w:pPr>
        <w:pStyle w:val="TextBody"/>
        <w:rPr/>
      </w:pPr>
      <w:r>
        <w:rPr/>
        <w:t> </w:t>
      </w:r>
    </w:p>
    <w:p>
      <w:pPr>
        <w:pStyle w:val="TextBody"/>
        <w:rPr/>
      </w:pPr>
      <w:r>
        <w:rPr/>
        <w:t> </w:t>
      </w:r>
    </w:p>
    <w:p>
      <w:pPr>
        <w:pStyle w:val="TextBody"/>
        <w:rPr/>
      </w:pPr>
      <w:r>
        <w:rPr/>
        <w:t> </w:t>
      </w:r>
    </w:p>
    <w:p>
      <w:pPr>
        <w:pStyle w:val="TextBody"/>
        <w:rPr/>
      </w:pPr>
      <w:r>
        <w:rPr/>
        <w:t> </w:t>
      </w:r>
    </w:p>
    <w:tbl>
      <w:tblPr>
        <w:tblW w:w="7350" w:type="dxa"/>
        <w:jc w:val="left"/>
        <w:tblInd w:w="0" w:type="dxa"/>
        <w:tblCellMar>
          <w:top w:w="0" w:type="dxa"/>
          <w:left w:w="0" w:type="dxa"/>
          <w:bottom w:w="0" w:type="dxa"/>
          <w:right w:w="0" w:type="dxa"/>
        </w:tblCellMar>
      </w:tblPr>
      <w:tblGrid>
        <w:gridCol w:w="75"/>
        <w:gridCol w:w="320"/>
        <w:gridCol w:w="605"/>
        <w:gridCol w:w="6350"/>
      </w:tblGrid>
      <w:tr>
        <w:trPr/>
        <w:tc>
          <w:tcPr>
            <w:tcW w:w="75" w:type="dxa"/>
            <w:tcBorders/>
            <w:shd w:fill="auto" w:val="clear"/>
            <w:vAlign w:val="center"/>
          </w:tcPr>
          <w:p>
            <w:pPr>
              <w:pStyle w:val="TableContents"/>
              <w:spacing w:before="0" w:after="283"/>
              <w:ind w:left="0" w:right="0" w:hanging="360"/>
              <w:rPr/>
            </w:pPr>
            <w:r>
              <w:rPr/>
              <w:t> </w:t>
            </w:r>
          </w:p>
        </w:tc>
        <w:tc>
          <w:tcPr>
            <w:tcW w:w="727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6955" w:type="dxa"/>
            <w:gridSpan w:val="2"/>
            <w:tcBorders>
              <w:bottom w:val="single" w:sz="8" w:space="0" w:color="000000"/>
            </w:tcBorders>
            <w:shd w:fill="auto" w:val="clear"/>
            <w:tcMar>
              <w:bottom w:w="28" w:type="dxa"/>
            </w:tcMar>
            <w:vAlign w:val="center"/>
          </w:tcPr>
          <w:p>
            <w:pPr>
              <w:pStyle w:val="TableContents"/>
              <w:spacing w:before="0" w:after="283"/>
              <w:rPr/>
            </w:pPr>
            <w:r>
              <w:rPr/>
              <w:t>/s/ Elizabeth Wideman</w:t>
            </w:r>
          </w:p>
        </w:tc>
      </w:tr>
      <w:tr>
        <w:trPr/>
        <w:tc>
          <w:tcPr>
            <w:tcW w:w="75" w:type="dxa"/>
            <w:tcBorders/>
            <w:shd w:fill="auto" w:val="cle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jc w:val="right"/>
              <w:rPr/>
            </w:pPr>
            <w:r>
              <w:rPr/>
              <w:t> </w:t>
            </w:r>
          </w:p>
        </w:tc>
        <w:tc>
          <w:tcPr>
            <w:tcW w:w="605" w:type="dxa"/>
            <w:tcBorders/>
            <w:shd w:fill="auto" w:val="clear"/>
            <w:vAlign w:val="center"/>
          </w:tcPr>
          <w:p>
            <w:pPr>
              <w:pStyle w:val="TableContents"/>
              <w:spacing w:before="0" w:after="283"/>
              <w:rPr>
                <w:sz w:val="20"/>
              </w:rPr>
            </w:pPr>
            <w:r>
              <w:rPr>
                <w:sz w:val="20"/>
              </w:rPr>
              <w:t xml:space="preserve">Name: </w:t>
            </w:r>
          </w:p>
        </w:tc>
        <w:tc>
          <w:tcPr>
            <w:tcW w:w="6350" w:type="dxa"/>
            <w:tcBorders/>
            <w:shd w:fill="auto" w:val="clear"/>
            <w:vAlign w:val="center"/>
          </w:tcPr>
          <w:p>
            <w:pPr>
              <w:pStyle w:val="TableContents"/>
              <w:spacing w:before="0" w:after="283"/>
              <w:rPr>
                <w:sz w:val="20"/>
              </w:rPr>
            </w:pPr>
            <w:r>
              <w:rPr>
                <w:sz w:val="20"/>
              </w:rPr>
              <w:t>Elizabeth Wideman</w:t>
            </w:r>
          </w:p>
        </w:tc>
      </w:tr>
      <w:tr>
        <w:trPr/>
        <w:tc>
          <w:tcPr>
            <w:tcW w:w="75" w:type="dxa"/>
            <w:tcBorders/>
            <w:shd w:fill="auto" w:val="cle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ind w:left="0" w:right="0" w:hanging="0"/>
              <w:jc w:val="right"/>
              <w:rPr/>
            </w:pPr>
            <w:r>
              <w:rPr/>
              <w:t> </w:t>
            </w:r>
          </w:p>
        </w:tc>
        <w:tc>
          <w:tcPr>
            <w:tcW w:w="605" w:type="dxa"/>
            <w:tcBorders/>
            <w:shd w:fill="auto" w:val="clear"/>
            <w:vAlign w:val="center"/>
          </w:tcPr>
          <w:p>
            <w:pPr>
              <w:pStyle w:val="TableContents"/>
              <w:spacing w:before="0" w:after="283"/>
              <w:ind w:left="0" w:right="0" w:hanging="0"/>
              <w:rPr>
                <w:sz w:val="20"/>
              </w:rPr>
            </w:pPr>
            <w:r>
              <w:rPr>
                <w:sz w:val="20"/>
              </w:rPr>
              <w:t>Title:   </w:t>
            </w:r>
          </w:p>
        </w:tc>
        <w:tc>
          <w:tcPr>
            <w:tcW w:w="6350" w:type="dxa"/>
            <w:tcBorders/>
            <w:shd w:fill="auto" w:val="clear"/>
            <w:vAlign w:val="center"/>
          </w:tcPr>
          <w:p>
            <w:pPr>
              <w:pStyle w:val="TableContents"/>
              <w:spacing w:before="0" w:after="283"/>
              <w:rPr>
                <w:sz w:val="20"/>
              </w:rPr>
            </w:pPr>
            <w:r>
              <w:rPr>
                <w:sz w:val="20"/>
              </w:rPr>
              <w:t>Senior Vice President, Senior Deputy General Counsel and Assistant Secretary</w:t>
            </w:r>
          </w:p>
        </w:tc>
      </w:tr>
      <w:tr>
        <w:trPr/>
        <w:tc>
          <w:tcPr>
            <w:tcW w:w="75" w:type="dxa"/>
            <w:tcBorders/>
            <w:shd w:fill="auto" w:val="clear"/>
            <w:vAlign w:val="center"/>
          </w:tcPr>
          <w:p>
            <w:pPr>
              <w:pStyle w:val="TableContents"/>
              <w:spacing w:before="0" w:after="283"/>
              <w:jc w:val="right"/>
              <w:rPr/>
            </w:pPr>
            <w:r>
              <w:rPr/>
              <w:t> </w:t>
            </w:r>
          </w:p>
        </w:tc>
        <w:tc>
          <w:tcPr>
            <w:tcW w:w="320" w:type="dxa"/>
            <w:tcBorders/>
            <w:shd w:fill="auto" w:val="clear"/>
            <w:vAlign w:val="center"/>
          </w:tcPr>
          <w:p>
            <w:pPr>
              <w:pStyle w:val="TableContents"/>
              <w:spacing w:before="0" w:after="283"/>
              <w:jc w:val="right"/>
              <w:rPr/>
            </w:pPr>
            <w:r>
              <w:rPr/>
              <w:t> </w:t>
            </w:r>
          </w:p>
        </w:tc>
        <w:tc>
          <w:tcPr>
            <w:tcW w:w="6955" w:type="dxa"/>
            <w:gridSpan w:val="2"/>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Officers’ Certificate Pursuant to the Indenture</w:t>
      </w: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4.550% Note due 2029</w:t>
      </w:r>
    </w:p>
    <w:p>
      <w:pPr>
        <w:pStyle w:val="TextBody"/>
        <w:spacing w:before="0" w:after="0"/>
        <w:ind w:left="0" w:right="0" w:hanging="0"/>
        <w:jc w:val="center"/>
        <w:rPr>
          <w:caps w:val="false"/>
          <w:smallCaps w:val="false"/>
        </w:rPr>
      </w:pPr>
      <w:r>
        <w:rPr>
          <w:caps w:val="false"/>
          <w:smallCaps w:val="false"/>
        </w:rPr>
        <w:t> </w:t>
      </w:r>
    </w:p>
    <w:tbl>
      <w:tblPr>
        <w:tblW w:w="2770" w:type="dxa"/>
        <w:jc w:val="left"/>
        <w:tblInd w:w="0" w:type="dxa"/>
        <w:tblCellMar>
          <w:top w:w="0" w:type="dxa"/>
          <w:left w:w="0" w:type="dxa"/>
          <w:bottom w:w="0" w:type="dxa"/>
          <w:right w:w="0" w:type="dxa"/>
        </w:tblCellMar>
      </w:tblPr>
      <w:tblGrid>
        <w:gridCol w:w="530"/>
        <w:gridCol w:w="2240"/>
      </w:tblGrid>
      <w:tr>
        <w:trPr/>
        <w:tc>
          <w:tcPr>
            <w:tcW w:w="530" w:type="dxa"/>
            <w:tcBorders/>
            <w:shd w:fill="auto" w:val="clear"/>
            <w:vAlign w:val="center"/>
          </w:tcPr>
          <w:p>
            <w:pPr>
              <w:pStyle w:val="TableContents"/>
              <w:spacing w:before="0" w:after="283"/>
              <w:rPr>
                <w:sz w:val="20"/>
              </w:rPr>
            </w:pPr>
            <w:r>
              <w:rPr>
                <w:sz w:val="20"/>
              </w:rPr>
              <w:t>No. [ ]</w:t>
            </w:r>
          </w:p>
        </w:tc>
        <w:tc>
          <w:tcPr>
            <w:tcW w:w="2240" w:type="dxa"/>
            <w:tcBorders/>
            <w:shd w:fill="auto" w:val="clear"/>
            <w:vAlign w:val="center"/>
          </w:tcPr>
          <w:p>
            <w:pPr>
              <w:pStyle w:val="TableContents"/>
              <w:spacing w:before="0" w:after="283"/>
              <w:jc w:val="right"/>
              <w:rPr>
                <w:sz w:val="20"/>
              </w:rPr>
            </w:pPr>
            <w:r>
              <w:rPr>
                <w:sz w:val="20"/>
              </w:rPr>
              <w:t xml:space="preserve">CUSIP No.: 20030N ED9 </w:t>
            </w:r>
          </w:p>
        </w:tc>
      </w:tr>
      <w:tr>
        <w:trPr/>
        <w:tc>
          <w:tcPr>
            <w:tcW w:w="53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jc w:val="right"/>
              <w:rPr>
                <w:sz w:val="20"/>
              </w:rPr>
            </w:pPr>
            <w:r>
              <w:rPr>
                <w:sz w:val="20"/>
              </w:rPr>
              <w:t xml:space="preserve">ISIN No.: US20030NED93 </w:t>
            </w:r>
          </w:p>
        </w:tc>
      </w:tr>
      <w:tr>
        <w:trPr/>
        <w:tc>
          <w:tcPr>
            <w:tcW w:w="53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283"/>
              <w:jc w:val="right"/>
              <w:rPr/>
            </w:pPr>
            <w:r>
              <w:rPr/>
              <w:t> </w:t>
            </w:r>
          </w:p>
        </w:tc>
      </w:tr>
      <w:tr>
        <w:trPr/>
        <w:tc>
          <w:tcPr>
            <w:tcW w:w="530" w:type="dxa"/>
            <w:tcBorders/>
            <w:shd w:fill="auto" w:val="clear"/>
            <w:vAlign w:val="center"/>
          </w:tcPr>
          <w:p>
            <w:pPr>
              <w:pStyle w:val="TableContents"/>
              <w:spacing w:before="0" w:after="283"/>
              <w:rPr>
                <w:sz w:val="20"/>
              </w:rPr>
            </w:pPr>
            <w:r>
              <w:rPr>
                <w:sz w:val="20"/>
              </w:rPr>
              <w:t>$[ ]</w:t>
            </w:r>
          </w:p>
        </w:tc>
        <w:tc>
          <w:tcPr>
            <w:tcW w:w="2240" w:type="dxa"/>
            <w:tcBorders/>
            <w:shd w:fill="auto" w:val="clear"/>
            <w:vAlign w:val="center"/>
          </w:tcPr>
          <w:p>
            <w:pPr>
              <w:pStyle w:val="TableContents"/>
              <w:spacing w:before="0" w:after="283"/>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registered assigns, the principal sum of $[ ] ([ ]) on January 15, 2029.</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15 and July 15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January 15, 2024.</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Record Dates: January 1 and July 1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spacing w:before="0" w:after="0"/>
        <w:ind w:left="0" w:right="0" w:firstLine="72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545"/>
        <w:gridCol w:w="3035"/>
      </w:tblGrid>
      <w:tr>
        <w:trPr/>
        <w:tc>
          <w:tcPr>
            <w:tcW w:w="75" w:type="dxa"/>
            <w:tcBorders/>
            <w:shd w:fill="auto" w:val="clear"/>
            <w:vAlign w:val="center"/>
          </w:tcPr>
          <w:p>
            <w:pPr>
              <w:pStyle w:val="TableContents"/>
              <w:spacing w:before="0" w:after="283"/>
              <w:rPr/>
            </w:pPr>
            <w:r>
              <w:rPr/>
              <w:t> </w:t>
            </w:r>
          </w:p>
        </w:tc>
        <w:tc>
          <w:tcPr>
            <w:tcW w:w="3580" w:type="dxa"/>
            <w:gridSpan w:val="2"/>
            <w:tcBorders/>
            <w:shd w:fill="auto" w:val="clear"/>
            <w:vAlign w:val="center"/>
          </w:tcPr>
          <w:p>
            <w:pPr>
              <w:pStyle w:val="TableContents"/>
              <w:spacing w:before="0" w:after="283"/>
              <w:rPr>
                <w:b/>
                <w:sz w:val="20"/>
              </w:rPr>
            </w:pPr>
            <w:r>
              <w:rPr>
                <w:b/>
                <w:sz w:val="20"/>
              </w:rPr>
              <w:t>COMCAST CORPORATION</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30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35" w:type="dxa"/>
            <w:tcBorders/>
            <w:shd w:fill="auto" w:val="clear"/>
            <w:vAlign w:val="center"/>
          </w:tcPr>
          <w:p>
            <w:pPr>
              <w:pStyle w:val="TableContents"/>
              <w:spacing w:before="0" w:after="283"/>
              <w:rPr>
                <w:sz w:val="20"/>
              </w:rPr>
            </w:pPr>
            <w:r>
              <w:rPr>
                <w:sz w:val="20"/>
              </w:rPr>
              <w:t>Jason S. Armstrong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35" w:type="dxa"/>
            <w:tcBorders/>
            <w:shd w:fill="auto" w:val="clear"/>
            <w:vAlign w:val="center"/>
          </w:tcPr>
          <w:p>
            <w:pPr>
              <w:pStyle w:val="TableContents"/>
              <w:spacing w:before="0" w:after="283"/>
              <w:rPr>
                <w:sz w:val="20"/>
              </w:rPr>
            </w:pPr>
            <w:r>
              <w:rPr>
                <w:sz w:val="20"/>
              </w:rPr>
              <w:t>Chief Financial Officer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Comcast Corporation]</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0" w:type="dxa"/>
          <w:right w:w="0" w:type="dxa"/>
        </w:tblCellMar>
      </w:tblPr>
      <w:tblGrid>
        <w:gridCol w:w="335"/>
        <w:gridCol w:w="545"/>
        <w:gridCol w:w="6335"/>
        <w:gridCol w:w="75"/>
      </w:tblGrid>
      <w:tr>
        <w:trPr/>
        <w:tc>
          <w:tcPr>
            <w:tcW w:w="7215" w:type="dxa"/>
            <w:gridSpan w:val="3"/>
            <w:tcBorders/>
            <w:shd w:fill="auto" w:val="clear"/>
            <w:vAlign w:val="center"/>
          </w:tcPr>
          <w:p>
            <w:pPr>
              <w:pStyle w:val="TableContents"/>
              <w:spacing w:before="0" w:after="283"/>
              <w:rPr>
                <w:sz w:val="20"/>
              </w:rPr>
            </w:pPr>
            <w:r>
              <w:rPr>
                <w:sz w:val="20"/>
              </w:rPr>
              <w:t>Attest:</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sz w:val="20"/>
              </w:rPr>
            </w:pPr>
            <w:r>
              <w:rPr>
                <w:sz w:val="20"/>
              </w:rPr>
              <w:t>By:</w:t>
            </w:r>
          </w:p>
        </w:tc>
        <w:tc>
          <w:tcPr>
            <w:tcW w:w="6880" w:type="dxa"/>
            <w:gridSpan w:val="2"/>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6335" w:type="dxa"/>
            <w:tcBorders/>
            <w:shd w:fill="auto" w:val="clear"/>
            <w:vAlign w:val="center"/>
          </w:tcPr>
          <w:p>
            <w:pPr>
              <w:pStyle w:val="TableContents"/>
              <w:spacing w:before="0" w:after="283"/>
              <w:rPr>
                <w:sz w:val="20"/>
              </w:rPr>
            </w:pPr>
            <w:r>
              <w:rPr>
                <w:sz w:val="20"/>
              </w:rPr>
              <w:t>Elizabeth Wideman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6335" w:type="dxa"/>
            <w:tcBorders/>
            <w:shd w:fill="auto" w:val="clear"/>
            <w:vAlign w:val="center"/>
          </w:tcPr>
          <w:p>
            <w:pPr>
              <w:pStyle w:val="TableContents"/>
              <w:spacing w:before="0" w:after="283"/>
              <w:rPr>
                <w:sz w:val="20"/>
              </w:rPr>
            </w:pPr>
            <w:r>
              <w:rPr>
                <w:sz w:val="20"/>
              </w:rPr>
              <w:t>Senior Vice President, Senior Deputy General Counsel and Assistant Secretary</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[Signature Page to Global Note]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9, 2023</w:t>
      </w:r>
    </w:p>
    <w:p>
      <w:pPr>
        <w:pStyle w:val="TextBody"/>
        <w:spacing w:before="0" w:after="0"/>
        <w:ind w:left="0" w:right="0" w:hanging="0"/>
        <w:rPr>
          <w:caps w:val="false"/>
          <w:smallCaps w:val="false"/>
        </w:rPr>
      </w:pPr>
      <w:r>
        <w:rPr>
          <w:caps w:val="false"/>
          <w:smallCaps w:val="false"/>
        </w:rPr>
        <w:t> </w:t>
      </w:r>
    </w:p>
    <w:tbl>
      <w:tblPr>
        <w:tblW w:w="3544" w:type="dxa"/>
        <w:jc w:val="left"/>
        <w:tblInd w:w="0" w:type="dxa"/>
        <w:tblCellMar>
          <w:top w:w="0" w:type="dxa"/>
          <w:left w:w="0" w:type="dxa"/>
          <w:bottom w:w="0" w:type="dxa"/>
          <w:right w:w="0" w:type="dxa"/>
        </w:tblCellMar>
      </w:tblPr>
      <w:tblGrid>
        <w:gridCol w:w="255"/>
        <w:gridCol w:w="488"/>
        <w:gridCol w:w="2801"/>
      </w:tblGrid>
      <w:tr>
        <w:trPr/>
        <w:tc>
          <w:tcPr>
            <w:tcW w:w="25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sz w:val="20"/>
              </w:rPr>
            </w:pPr>
            <w:r>
              <w:rPr>
                <w:sz w:val="20"/>
              </w:rPr>
              <w:t xml:space="preserve">THE BANK OF NEW YORK MELLON, </w:t>
            </w:r>
          </w:p>
        </w:tc>
      </w:tr>
      <w:tr>
        <w:trPr/>
        <w:tc>
          <w:tcPr>
            <w:tcW w:w="255" w:type="dxa"/>
            <w:tcBorders/>
            <w:shd w:fill="auto" w:val="clear"/>
            <w:vAlign w:val="center"/>
          </w:tcPr>
          <w:p>
            <w:pPr>
              <w:pStyle w:val="TableContents"/>
              <w:spacing w:before="0" w:after="283"/>
              <w:ind w:left="0" w:right="0" w:firstLine="180"/>
              <w:rPr/>
            </w:pPr>
            <w:r>
              <w:rPr/>
              <w:t> </w:t>
            </w:r>
          </w:p>
        </w:tc>
        <w:tc>
          <w:tcPr>
            <w:tcW w:w="3289" w:type="dxa"/>
            <w:gridSpan w:val="2"/>
            <w:tcBorders/>
            <w:shd w:fill="auto" w:val="clear"/>
            <w:vAlign w:val="center"/>
          </w:tcPr>
          <w:p>
            <w:pPr>
              <w:pStyle w:val="TableContents"/>
              <w:spacing w:before="0" w:after="283"/>
              <w:rPr>
                <w:sz w:val="20"/>
              </w:rPr>
            </w:pPr>
            <w:r>
              <w:rPr>
                <w:sz w:val="20"/>
              </w:rPr>
              <w:t>as Trustee</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sz w:val="20"/>
              </w:rPr>
            </w:pPr>
            <w:r>
              <w:rPr>
                <w:sz w:val="20"/>
              </w:rPr>
              <w:t>By:</w:t>
            </w:r>
          </w:p>
        </w:tc>
        <w:tc>
          <w:tcPr>
            <w:tcW w:w="2801"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sz w:val="20"/>
              </w:rPr>
            </w:pPr>
            <w:r>
              <w:rPr>
                <w:sz w:val="20"/>
              </w:rPr>
              <w:t xml:space="preserve">Authorized Signatory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[Signature Page to Global Note]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 Note due 2029</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1"/>
        <w:gridCol w:w="2060"/>
        <w:gridCol w:w="8088"/>
      </w:tblGrid>
      <w:tr>
        <w:trPr/>
        <w:tc>
          <w:tcPr>
            <w:tcW w:w="391"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pPr>
            <w:r>
              <w:rPr/>
              <w:t>1.</w:t>
            </w:r>
          </w:p>
        </w:tc>
        <w:tc>
          <w:tcPr>
            <w:tcW w:w="8088" w:type="dxa"/>
            <w:tcBorders/>
            <w:shd w:fill="auto" w:val="clear"/>
            <w:vAlign w:val="center"/>
          </w:tcPr>
          <w:p>
            <w:pPr>
              <w:pStyle w:val="TableContents"/>
              <w:spacing w:before="0" w:after="283"/>
              <w:rPr/>
            </w:pPr>
            <w:r>
              <w:rPr/>
              <w:t>Interest.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May 9, 2023. The Issuer will pay interest semi-annually in arrears on each Interest Payment Date, commencing January 15, 2024. Interest will be computed on the basis of a 360-day year of twelve 30-day months.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1"/>
        <w:gridCol w:w="954"/>
        <w:gridCol w:w="9404"/>
      </w:tblGrid>
      <w:tr>
        <w:trPr/>
        <w:tc>
          <w:tcPr>
            <w:tcW w:w="18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pPr>
            <w:r>
              <w:rPr/>
              <w:t>2.</w:t>
            </w:r>
          </w:p>
        </w:tc>
        <w:tc>
          <w:tcPr>
            <w:tcW w:w="9404" w:type="dxa"/>
            <w:tcBorders/>
            <w:shd w:fill="auto" w:val="clear"/>
            <w:vAlign w:val="center"/>
          </w:tcPr>
          <w:p>
            <w:pPr>
              <w:pStyle w:val="TableContents"/>
              <w:spacing w:before="0" w:after="283"/>
              <w:rPr/>
            </w:pPr>
            <w:r>
              <w:rPr/>
              <w:t>Method of Payment.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4"/>
        <w:gridCol w:w="1287"/>
        <w:gridCol w:w="9008"/>
      </w:tblGrid>
      <w:tr>
        <w:trPr/>
        <w:tc>
          <w:tcPr>
            <w:tcW w:w="24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pPr>
            <w:r>
              <w:rPr/>
              <w:t>3.</w:t>
            </w:r>
          </w:p>
        </w:tc>
        <w:tc>
          <w:tcPr>
            <w:tcW w:w="9008" w:type="dxa"/>
            <w:tcBorders/>
            <w:shd w:fill="auto" w:val="clear"/>
            <w:vAlign w:val="center"/>
          </w:tcPr>
          <w:p>
            <w:pPr>
              <w:pStyle w:val="TableContents"/>
              <w:spacing w:before="0" w:after="283"/>
              <w:rPr/>
            </w:pPr>
            <w:r>
              <w:rPr/>
              <w:t>Paying Agent.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The Issuer may change any Paying Agent without notice to the Holders.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
        <w:gridCol w:w="1710"/>
        <w:gridCol w:w="8505"/>
      </w:tblGrid>
      <w:tr>
        <w:trPr/>
        <w:tc>
          <w:tcPr>
            <w:tcW w:w="32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pPr>
            <w:r>
              <w:rPr/>
              <w:t>4.</w:t>
            </w:r>
          </w:p>
        </w:tc>
        <w:tc>
          <w:tcPr>
            <w:tcW w:w="8505" w:type="dxa"/>
            <w:tcBorders/>
            <w:shd w:fill="auto" w:val="clear"/>
            <w:vAlign w:val="center"/>
          </w:tcPr>
          <w:p>
            <w:pPr>
              <w:pStyle w:val="TableContents"/>
              <w:spacing w:before="0" w:after="283"/>
              <w:rPr/>
            </w:pPr>
            <w:r>
              <w:rPr/>
              <w:t>Indenture.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Trustee, and as further amended by the Second Supplemental Indenture dated as of July 29, 2022, by and among the Issuer, the Guarantors and the Trustee (as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and the notes are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under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6"/>
        <w:gridCol w:w="1508"/>
        <w:gridCol w:w="8745"/>
      </w:tblGrid>
      <w:tr>
        <w:trPr/>
        <w:tc>
          <w:tcPr>
            <w:tcW w:w="286"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pPr>
            <w:r>
              <w:rPr/>
              <w:t>5.</w:t>
            </w:r>
          </w:p>
        </w:tc>
        <w:tc>
          <w:tcPr>
            <w:tcW w:w="8745" w:type="dxa"/>
            <w:tcBorders/>
            <w:shd w:fill="auto" w:val="clear"/>
            <w:vAlign w:val="center"/>
          </w:tcPr>
          <w:p>
            <w:pPr>
              <w:pStyle w:val="TableContents"/>
              <w:spacing w:before="0" w:after="283"/>
              <w:rPr/>
            </w:pPr>
            <w:r>
              <w:rPr/>
              <w:t>Guarantees.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562"/>
        <w:gridCol w:w="9871"/>
      </w:tblGrid>
      <w:tr>
        <w:trPr/>
        <w:tc>
          <w:tcPr>
            <w:tcW w:w="1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pPr>
            <w:r>
              <w:rPr/>
              <w:t>6.</w:t>
            </w:r>
          </w:p>
        </w:tc>
        <w:tc>
          <w:tcPr>
            <w:tcW w:w="9871" w:type="dxa"/>
            <w:tcBorders/>
            <w:shd w:fill="auto" w:val="clear"/>
            <w:vAlign w:val="center"/>
          </w:tcPr>
          <w:p>
            <w:pPr>
              <w:pStyle w:val="TableContents"/>
              <w:spacing w:before="0" w:after="283"/>
              <w:rPr/>
            </w:pPr>
            <w:r>
              <w:rPr/>
              <w:t>Denominations; Transfer; Exchange.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6"/>
        <w:gridCol w:w="771"/>
        <w:gridCol w:w="9622"/>
      </w:tblGrid>
      <w:tr>
        <w:trPr/>
        <w:tc>
          <w:tcPr>
            <w:tcW w:w="14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pPr>
            <w:r>
              <w:rPr/>
              <w:t>7.</w:t>
            </w:r>
          </w:p>
        </w:tc>
        <w:tc>
          <w:tcPr>
            <w:tcW w:w="9622" w:type="dxa"/>
            <w:tcBorders/>
            <w:shd w:fill="auto" w:val="clear"/>
            <w:vAlign w:val="center"/>
          </w:tcPr>
          <w:p>
            <w:pPr>
              <w:pStyle w:val="TableContents"/>
              <w:spacing w:before="0" w:after="283"/>
              <w:rPr/>
            </w:pPr>
            <w:r>
              <w:rPr/>
              <w:t>Persons Deemed Owners.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8"/>
        <w:gridCol w:w="1048"/>
        <w:gridCol w:w="9293"/>
      </w:tblGrid>
      <w:tr>
        <w:trPr/>
        <w:tc>
          <w:tcPr>
            <w:tcW w:w="19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pPr>
            <w:r>
              <w:rPr/>
              <w:t>8.</w:t>
            </w:r>
          </w:p>
        </w:tc>
        <w:tc>
          <w:tcPr>
            <w:tcW w:w="9293" w:type="dxa"/>
            <w:tcBorders/>
            <w:shd w:fill="auto" w:val="clear"/>
            <w:vAlign w:val="center"/>
          </w:tcPr>
          <w:p>
            <w:pPr>
              <w:pStyle w:val="TableContents"/>
              <w:spacing w:before="0" w:after="283"/>
              <w:rPr/>
            </w:pPr>
            <w:r>
              <w:rPr/>
              <w:t>Unclaimed Funds.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
        <w:gridCol w:w="462"/>
        <w:gridCol w:w="9990"/>
      </w:tblGrid>
      <w:tr>
        <w:trPr/>
        <w:tc>
          <w:tcPr>
            <w:tcW w:w="8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pPr>
            <w:r>
              <w:rPr/>
              <w:t>9.</w:t>
            </w:r>
          </w:p>
        </w:tc>
        <w:tc>
          <w:tcPr>
            <w:tcW w:w="9990" w:type="dxa"/>
            <w:tcBorders/>
            <w:shd w:fill="auto" w:val="clear"/>
            <w:vAlign w:val="center"/>
          </w:tcPr>
          <w:p>
            <w:pPr>
              <w:pStyle w:val="TableContents"/>
              <w:spacing w:before="0" w:after="283"/>
              <w:rPr/>
            </w:pPr>
            <w:r>
              <w:rPr/>
              <w:t>Legal Defeasance and Covenant Defeasance.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10.</w:t>
            </w:r>
          </w:p>
        </w:tc>
        <w:tc>
          <w:tcPr>
            <w:tcW w:w="9514" w:type="dxa"/>
            <w:tcBorders/>
            <w:shd w:fill="auto" w:val="clear"/>
            <w:vAlign w:val="center"/>
          </w:tcPr>
          <w:p>
            <w:pPr>
              <w:pStyle w:val="TableContents"/>
              <w:spacing w:before="0" w:after="283"/>
              <w:rPr/>
            </w:pPr>
            <w:r>
              <w:rPr/>
              <w:t>Amendment; Supplement; Waiver.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8"/>
        <w:gridCol w:w="1337"/>
        <w:gridCol w:w="9044"/>
      </w:tblGrid>
      <w:tr>
        <w:trPr/>
        <w:tc>
          <w:tcPr>
            <w:tcW w:w="158"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pPr>
            <w:r>
              <w:rPr/>
              <w:t>11.</w:t>
            </w:r>
          </w:p>
        </w:tc>
        <w:tc>
          <w:tcPr>
            <w:tcW w:w="9044" w:type="dxa"/>
            <w:tcBorders/>
            <w:shd w:fill="auto" w:val="clear"/>
            <w:vAlign w:val="center"/>
          </w:tcPr>
          <w:p>
            <w:pPr>
              <w:pStyle w:val="TableContents"/>
              <w:spacing w:before="0" w:after="283"/>
              <w:rPr/>
            </w:pPr>
            <w:r>
              <w:rPr/>
              <w:t>Restrictive Covenants.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8"/>
        <w:gridCol w:w="2098"/>
        <w:gridCol w:w="8193"/>
      </w:tblGrid>
      <w:tr>
        <w:trPr/>
        <w:tc>
          <w:tcPr>
            <w:tcW w:w="248"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pPr>
            <w:r>
              <w:rPr/>
              <w:t>12.</w:t>
            </w:r>
          </w:p>
        </w:tc>
        <w:tc>
          <w:tcPr>
            <w:tcW w:w="8193" w:type="dxa"/>
            <w:tcBorders/>
            <w:shd w:fill="auto" w:val="clear"/>
            <w:vAlign w:val="center"/>
          </w:tcPr>
          <w:p>
            <w:pPr>
              <w:pStyle w:val="TableContents"/>
              <w:spacing w:before="0" w:after="283"/>
              <w:rPr/>
            </w:pPr>
            <w:r>
              <w:rPr/>
              <w:t>Redemption.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15, 2028 (one (1) month prior to the maturity date of the Securities)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Issuer may redeem the Securities at its option, in whole or in part, at any time and from time to time, at a redemption price (expressed as a percentage of the principal amount and rounded to three decimal places) equal to the greater 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Issuer in accordance with the following two paragraphs.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actions and determinations in determining the redemption price shall be conclusive and binding for all purposes, absent manifest error.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Issuer defaults in payment of the redemption price, on and after the redemption date, interest will cease to accrue on the Securities or portions thereof called for redemption.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1276"/>
        <w:gridCol w:w="9112"/>
      </w:tblGrid>
      <w:tr>
        <w:trPr/>
        <w:tc>
          <w:tcPr>
            <w:tcW w:w="15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13.</w:t>
            </w:r>
          </w:p>
        </w:tc>
        <w:tc>
          <w:tcPr>
            <w:tcW w:w="9112" w:type="dxa"/>
            <w:tcBorders/>
            <w:shd w:fill="auto" w:val="clear"/>
            <w:vAlign w:val="center"/>
          </w:tcPr>
          <w:p>
            <w:pPr>
              <w:pStyle w:val="TableContents"/>
              <w:spacing w:before="0" w:after="283"/>
              <w:rPr/>
            </w:pPr>
            <w:r>
              <w:rPr/>
              <w:t>Defaults and Remedies.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6"/>
        <w:gridCol w:w="1070"/>
        <w:gridCol w:w="9343"/>
      </w:tblGrid>
      <w:tr>
        <w:trPr/>
        <w:tc>
          <w:tcPr>
            <w:tcW w:w="1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pPr>
            <w:r>
              <w:rPr/>
              <w:t>14.</w:t>
            </w:r>
          </w:p>
        </w:tc>
        <w:tc>
          <w:tcPr>
            <w:tcW w:w="9343" w:type="dxa"/>
            <w:tcBorders/>
            <w:shd w:fill="auto" w:val="clear"/>
            <w:vAlign w:val="center"/>
          </w:tcPr>
          <w:p>
            <w:pPr>
              <w:pStyle w:val="TableContents"/>
              <w:spacing w:before="0" w:after="283"/>
              <w:rPr/>
            </w:pPr>
            <w:r>
              <w:rPr/>
              <w:t>Trustee Dealings with Issuer.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1060"/>
        <w:gridCol w:w="9354"/>
      </w:tblGrid>
      <w:tr>
        <w:trPr/>
        <w:tc>
          <w:tcPr>
            <w:tcW w:w="1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pPr>
            <w:r>
              <w:rPr/>
              <w:t>15.</w:t>
            </w:r>
          </w:p>
        </w:tc>
        <w:tc>
          <w:tcPr>
            <w:tcW w:w="9354" w:type="dxa"/>
            <w:tcBorders/>
            <w:shd w:fill="auto" w:val="clear"/>
            <w:vAlign w:val="center"/>
          </w:tcPr>
          <w:p>
            <w:pPr>
              <w:pStyle w:val="TableContents"/>
              <w:spacing w:before="0" w:after="283"/>
              <w:rPr/>
            </w:pPr>
            <w:r>
              <w:rPr/>
              <w:t>No Recourse Against Others.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any Guarantor or any successor Person thereof shall have any liability for any obligation under the Securities, the Guarantees or the Indenture or for any claim based on, in respect</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or by reason of, such obligations or their creation. Each Holder of a Security by accepting a Security waives and releases all such liability. The waiver and release are part of the consideration for the issuance of the Securities.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5"/>
        <w:gridCol w:w="8498"/>
      </w:tblGrid>
      <w:tr>
        <w:trPr/>
        <w:tc>
          <w:tcPr>
            <w:tcW w:w="216"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pPr>
            <w:r>
              <w:rPr/>
              <w:t>16.</w:t>
            </w:r>
          </w:p>
        </w:tc>
        <w:tc>
          <w:tcPr>
            <w:tcW w:w="8498" w:type="dxa"/>
            <w:tcBorders/>
            <w:shd w:fill="auto" w:val="clear"/>
            <w:vAlign w:val="center"/>
          </w:tcPr>
          <w:p>
            <w:pPr>
              <w:pStyle w:val="TableContents"/>
              <w:spacing w:before="0" w:after="283"/>
              <w:rPr/>
            </w:pPr>
            <w:r>
              <w:rPr/>
              <w:t>Authentication.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17.</w:t>
            </w:r>
          </w:p>
        </w:tc>
        <w:tc>
          <w:tcPr>
            <w:tcW w:w="9514" w:type="dxa"/>
            <w:tcBorders/>
            <w:shd w:fill="auto" w:val="clear"/>
            <w:vAlign w:val="center"/>
          </w:tcPr>
          <w:p>
            <w:pPr>
              <w:pStyle w:val="TableContents"/>
              <w:spacing w:before="0" w:after="283"/>
              <w:rPr/>
            </w:pPr>
            <w:r>
              <w:rPr/>
              <w:t>Abbreviations and Defined Terms.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3"/>
        <w:gridCol w:w="1626"/>
        <w:gridCol w:w="8720"/>
      </w:tblGrid>
      <w:tr>
        <w:trPr/>
        <w:tc>
          <w:tcPr>
            <w:tcW w:w="193"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pPr>
            <w:r>
              <w:rPr/>
              <w:t>18.</w:t>
            </w:r>
          </w:p>
        </w:tc>
        <w:tc>
          <w:tcPr>
            <w:tcW w:w="8720" w:type="dxa"/>
            <w:tcBorders/>
            <w:shd w:fill="auto" w:val="clear"/>
            <w:vAlign w:val="center"/>
          </w:tcPr>
          <w:p>
            <w:pPr>
              <w:pStyle w:val="TableContents"/>
              <w:spacing w:before="0" w:after="283"/>
              <w:rPr/>
            </w:pPr>
            <w:r>
              <w:rPr/>
              <w:t>CUSIP Numbers.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1714"/>
        <w:gridCol w:w="8622"/>
      </w:tblGrid>
      <w:tr>
        <w:trPr/>
        <w:tc>
          <w:tcPr>
            <w:tcW w:w="20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pPr>
            <w:r>
              <w:rPr/>
              <w:t>19.</w:t>
            </w:r>
          </w:p>
        </w:tc>
        <w:tc>
          <w:tcPr>
            <w:tcW w:w="8622" w:type="dxa"/>
            <w:tcBorders/>
            <w:shd w:fill="auto" w:val="clear"/>
            <w:vAlign w:val="center"/>
          </w:tcPr>
          <w:p>
            <w:pPr>
              <w:pStyle w:val="TableContents"/>
              <w:spacing w:before="0" w:after="283"/>
              <w:rPr/>
            </w:pPr>
            <w:r>
              <w:rPr/>
              <w:t>Governing Law.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appoint_________________________________________ agent to transfer this Security on the books of the Issuer. The agent may substitute another to act for him.</w:t>
      </w:r>
    </w:p>
    <w:p>
      <w:pPr>
        <w:pStyle w:val="TextBody"/>
        <w:spacing w:before="0" w:after="0"/>
        <w:ind w:left="0" w:right="0" w:hanging="0"/>
        <w:rPr>
          <w:caps w:val="false"/>
          <w:smallCaps w:val="false"/>
        </w:rPr>
      </w:pPr>
      <w:r>
        <w:rPr>
          <w:caps w:val="false"/>
          <w:smallCaps w:val="false"/>
        </w:rPr>
        <w:t> </w:t>
      </w:r>
    </w:p>
    <w:tbl>
      <w:tblPr>
        <w:tblW w:w="7700" w:type="dxa"/>
        <w:jc w:val="left"/>
        <w:tblInd w:w="0" w:type="dxa"/>
        <w:tblCellMar>
          <w:top w:w="0" w:type="dxa"/>
          <w:left w:w="0" w:type="dxa"/>
          <w:bottom w:w="0" w:type="dxa"/>
          <w:right w:w="0" w:type="dxa"/>
        </w:tblCellMar>
      </w:tblPr>
      <w:tblGrid>
        <w:gridCol w:w="665"/>
        <w:gridCol w:w="2780"/>
        <w:gridCol w:w="740"/>
        <w:gridCol w:w="3515"/>
      </w:tblGrid>
      <w:tr>
        <w:trPr/>
        <w:tc>
          <w:tcPr>
            <w:tcW w:w="665" w:type="dxa"/>
            <w:tcBorders/>
            <w:shd w:fill="auto" w:val="clear"/>
            <w:vAlign w:val="center"/>
          </w:tcPr>
          <w:p>
            <w:pPr>
              <w:pStyle w:val="TableContents"/>
              <w:spacing w:before="0" w:after="283"/>
              <w:rPr/>
            </w:pPr>
            <w:r>
              <w:rPr/>
              <w:t>Dated:</w:t>
            </w:r>
          </w:p>
        </w:tc>
        <w:tc>
          <w:tcPr>
            <w:tcW w:w="2780" w:type="dxa"/>
            <w:tcBorders/>
            <w:shd w:fill="auto" w:val="clear"/>
            <w:vAlign w:val="center"/>
          </w:tcPr>
          <w:p>
            <w:pPr>
              <w:pStyle w:val="TableContents"/>
              <w:spacing w:before="0" w:after="283"/>
              <w:rPr/>
            </w:pPr>
            <w:r>
              <w:rPr/>
              <w:t>_______________________</w:t>
            </w:r>
          </w:p>
        </w:tc>
        <w:tc>
          <w:tcPr>
            <w:tcW w:w="740" w:type="dxa"/>
            <w:tcBorders/>
            <w:shd w:fill="auto" w:val="clear"/>
            <w:vAlign w:val="center"/>
          </w:tcPr>
          <w:p>
            <w:pPr>
              <w:pStyle w:val="TableContents"/>
              <w:spacing w:before="0" w:after="283"/>
              <w:rPr/>
            </w:pPr>
            <w:r>
              <w:rPr/>
              <w:t>Signed:</w:t>
            </w:r>
          </w:p>
        </w:tc>
        <w:tc>
          <w:tcPr>
            <w:tcW w:w="3515" w:type="dxa"/>
            <w:tcBorders/>
            <w:shd w:fill="auto" w:val="clear"/>
            <w:vAlign w:val="center"/>
          </w:tcPr>
          <w:p>
            <w:pPr>
              <w:pStyle w:val="TableContents"/>
              <w:spacing w:before="0" w:after="283"/>
              <w:rPr/>
            </w:pPr>
            <w:r>
              <w:rPr/>
              <w:t>_____________________________</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(Signed exactly as name appears</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on the other side of this Security)</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030"/>
        <w:gridCol w:w="4955"/>
      </w:tblGrid>
      <w:tr>
        <w:trPr/>
        <w:tc>
          <w:tcPr>
            <w:tcW w:w="2030" w:type="dxa"/>
            <w:tcBorders/>
            <w:shd w:fill="auto" w:val="clear"/>
            <w:vAlign w:val="center"/>
          </w:tcPr>
          <w:p>
            <w:pPr>
              <w:pStyle w:val="TableContents"/>
              <w:spacing w:before="0" w:after="283"/>
              <w:rPr/>
            </w:pPr>
            <w:r>
              <w:rPr/>
              <w:t>Signature Guarantee:</w:t>
            </w:r>
          </w:p>
        </w:tc>
        <w:tc>
          <w:tcPr>
            <w:tcW w:w="4955" w:type="dxa"/>
            <w:tcBorders/>
            <w:shd w:fill="auto" w:val="clear"/>
            <w:vAlign w:val="center"/>
          </w:tcPr>
          <w:p>
            <w:pPr>
              <w:pStyle w:val="TableContents"/>
              <w:spacing w:before="0" w:after="283"/>
              <w:rPr/>
            </w:pPr>
            <w:r>
              <w:rPr/>
              <w:t>_________________________________________</w:t>
            </w:r>
          </w:p>
        </w:tc>
      </w:tr>
      <w:tr>
        <w:trPr/>
        <w:tc>
          <w:tcPr>
            <w:tcW w:w="203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rPr/>
            </w:pPr>
            <w:r>
              <w:rPr/>
              <w:t>Participant in a recognized Signature Guarantee</w:t>
            </w:r>
          </w:p>
          <w:p>
            <w:pPr>
              <w:pStyle w:val="TableContents"/>
              <w:rPr/>
            </w:pPr>
            <w:r>
              <w:rPr/>
              <w:t>Medallion Program (or other signature guarantor</w:t>
            </w:r>
          </w:p>
          <w:p>
            <w:pPr>
              <w:pStyle w:val="TableContents"/>
              <w:spacing w:before="0" w:after="283"/>
              <w:rPr/>
            </w:pPr>
            <w:r>
              <w:rPr/>
              <w:t>program reasonably acceptable to the Trustee)</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4.800% Note due 2033</w:t>
      </w:r>
    </w:p>
    <w:p>
      <w:pPr>
        <w:pStyle w:val="TextBody"/>
        <w:spacing w:before="0" w:after="0"/>
        <w:ind w:left="0" w:right="0" w:hanging="0"/>
        <w:jc w:val="center"/>
        <w:rPr>
          <w:caps w:val="false"/>
          <w:smallCaps w:val="false"/>
        </w:rPr>
      </w:pPr>
      <w:r>
        <w:rPr>
          <w:caps w:val="false"/>
          <w:smallCaps w:val="false"/>
        </w:rPr>
        <w:t> </w:t>
      </w:r>
    </w:p>
    <w:tbl>
      <w:tblPr>
        <w:tblW w:w="2755" w:type="dxa"/>
        <w:jc w:val="left"/>
        <w:tblInd w:w="0" w:type="dxa"/>
        <w:tblCellMar>
          <w:top w:w="0" w:type="dxa"/>
          <w:left w:w="0" w:type="dxa"/>
          <w:bottom w:w="0" w:type="dxa"/>
          <w:right w:w="0" w:type="dxa"/>
        </w:tblCellMar>
      </w:tblPr>
      <w:tblGrid>
        <w:gridCol w:w="530"/>
        <w:gridCol w:w="2225"/>
      </w:tblGrid>
      <w:tr>
        <w:trPr/>
        <w:tc>
          <w:tcPr>
            <w:tcW w:w="530" w:type="dxa"/>
            <w:tcBorders/>
            <w:shd w:fill="auto" w:val="clear"/>
            <w:vAlign w:val="center"/>
          </w:tcPr>
          <w:p>
            <w:pPr>
              <w:pStyle w:val="TableContents"/>
              <w:spacing w:before="0" w:after="283"/>
              <w:rPr>
                <w:sz w:val="20"/>
              </w:rPr>
            </w:pPr>
            <w:r>
              <w:rPr>
                <w:sz w:val="20"/>
              </w:rPr>
              <w:t>No. [ ]</w:t>
            </w:r>
          </w:p>
        </w:tc>
        <w:tc>
          <w:tcPr>
            <w:tcW w:w="2225" w:type="dxa"/>
            <w:tcBorders/>
            <w:shd w:fill="auto" w:val="clear"/>
            <w:vAlign w:val="center"/>
          </w:tcPr>
          <w:p>
            <w:pPr>
              <w:pStyle w:val="TableContents"/>
              <w:spacing w:before="0" w:after="283"/>
              <w:jc w:val="right"/>
              <w:rPr>
                <w:sz w:val="20"/>
              </w:rPr>
            </w:pPr>
            <w:r>
              <w:rPr>
                <w:sz w:val="20"/>
              </w:rPr>
              <w:t>CUSIP No.: 20030N EE7</w:t>
            </w:r>
          </w:p>
        </w:tc>
      </w:tr>
      <w:tr>
        <w:trPr/>
        <w:tc>
          <w:tcPr>
            <w:tcW w:w="53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right"/>
              <w:rPr>
                <w:sz w:val="20"/>
              </w:rPr>
            </w:pPr>
            <w:r>
              <w:rPr>
                <w:sz w:val="20"/>
              </w:rPr>
              <w:t xml:space="preserve">ISIN No.: US20030NEE76 </w:t>
            </w:r>
          </w:p>
        </w:tc>
      </w:tr>
      <w:tr>
        <w:trPr/>
        <w:tc>
          <w:tcPr>
            <w:tcW w:w="53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right"/>
              <w:rPr/>
            </w:pPr>
            <w:r>
              <w:rPr/>
              <w:t> </w:t>
            </w:r>
          </w:p>
        </w:tc>
      </w:tr>
      <w:tr>
        <w:trPr/>
        <w:tc>
          <w:tcPr>
            <w:tcW w:w="53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283"/>
              <w:jc w:val="right"/>
              <w:rPr>
                <w:sz w:val="20"/>
              </w:rPr>
            </w:pPr>
            <w:r>
              <w:rPr>
                <w:sz w:val="20"/>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registered assigns, the principal sum of $[ ] ([ ]) on May 15, 2033.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May 15 and November 15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November 15, 2023.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Record Dates: May 1 and November 1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545"/>
        <w:gridCol w:w="3035"/>
      </w:tblGrid>
      <w:tr>
        <w:trPr/>
        <w:tc>
          <w:tcPr>
            <w:tcW w:w="75" w:type="dxa"/>
            <w:tcBorders/>
            <w:shd w:fill="auto" w:val="clear"/>
            <w:vAlign w:val="center"/>
          </w:tcPr>
          <w:p>
            <w:pPr>
              <w:pStyle w:val="TableContents"/>
              <w:spacing w:before="0" w:after="283"/>
              <w:rPr/>
            </w:pPr>
            <w:r>
              <w:rPr/>
              <w:t> </w:t>
            </w:r>
          </w:p>
        </w:tc>
        <w:tc>
          <w:tcPr>
            <w:tcW w:w="3580" w:type="dxa"/>
            <w:gridSpan w:val="2"/>
            <w:tcBorders/>
            <w:shd w:fill="auto" w:val="clear"/>
            <w:vAlign w:val="center"/>
          </w:tcPr>
          <w:p>
            <w:pPr>
              <w:pStyle w:val="TableContents"/>
              <w:spacing w:before="0" w:after="283"/>
              <w:rPr>
                <w:b/>
                <w:sz w:val="20"/>
              </w:rPr>
            </w:pPr>
            <w:r>
              <w:rPr>
                <w:b/>
                <w:sz w:val="20"/>
              </w:rPr>
              <w:t>COMCAST CORPORATION</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30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35" w:type="dxa"/>
            <w:tcBorders/>
            <w:shd w:fill="auto" w:val="clear"/>
            <w:vAlign w:val="center"/>
          </w:tcPr>
          <w:p>
            <w:pPr>
              <w:pStyle w:val="TableContents"/>
              <w:spacing w:before="0" w:after="283"/>
              <w:rPr>
                <w:sz w:val="20"/>
              </w:rPr>
            </w:pPr>
            <w:r>
              <w:rPr>
                <w:sz w:val="20"/>
              </w:rPr>
              <w:t>Jason S. Armstrong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35" w:type="dxa"/>
            <w:tcBorders/>
            <w:shd w:fill="auto" w:val="clear"/>
            <w:vAlign w:val="center"/>
          </w:tcPr>
          <w:p>
            <w:pPr>
              <w:pStyle w:val="TableContents"/>
              <w:spacing w:before="0" w:after="283"/>
              <w:rPr>
                <w:sz w:val="20"/>
              </w:rPr>
            </w:pPr>
            <w:r>
              <w:rPr>
                <w:sz w:val="20"/>
              </w:rPr>
              <w:t>Chief Financial Officer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Comcast Corporation]</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0" w:type="dxa"/>
          <w:right w:w="0" w:type="dxa"/>
        </w:tblCellMar>
      </w:tblPr>
      <w:tblGrid>
        <w:gridCol w:w="335"/>
        <w:gridCol w:w="545"/>
        <w:gridCol w:w="6335"/>
        <w:gridCol w:w="75"/>
      </w:tblGrid>
      <w:tr>
        <w:trPr/>
        <w:tc>
          <w:tcPr>
            <w:tcW w:w="7215" w:type="dxa"/>
            <w:gridSpan w:val="3"/>
            <w:tcBorders/>
            <w:shd w:fill="auto" w:val="clear"/>
            <w:vAlign w:val="center"/>
          </w:tcPr>
          <w:p>
            <w:pPr>
              <w:pStyle w:val="TableContents"/>
              <w:spacing w:before="0" w:after="283"/>
              <w:rPr>
                <w:sz w:val="20"/>
              </w:rPr>
            </w:pPr>
            <w:r>
              <w:rPr>
                <w:sz w:val="20"/>
              </w:rPr>
              <w:t>Attest:</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sz w:val="20"/>
              </w:rPr>
            </w:pPr>
            <w:r>
              <w:rPr>
                <w:sz w:val="20"/>
              </w:rPr>
              <w:t>By:</w:t>
            </w:r>
          </w:p>
        </w:tc>
        <w:tc>
          <w:tcPr>
            <w:tcW w:w="6880" w:type="dxa"/>
            <w:gridSpan w:val="2"/>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6335" w:type="dxa"/>
            <w:tcBorders/>
            <w:shd w:fill="auto" w:val="clear"/>
            <w:vAlign w:val="center"/>
          </w:tcPr>
          <w:p>
            <w:pPr>
              <w:pStyle w:val="TableContents"/>
              <w:spacing w:before="0" w:after="283"/>
              <w:rPr>
                <w:sz w:val="20"/>
              </w:rPr>
            </w:pPr>
            <w:r>
              <w:rPr>
                <w:sz w:val="20"/>
              </w:rPr>
              <w:t>Elizabeth Wideman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6335" w:type="dxa"/>
            <w:tcBorders/>
            <w:shd w:fill="auto" w:val="clear"/>
            <w:vAlign w:val="center"/>
          </w:tcPr>
          <w:p>
            <w:pPr>
              <w:pStyle w:val="TableContents"/>
              <w:spacing w:before="0" w:after="283"/>
              <w:rPr>
                <w:sz w:val="20"/>
              </w:rPr>
            </w:pPr>
            <w:r>
              <w:rPr>
                <w:sz w:val="20"/>
              </w:rPr>
              <w:t>Senior Vice President, Senior Deputy General Counsel and Assistant Secretary</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[Signature Page to Global Note]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9, 2023</w:t>
      </w:r>
    </w:p>
    <w:p>
      <w:pPr>
        <w:pStyle w:val="TextBody"/>
        <w:spacing w:before="0" w:after="0"/>
        <w:ind w:left="0" w:right="0" w:hanging="0"/>
        <w:rPr>
          <w:caps w:val="false"/>
          <w:smallCaps w:val="false"/>
        </w:rPr>
      </w:pPr>
      <w:r>
        <w:rPr>
          <w:caps w:val="false"/>
          <w:smallCaps w:val="false"/>
        </w:rPr>
        <w:t> </w:t>
      </w:r>
    </w:p>
    <w:tbl>
      <w:tblPr>
        <w:tblW w:w="3544" w:type="dxa"/>
        <w:jc w:val="left"/>
        <w:tblInd w:w="0" w:type="dxa"/>
        <w:tblCellMar>
          <w:top w:w="0" w:type="dxa"/>
          <w:left w:w="0" w:type="dxa"/>
          <w:bottom w:w="0" w:type="dxa"/>
          <w:right w:w="0" w:type="dxa"/>
        </w:tblCellMar>
      </w:tblPr>
      <w:tblGrid>
        <w:gridCol w:w="255"/>
        <w:gridCol w:w="488"/>
        <w:gridCol w:w="2801"/>
      </w:tblGrid>
      <w:tr>
        <w:trPr/>
        <w:tc>
          <w:tcPr>
            <w:tcW w:w="25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sz w:val="20"/>
              </w:rPr>
            </w:pPr>
            <w:r>
              <w:rPr>
                <w:sz w:val="20"/>
              </w:rPr>
              <w:t xml:space="preserve">THE BANK OF NEW YORK MELLON, </w:t>
            </w:r>
          </w:p>
        </w:tc>
      </w:tr>
      <w:tr>
        <w:trPr/>
        <w:tc>
          <w:tcPr>
            <w:tcW w:w="255" w:type="dxa"/>
            <w:tcBorders/>
            <w:shd w:fill="auto" w:val="clear"/>
            <w:vAlign w:val="center"/>
          </w:tcPr>
          <w:p>
            <w:pPr>
              <w:pStyle w:val="TableContents"/>
              <w:spacing w:before="0" w:after="283"/>
              <w:ind w:left="0" w:right="0" w:firstLine="180"/>
              <w:rPr/>
            </w:pPr>
            <w:r>
              <w:rPr/>
              <w:t> </w:t>
            </w:r>
          </w:p>
        </w:tc>
        <w:tc>
          <w:tcPr>
            <w:tcW w:w="3289" w:type="dxa"/>
            <w:gridSpan w:val="2"/>
            <w:tcBorders/>
            <w:shd w:fill="auto" w:val="clear"/>
            <w:vAlign w:val="center"/>
          </w:tcPr>
          <w:p>
            <w:pPr>
              <w:pStyle w:val="TableContents"/>
              <w:spacing w:before="0" w:after="283"/>
              <w:rPr>
                <w:sz w:val="20"/>
              </w:rPr>
            </w:pPr>
            <w:r>
              <w:rPr>
                <w:sz w:val="20"/>
              </w:rPr>
              <w:t>as Trustee</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sz w:val="20"/>
              </w:rPr>
            </w:pPr>
            <w:r>
              <w:rPr>
                <w:sz w:val="20"/>
              </w:rPr>
              <w:t>By:</w:t>
            </w:r>
          </w:p>
        </w:tc>
        <w:tc>
          <w:tcPr>
            <w:tcW w:w="2801"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sz w:val="20"/>
              </w:rPr>
            </w:pPr>
            <w:r>
              <w:rPr>
                <w:sz w:val="20"/>
              </w:rPr>
              <w:t xml:space="preserve">Authorized Signatory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[Signature Page to Global Note]</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 Note due 2033</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1"/>
        <w:gridCol w:w="2060"/>
        <w:gridCol w:w="8088"/>
      </w:tblGrid>
      <w:tr>
        <w:trPr/>
        <w:tc>
          <w:tcPr>
            <w:tcW w:w="391"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pPr>
            <w:r>
              <w:rPr/>
              <w:t>1.</w:t>
            </w:r>
          </w:p>
        </w:tc>
        <w:tc>
          <w:tcPr>
            <w:tcW w:w="8088" w:type="dxa"/>
            <w:tcBorders/>
            <w:shd w:fill="auto" w:val="clear"/>
            <w:vAlign w:val="center"/>
          </w:tcPr>
          <w:p>
            <w:pPr>
              <w:pStyle w:val="TableContents"/>
              <w:spacing w:before="0" w:after="283"/>
              <w:rPr/>
            </w:pPr>
            <w:r>
              <w:rPr/>
              <w:t>Interest.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May 9, 2023. The Issuer will pay interest semi-annually in arrears on each Interest Payment Date, commencing November 15, 2023. Interest will be computed on the basis of a 360-day year of twelve 30-day months.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1"/>
        <w:gridCol w:w="954"/>
        <w:gridCol w:w="9404"/>
      </w:tblGrid>
      <w:tr>
        <w:trPr/>
        <w:tc>
          <w:tcPr>
            <w:tcW w:w="18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pPr>
            <w:r>
              <w:rPr/>
              <w:t>2.</w:t>
            </w:r>
          </w:p>
        </w:tc>
        <w:tc>
          <w:tcPr>
            <w:tcW w:w="9404" w:type="dxa"/>
            <w:tcBorders/>
            <w:shd w:fill="auto" w:val="clear"/>
            <w:vAlign w:val="center"/>
          </w:tcPr>
          <w:p>
            <w:pPr>
              <w:pStyle w:val="TableContents"/>
              <w:spacing w:before="0" w:after="283"/>
              <w:rPr/>
            </w:pPr>
            <w:r>
              <w:rPr/>
              <w:t>Method of Payment.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4"/>
        <w:gridCol w:w="1287"/>
        <w:gridCol w:w="9008"/>
      </w:tblGrid>
      <w:tr>
        <w:trPr/>
        <w:tc>
          <w:tcPr>
            <w:tcW w:w="24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pPr>
            <w:r>
              <w:rPr/>
              <w:t>3.</w:t>
            </w:r>
          </w:p>
        </w:tc>
        <w:tc>
          <w:tcPr>
            <w:tcW w:w="9008" w:type="dxa"/>
            <w:tcBorders/>
            <w:shd w:fill="auto" w:val="clear"/>
            <w:vAlign w:val="center"/>
          </w:tcPr>
          <w:p>
            <w:pPr>
              <w:pStyle w:val="TableContents"/>
              <w:spacing w:before="0" w:after="283"/>
              <w:rPr/>
            </w:pPr>
            <w:r>
              <w:rPr/>
              <w:t>Paying Agent.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The Issuer may change any Paying Agent without notice to the Holders.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
        <w:gridCol w:w="1710"/>
        <w:gridCol w:w="8505"/>
      </w:tblGrid>
      <w:tr>
        <w:trPr/>
        <w:tc>
          <w:tcPr>
            <w:tcW w:w="32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pPr>
            <w:r>
              <w:rPr/>
              <w:t>4.</w:t>
            </w:r>
          </w:p>
        </w:tc>
        <w:tc>
          <w:tcPr>
            <w:tcW w:w="8505" w:type="dxa"/>
            <w:tcBorders/>
            <w:shd w:fill="auto" w:val="clear"/>
            <w:vAlign w:val="center"/>
          </w:tcPr>
          <w:p>
            <w:pPr>
              <w:pStyle w:val="TableContents"/>
              <w:spacing w:before="0" w:after="283"/>
              <w:rPr/>
            </w:pPr>
            <w:r>
              <w:rPr/>
              <w:t>Indenture.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Trustee, and as further amended by the Second Supplemental Indenture dated as of July 29, 2022, by and among the Issuer, the Guarantors and the Trustee (as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and the notes are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under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6"/>
        <w:gridCol w:w="1508"/>
        <w:gridCol w:w="8745"/>
      </w:tblGrid>
      <w:tr>
        <w:trPr/>
        <w:tc>
          <w:tcPr>
            <w:tcW w:w="286"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pPr>
            <w:r>
              <w:rPr/>
              <w:t>5.</w:t>
            </w:r>
          </w:p>
        </w:tc>
        <w:tc>
          <w:tcPr>
            <w:tcW w:w="8745" w:type="dxa"/>
            <w:tcBorders/>
            <w:shd w:fill="auto" w:val="clear"/>
            <w:vAlign w:val="center"/>
          </w:tcPr>
          <w:p>
            <w:pPr>
              <w:pStyle w:val="TableContents"/>
              <w:spacing w:before="0" w:after="283"/>
              <w:rPr/>
            </w:pPr>
            <w:r>
              <w:rPr/>
              <w:t>Guarantees.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562"/>
        <w:gridCol w:w="9871"/>
      </w:tblGrid>
      <w:tr>
        <w:trPr/>
        <w:tc>
          <w:tcPr>
            <w:tcW w:w="1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pPr>
            <w:r>
              <w:rPr/>
              <w:t>6.</w:t>
            </w:r>
          </w:p>
        </w:tc>
        <w:tc>
          <w:tcPr>
            <w:tcW w:w="9871" w:type="dxa"/>
            <w:tcBorders/>
            <w:shd w:fill="auto" w:val="clear"/>
            <w:vAlign w:val="center"/>
          </w:tcPr>
          <w:p>
            <w:pPr>
              <w:pStyle w:val="TableContents"/>
              <w:spacing w:before="0" w:after="283"/>
              <w:rPr/>
            </w:pPr>
            <w:r>
              <w:rPr/>
              <w:t>Denominations; Transfer; Exchange.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6"/>
        <w:gridCol w:w="771"/>
        <w:gridCol w:w="9622"/>
      </w:tblGrid>
      <w:tr>
        <w:trPr/>
        <w:tc>
          <w:tcPr>
            <w:tcW w:w="14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pPr>
            <w:r>
              <w:rPr/>
              <w:t>7.</w:t>
            </w:r>
          </w:p>
        </w:tc>
        <w:tc>
          <w:tcPr>
            <w:tcW w:w="9622" w:type="dxa"/>
            <w:tcBorders/>
            <w:shd w:fill="auto" w:val="clear"/>
            <w:vAlign w:val="center"/>
          </w:tcPr>
          <w:p>
            <w:pPr>
              <w:pStyle w:val="TableContents"/>
              <w:spacing w:before="0" w:after="283"/>
              <w:rPr/>
            </w:pPr>
            <w:r>
              <w:rPr/>
              <w:t>Persons Deemed Owners.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8"/>
        <w:gridCol w:w="1048"/>
        <w:gridCol w:w="9293"/>
      </w:tblGrid>
      <w:tr>
        <w:trPr/>
        <w:tc>
          <w:tcPr>
            <w:tcW w:w="19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pPr>
            <w:r>
              <w:rPr/>
              <w:t>8.</w:t>
            </w:r>
          </w:p>
        </w:tc>
        <w:tc>
          <w:tcPr>
            <w:tcW w:w="9293" w:type="dxa"/>
            <w:tcBorders/>
            <w:shd w:fill="auto" w:val="clear"/>
            <w:vAlign w:val="center"/>
          </w:tcPr>
          <w:p>
            <w:pPr>
              <w:pStyle w:val="TableContents"/>
              <w:spacing w:before="0" w:after="283"/>
              <w:rPr/>
            </w:pPr>
            <w:r>
              <w:rPr/>
              <w:t>Unclaimed Funds.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87"/>
        <w:gridCol w:w="462"/>
        <w:gridCol w:w="9990"/>
      </w:tblGrid>
      <w:tr>
        <w:trPr/>
        <w:tc>
          <w:tcPr>
            <w:tcW w:w="8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pPr>
            <w:r>
              <w:rPr/>
              <w:t>9.</w:t>
            </w:r>
          </w:p>
        </w:tc>
        <w:tc>
          <w:tcPr>
            <w:tcW w:w="9990" w:type="dxa"/>
            <w:tcBorders/>
            <w:shd w:fill="auto" w:val="clear"/>
            <w:vAlign w:val="center"/>
          </w:tcPr>
          <w:p>
            <w:pPr>
              <w:pStyle w:val="TableContents"/>
              <w:spacing w:before="0" w:after="283"/>
              <w:rPr/>
            </w:pPr>
            <w:r>
              <w:rPr/>
              <w:t>Legal Defeasance and Covenant Defeasance.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10.</w:t>
            </w:r>
          </w:p>
        </w:tc>
        <w:tc>
          <w:tcPr>
            <w:tcW w:w="9514" w:type="dxa"/>
            <w:tcBorders/>
            <w:shd w:fill="auto" w:val="clear"/>
            <w:vAlign w:val="center"/>
          </w:tcPr>
          <w:p>
            <w:pPr>
              <w:pStyle w:val="TableContents"/>
              <w:spacing w:before="0" w:after="283"/>
              <w:rPr/>
            </w:pPr>
            <w:r>
              <w:rPr/>
              <w:t>Amendment; Supplement; Waiver.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8"/>
        <w:gridCol w:w="1337"/>
        <w:gridCol w:w="9044"/>
      </w:tblGrid>
      <w:tr>
        <w:trPr/>
        <w:tc>
          <w:tcPr>
            <w:tcW w:w="158"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pPr>
            <w:r>
              <w:rPr/>
              <w:t>11.</w:t>
            </w:r>
          </w:p>
        </w:tc>
        <w:tc>
          <w:tcPr>
            <w:tcW w:w="9044" w:type="dxa"/>
            <w:tcBorders/>
            <w:shd w:fill="auto" w:val="clear"/>
            <w:vAlign w:val="center"/>
          </w:tcPr>
          <w:p>
            <w:pPr>
              <w:pStyle w:val="TableContents"/>
              <w:spacing w:before="0" w:after="283"/>
              <w:rPr/>
            </w:pPr>
            <w:r>
              <w:rPr/>
              <w:t>Restrictive Covenants.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8"/>
        <w:gridCol w:w="2098"/>
        <w:gridCol w:w="8193"/>
      </w:tblGrid>
      <w:tr>
        <w:trPr/>
        <w:tc>
          <w:tcPr>
            <w:tcW w:w="248"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pPr>
            <w:r>
              <w:rPr/>
              <w:t>12.</w:t>
            </w:r>
          </w:p>
        </w:tc>
        <w:tc>
          <w:tcPr>
            <w:tcW w:w="8193" w:type="dxa"/>
            <w:tcBorders/>
            <w:shd w:fill="auto" w:val="clear"/>
            <w:vAlign w:val="center"/>
          </w:tcPr>
          <w:p>
            <w:pPr>
              <w:pStyle w:val="TableContents"/>
              <w:spacing w:before="0" w:after="283"/>
              <w:rPr/>
            </w:pPr>
            <w:r>
              <w:rPr/>
              <w:t>Redemption.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February 15, 2033 (three (3) months prior to the maturity date of the Securities)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Issuer may redeem the Securities at its option, in whole or in part, at any time and from time to time, at a redemption price (expressed as a percentage of the principal amount and rounded to three decimal places) equal to the greater 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20 basis points, less (b) interest accrued to the date of redemption, and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Issuer in accordance with the following two paragraphs.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actions and determinations in determining the redemption price shall be conclusive and binding for all purposes, absent manifest error.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Issuer defaults in payment of the redemption price, on and after the redemption date, interest will cease to accrue on the Securities or portions thereof called for redemption.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1276"/>
        <w:gridCol w:w="9112"/>
      </w:tblGrid>
      <w:tr>
        <w:trPr/>
        <w:tc>
          <w:tcPr>
            <w:tcW w:w="15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13.</w:t>
            </w:r>
          </w:p>
        </w:tc>
        <w:tc>
          <w:tcPr>
            <w:tcW w:w="9112" w:type="dxa"/>
            <w:tcBorders/>
            <w:shd w:fill="auto" w:val="clear"/>
            <w:vAlign w:val="center"/>
          </w:tcPr>
          <w:p>
            <w:pPr>
              <w:pStyle w:val="TableContents"/>
              <w:spacing w:before="0" w:after="283"/>
              <w:rPr/>
            </w:pPr>
            <w:r>
              <w:rPr/>
              <w:t>Defaults and Remedies.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6"/>
        <w:gridCol w:w="1070"/>
        <w:gridCol w:w="9343"/>
      </w:tblGrid>
      <w:tr>
        <w:trPr/>
        <w:tc>
          <w:tcPr>
            <w:tcW w:w="1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pPr>
            <w:r>
              <w:rPr/>
              <w:t>14.</w:t>
            </w:r>
          </w:p>
        </w:tc>
        <w:tc>
          <w:tcPr>
            <w:tcW w:w="9343" w:type="dxa"/>
            <w:tcBorders/>
            <w:shd w:fill="auto" w:val="clear"/>
            <w:vAlign w:val="center"/>
          </w:tcPr>
          <w:p>
            <w:pPr>
              <w:pStyle w:val="TableContents"/>
              <w:spacing w:before="0" w:after="283"/>
              <w:rPr/>
            </w:pPr>
            <w:r>
              <w:rPr/>
              <w:t>Trustee Dealings with Issuer.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1060"/>
        <w:gridCol w:w="9354"/>
      </w:tblGrid>
      <w:tr>
        <w:trPr/>
        <w:tc>
          <w:tcPr>
            <w:tcW w:w="1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pPr>
            <w:r>
              <w:rPr/>
              <w:t>15.</w:t>
            </w:r>
          </w:p>
        </w:tc>
        <w:tc>
          <w:tcPr>
            <w:tcW w:w="9354" w:type="dxa"/>
            <w:tcBorders/>
            <w:shd w:fill="auto" w:val="clear"/>
            <w:vAlign w:val="center"/>
          </w:tcPr>
          <w:p>
            <w:pPr>
              <w:pStyle w:val="TableContents"/>
              <w:spacing w:before="0" w:after="283"/>
              <w:rPr/>
            </w:pPr>
            <w:r>
              <w:rPr/>
              <w:t>No Recourse Against Others.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any Guarantor or any successor Person thereof shall have any liability for any obligation under the Securities, the Guarantees or the Indenture or for any claim based on, in respect</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or by reason of, such obligations or their creation. Each Holder of a Security by accepting a Security waives and releases all such liability. The waiver and release are part of the consideration for the issuance of the Securities.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5"/>
        <w:gridCol w:w="8498"/>
      </w:tblGrid>
      <w:tr>
        <w:trPr/>
        <w:tc>
          <w:tcPr>
            <w:tcW w:w="216"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pPr>
            <w:r>
              <w:rPr/>
              <w:t>16.</w:t>
            </w:r>
          </w:p>
        </w:tc>
        <w:tc>
          <w:tcPr>
            <w:tcW w:w="8498" w:type="dxa"/>
            <w:tcBorders/>
            <w:shd w:fill="auto" w:val="clear"/>
            <w:vAlign w:val="center"/>
          </w:tcPr>
          <w:p>
            <w:pPr>
              <w:pStyle w:val="TableContents"/>
              <w:spacing w:before="0" w:after="283"/>
              <w:rPr/>
            </w:pPr>
            <w:r>
              <w:rPr/>
              <w:t>Authentication.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17.</w:t>
            </w:r>
          </w:p>
        </w:tc>
        <w:tc>
          <w:tcPr>
            <w:tcW w:w="9514" w:type="dxa"/>
            <w:tcBorders/>
            <w:shd w:fill="auto" w:val="clear"/>
            <w:vAlign w:val="center"/>
          </w:tcPr>
          <w:p>
            <w:pPr>
              <w:pStyle w:val="TableContents"/>
              <w:spacing w:before="0" w:after="283"/>
              <w:rPr/>
            </w:pPr>
            <w:r>
              <w:rPr/>
              <w:t>Abbreviations and Defined Terms.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3"/>
        <w:gridCol w:w="1626"/>
        <w:gridCol w:w="8720"/>
      </w:tblGrid>
      <w:tr>
        <w:trPr/>
        <w:tc>
          <w:tcPr>
            <w:tcW w:w="193"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pPr>
            <w:r>
              <w:rPr/>
              <w:t>18.</w:t>
            </w:r>
          </w:p>
        </w:tc>
        <w:tc>
          <w:tcPr>
            <w:tcW w:w="8720" w:type="dxa"/>
            <w:tcBorders/>
            <w:shd w:fill="auto" w:val="clear"/>
            <w:vAlign w:val="center"/>
          </w:tcPr>
          <w:p>
            <w:pPr>
              <w:pStyle w:val="TableContents"/>
              <w:spacing w:before="0" w:after="283"/>
              <w:rPr/>
            </w:pPr>
            <w:r>
              <w:rPr/>
              <w:t>CUSIP Numbers.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1714"/>
        <w:gridCol w:w="8622"/>
      </w:tblGrid>
      <w:tr>
        <w:trPr/>
        <w:tc>
          <w:tcPr>
            <w:tcW w:w="20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pPr>
            <w:r>
              <w:rPr/>
              <w:t>19.</w:t>
            </w:r>
          </w:p>
        </w:tc>
        <w:tc>
          <w:tcPr>
            <w:tcW w:w="8622" w:type="dxa"/>
            <w:tcBorders/>
            <w:shd w:fill="auto" w:val="clear"/>
            <w:vAlign w:val="center"/>
          </w:tcPr>
          <w:p>
            <w:pPr>
              <w:pStyle w:val="TableContents"/>
              <w:spacing w:before="0" w:after="283"/>
              <w:rPr/>
            </w:pPr>
            <w:r>
              <w:rPr/>
              <w:t>Governing Law.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appoint_________________________________________ agent to transfer this Security on the books of the Issuer. The agent may substitute another to act for him.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7700" w:type="dxa"/>
        <w:jc w:val="left"/>
        <w:tblInd w:w="0" w:type="dxa"/>
        <w:tblCellMar>
          <w:top w:w="0" w:type="dxa"/>
          <w:left w:w="0" w:type="dxa"/>
          <w:bottom w:w="0" w:type="dxa"/>
          <w:right w:w="0" w:type="dxa"/>
        </w:tblCellMar>
      </w:tblPr>
      <w:tblGrid>
        <w:gridCol w:w="665"/>
        <w:gridCol w:w="2780"/>
        <w:gridCol w:w="740"/>
        <w:gridCol w:w="3515"/>
      </w:tblGrid>
      <w:tr>
        <w:trPr/>
        <w:tc>
          <w:tcPr>
            <w:tcW w:w="665" w:type="dxa"/>
            <w:tcBorders/>
            <w:shd w:fill="auto" w:val="clear"/>
            <w:vAlign w:val="center"/>
          </w:tcPr>
          <w:p>
            <w:pPr>
              <w:pStyle w:val="TableContents"/>
              <w:spacing w:before="0" w:after="283"/>
              <w:rPr/>
            </w:pPr>
            <w:r>
              <w:rPr/>
              <w:t>Dated:</w:t>
            </w:r>
          </w:p>
        </w:tc>
        <w:tc>
          <w:tcPr>
            <w:tcW w:w="2780" w:type="dxa"/>
            <w:tcBorders/>
            <w:shd w:fill="auto" w:val="clear"/>
            <w:vAlign w:val="center"/>
          </w:tcPr>
          <w:p>
            <w:pPr>
              <w:pStyle w:val="TableContents"/>
              <w:spacing w:before="0" w:after="283"/>
              <w:rPr/>
            </w:pPr>
            <w:r>
              <w:rPr/>
              <w:t>_______________________</w:t>
            </w:r>
          </w:p>
        </w:tc>
        <w:tc>
          <w:tcPr>
            <w:tcW w:w="740" w:type="dxa"/>
            <w:tcBorders/>
            <w:shd w:fill="auto" w:val="clear"/>
            <w:vAlign w:val="center"/>
          </w:tcPr>
          <w:p>
            <w:pPr>
              <w:pStyle w:val="TableContents"/>
              <w:spacing w:before="0" w:after="283"/>
              <w:rPr/>
            </w:pPr>
            <w:r>
              <w:rPr/>
              <w:t>Signed:</w:t>
            </w:r>
          </w:p>
        </w:tc>
        <w:tc>
          <w:tcPr>
            <w:tcW w:w="3515" w:type="dxa"/>
            <w:tcBorders/>
            <w:shd w:fill="auto" w:val="clear"/>
            <w:vAlign w:val="center"/>
          </w:tcPr>
          <w:p>
            <w:pPr>
              <w:pStyle w:val="TableContents"/>
              <w:spacing w:before="0" w:after="283"/>
              <w:rPr/>
            </w:pPr>
            <w:r>
              <w:rPr/>
              <w:t>_____________________________</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(Signed exactly as name appears</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on the other side of this Security)</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030"/>
        <w:gridCol w:w="4955"/>
      </w:tblGrid>
      <w:tr>
        <w:trPr/>
        <w:tc>
          <w:tcPr>
            <w:tcW w:w="2030" w:type="dxa"/>
            <w:tcBorders/>
            <w:shd w:fill="auto" w:val="clear"/>
            <w:vAlign w:val="center"/>
          </w:tcPr>
          <w:p>
            <w:pPr>
              <w:pStyle w:val="TableContents"/>
              <w:spacing w:before="0" w:after="283"/>
              <w:rPr/>
            </w:pPr>
            <w:r>
              <w:rPr/>
              <w:t>Signature Guarantee:</w:t>
            </w:r>
          </w:p>
        </w:tc>
        <w:tc>
          <w:tcPr>
            <w:tcW w:w="4955" w:type="dxa"/>
            <w:tcBorders/>
            <w:shd w:fill="auto" w:val="clear"/>
            <w:vAlign w:val="center"/>
          </w:tcPr>
          <w:p>
            <w:pPr>
              <w:pStyle w:val="TableContents"/>
              <w:spacing w:before="0" w:after="283"/>
              <w:rPr/>
            </w:pPr>
            <w:r>
              <w:rPr/>
              <w:t>_________________________________________</w:t>
            </w:r>
          </w:p>
        </w:tc>
      </w:tr>
      <w:tr>
        <w:trPr/>
        <w:tc>
          <w:tcPr>
            <w:tcW w:w="203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rPr/>
            </w:pPr>
            <w:r>
              <w:rPr/>
              <w:t>Participant in a recognized Signature Guarantee</w:t>
            </w:r>
          </w:p>
          <w:p>
            <w:pPr>
              <w:pStyle w:val="TableContents"/>
              <w:rPr/>
            </w:pPr>
            <w:r>
              <w:rPr/>
              <w:t>Medallion Program (or other signature guarantor</w:t>
            </w:r>
          </w:p>
          <w:p>
            <w:pPr>
              <w:pStyle w:val="TableContents"/>
              <w:spacing w:before="0" w:after="283"/>
              <w:rPr/>
            </w:pPr>
            <w:r>
              <w:rPr/>
              <w:t>program reasonably acceptable to the Trustee)</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5.350% Note due 2053</w:t>
      </w:r>
    </w:p>
    <w:p>
      <w:pPr>
        <w:pStyle w:val="TextBody"/>
        <w:spacing w:before="0" w:after="0"/>
        <w:ind w:left="0" w:right="0" w:hanging="0"/>
        <w:jc w:val="center"/>
        <w:rPr>
          <w:caps w:val="false"/>
          <w:smallCaps w:val="false"/>
        </w:rPr>
      </w:pPr>
      <w:r>
        <w:rPr>
          <w:caps w:val="false"/>
          <w:smallCaps w:val="false"/>
        </w:rPr>
        <w:t> </w:t>
      </w:r>
    </w:p>
    <w:tbl>
      <w:tblPr>
        <w:tblW w:w="2695" w:type="dxa"/>
        <w:jc w:val="left"/>
        <w:tblInd w:w="0" w:type="dxa"/>
        <w:tblCellMar>
          <w:top w:w="0" w:type="dxa"/>
          <w:left w:w="0" w:type="dxa"/>
          <w:bottom w:w="0" w:type="dxa"/>
          <w:right w:w="0" w:type="dxa"/>
        </w:tblCellMar>
      </w:tblPr>
      <w:tblGrid>
        <w:gridCol w:w="530"/>
        <w:gridCol w:w="2165"/>
      </w:tblGrid>
      <w:tr>
        <w:trPr/>
        <w:tc>
          <w:tcPr>
            <w:tcW w:w="530" w:type="dxa"/>
            <w:tcBorders/>
            <w:shd w:fill="auto" w:val="clear"/>
            <w:vAlign w:val="center"/>
          </w:tcPr>
          <w:p>
            <w:pPr>
              <w:pStyle w:val="TableContents"/>
              <w:spacing w:before="0" w:after="283"/>
              <w:rPr>
                <w:sz w:val="20"/>
              </w:rPr>
            </w:pPr>
            <w:r>
              <w:rPr>
                <w:sz w:val="20"/>
              </w:rPr>
              <w:t>No. [ ]</w:t>
            </w:r>
          </w:p>
        </w:tc>
        <w:tc>
          <w:tcPr>
            <w:tcW w:w="2165" w:type="dxa"/>
            <w:tcBorders/>
            <w:shd w:fill="auto" w:val="clear"/>
            <w:vAlign w:val="center"/>
          </w:tcPr>
          <w:p>
            <w:pPr>
              <w:pStyle w:val="TableContents"/>
              <w:spacing w:before="0" w:after="283"/>
              <w:jc w:val="right"/>
              <w:rPr>
                <w:sz w:val="20"/>
              </w:rPr>
            </w:pPr>
            <w:r>
              <w:rPr>
                <w:sz w:val="20"/>
              </w:rPr>
              <w:t>CUSIP No.: 20030N EF4</w:t>
            </w:r>
          </w:p>
        </w:tc>
      </w:tr>
      <w:tr>
        <w:trPr/>
        <w:tc>
          <w:tcPr>
            <w:tcW w:w="53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jc w:val="right"/>
              <w:rPr>
                <w:sz w:val="20"/>
              </w:rPr>
            </w:pPr>
            <w:r>
              <w:rPr>
                <w:sz w:val="20"/>
              </w:rPr>
              <w:t>ISIN No.: US20030NEF42</w:t>
            </w:r>
          </w:p>
        </w:tc>
      </w:tr>
      <w:tr>
        <w:trPr/>
        <w:tc>
          <w:tcPr>
            <w:tcW w:w="53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jc w:val="right"/>
              <w:rPr/>
            </w:pPr>
            <w:r>
              <w:rPr/>
              <w:t> </w:t>
            </w:r>
          </w:p>
        </w:tc>
      </w:tr>
      <w:tr>
        <w:trPr/>
        <w:tc>
          <w:tcPr>
            <w:tcW w:w="530" w:type="dxa"/>
            <w:tcBorders/>
            <w:shd w:fill="auto" w:val="clear"/>
            <w:vAlign w:val="center"/>
          </w:tcPr>
          <w:p>
            <w:pPr>
              <w:pStyle w:val="TableContents"/>
              <w:spacing w:before="0" w:after="283"/>
              <w:rPr/>
            </w:pPr>
            <w:r>
              <w:rPr/>
              <w:t> </w:t>
            </w:r>
          </w:p>
        </w:tc>
        <w:tc>
          <w:tcPr>
            <w:tcW w:w="2165" w:type="dxa"/>
            <w:tcBorders/>
            <w:shd w:fill="auto" w:val="clear"/>
            <w:vAlign w:val="center"/>
          </w:tcPr>
          <w:p>
            <w:pPr>
              <w:pStyle w:val="TableContents"/>
              <w:spacing w:before="0" w:after="283"/>
              <w:jc w:val="right"/>
              <w:rPr>
                <w:sz w:val="20"/>
              </w:rPr>
            </w:pPr>
            <w:r>
              <w:rPr>
                <w:sz w:val="20"/>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registered assigns, the principal sum of $[ ] ([ ]) on May 15, 2053.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May 15 and November 15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November 15, 2023.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Record Dates: May 1 and November 1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spacing w:before="0" w:after="0"/>
        <w:ind w:left="0" w:right="0" w:firstLine="72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545"/>
        <w:gridCol w:w="3035"/>
      </w:tblGrid>
      <w:tr>
        <w:trPr/>
        <w:tc>
          <w:tcPr>
            <w:tcW w:w="75" w:type="dxa"/>
            <w:tcBorders/>
            <w:shd w:fill="auto" w:val="clear"/>
            <w:vAlign w:val="center"/>
          </w:tcPr>
          <w:p>
            <w:pPr>
              <w:pStyle w:val="TableContents"/>
              <w:spacing w:before="0" w:after="283"/>
              <w:rPr/>
            </w:pPr>
            <w:r>
              <w:rPr/>
              <w:t> </w:t>
            </w:r>
          </w:p>
        </w:tc>
        <w:tc>
          <w:tcPr>
            <w:tcW w:w="3580" w:type="dxa"/>
            <w:gridSpan w:val="2"/>
            <w:tcBorders/>
            <w:shd w:fill="auto" w:val="clear"/>
            <w:vAlign w:val="center"/>
          </w:tcPr>
          <w:p>
            <w:pPr>
              <w:pStyle w:val="TableContents"/>
              <w:spacing w:before="0" w:after="283"/>
              <w:rPr>
                <w:b/>
                <w:sz w:val="20"/>
              </w:rPr>
            </w:pPr>
            <w:r>
              <w:rPr>
                <w:b/>
                <w:sz w:val="20"/>
              </w:rPr>
              <w:t>COMCAST CORPORATION</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30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35" w:type="dxa"/>
            <w:tcBorders/>
            <w:shd w:fill="auto" w:val="clear"/>
            <w:vAlign w:val="center"/>
          </w:tcPr>
          <w:p>
            <w:pPr>
              <w:pStyle w:val="TableContents"/>
              <w:spacing w:before="0" w:after="283"/>
              <w:rPr>
                <w:sz w:val="20"/>
              </w:rPr>
            </w:pPr>
            <w:r>
              <w:rPr>
                <w:sz w:val="20"/>
              </w:rPr>
              <w:t>Jason S. Armstrong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35" w:type="dxa"/>
            <w:tcBorders/>
            <w:shd w:fill="auto" w:val="clear"/>
            <w:vAlign w:val="center"/>
          </w:tcPr>
          <w:p>
            <w:pPr>
              <w:pStyle w:val="TableContents"/>
              <w:spacing w:before="0" w:after="283"/>
              <w:rPr>
                <w:sz w:val="20"/>
              </w:rPr>
            </w:pPr>
            <w:r>
              <w:rPr>
                <w:sz w:val="20"/>
              </w:rPr>
              <w:t>Chief Financial Officer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Comcast Corporation]</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0" w:type="dxa"/>
          <w:right w:w="0" w:type="dxa"/>
        </w:tblCellMar>
      </w:tblPr>
      <w:tblGrid>
        <w:gridCol w:w="335"/>
        <w:gridCol w:w="545"/>
        <w:gridCol w:w="6335"/>
        <w:gridCol w:w="75"/>
      </w:tblGrid>
      <w:tr>
        <w:trPr/>
        <w:tc>
          <w:tcPr>
            <w:tcW w:w="7215" w:type="dxa"/>
            <w:gridSpan w:val="3"/>
            <w:tcBorders/>
            <w:shd w:fill="auto" w:val="clear"/>
            <w:vAlign w:val="center"/>
          </w:tcPr>
          <w:p>
            <w:pPr>
              <w:pStyle w:val="TableContents"/>
              <w:spacing w:before="0" w:after="283"/>
              <w:rPr>
                <w:sz w:val="20"/>
              </w:rPr>
            </w:pPr>
            <w:r>
              <w:rPr>
                <w:sz w:val="20"/>
              </w:rPr>
              <w:t>Attest:</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sz w:val="20"/>
              </w:rPr>
            </w:pPr>
            <w:r>
              <w:rPr>
                <w:sz w:val="20"/>
              </w:rPr>
              <w:t>By:</w:t>
            </w:r>
          </w:p>
        </w:tc>
        <w:tc>
          <w:tcPr>
            <w:tcW w:w="6880" w:type="dxa"/>
            <w:gridSpan w:val="2"/>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6335" w:type="dxa"/>
            <w:tcBorders/>
            <w:shd w:fill="auto" w:val="clear"/>
            <w:vAlign w:val="center"/>
          </w:tcPr>
          <w:p>
            <w:pPr>
              <w:pStyle w:val="TableContents"/>
              <w:spacing w:before="0" w:after="283"/>
              <w:rPr>
                <w:sz w:val="20"/>
              </w:rPr>
            </w:pPr>
            <w:r>
              <w:rPr>
                <w:sz w:val="20"/>
              </w:rPr>
              <w:t>Elizabeth Wideman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6335" w:type="dxa"/>
            <w:tcBorders/>
            <w:shd w:fill="auto" w:val="clear"/>
            <w:vAlign w:val="center"/>
          </w:tcPr>
          <w:p>
            <w:pPr>
              <w:pStyle w:val="TableContents"/>
              <w:spacing w:before="0" w:after="283"/>
              <w:rPr>
                <w:sz w:val="20"/>
              </w:rPr>
            </w:pPr>
            <w:r>
              <w:rPr>
                <w:sz w:val="20"/>
              </w:rPr>
              <w:t>Senior Vice President, Senior Deputy General Counsel and Assistant Secretary</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9, 2023</w:t>
      </w:r>
    </w:p>
    <w:p>
      <w:pPr>
        <w:pStyle w:val="TextBody"/>
        <w:spacing w:before="0" w:after="0"/>
        <w:ind w:left="0" w:right="0" w:hanging="0"/>
        <w:rPr>
          <w:caps w:val="false"/>
          <w:smallCaps w:val="false"/>
        </w:rPr>
      </w:pPr>
      <w:r>
        <w:rPr>
          <w:caps w:val="false"/>
          <w:smallCaps w:val="false"/>
        </w:rPr>
        <w:t> </w:t>
      </w:r>
    </w:p>
    <w:tbl>
      <w:tblPr>
        <w:tblW w:w="3544" w:type="dxa"/>
        <w:jc w:val="left"/>
        <w:tblInd w:w="0" w:type="dxa"/>
        <w:tblCellMar>
          <w:top w:w="0" w:type="dxa"/>
          <w:left w:w="0" w:type="dxa"/>
          <w:bottom w:w="0" w:type="dxa"/>
          <w:right w:w="0" w:type="dxa"/>
        </w:tblCellMar>
      </w:tblPr>
      <w:tblGrid>
        <w:gridCol w:w="255"/>
        <w:gridCol w:w="488"/>
        <w:gridCol w:w="2801"/>
      </w:tblGrid>
      <w:tr>
        <w:trPr/>
        <w:tc>
          <w:tcPr>
            <w:tcW w:w="25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sz w:val="20"/>
              </w:rPr>
            </w:pPr>
            <w:r>
              <w:rPr>
                <w:sz w:val="20"/>
              </w:rPr>
              <w:t xml:space="preserve">THE BANK OF NEW YORK MELLON, </w:t>
            </w:r>
          </w:p>
        </w:tc>
      </w:tr>
      <w:tr>
        <w:trPr/>
        <w:tc>
          <w:tcPr>
            <w:tcW w:w="255" w:type="dxa"/>
            <w:tcBorders/>
            <w:shd w:fill="auto" w:val="clear"/>
            <w:vAlign w:val="center"/>
          </w:tcPr>
          <w:p>
            <w:pPr>
              <w:pStyle w:val="TableContents"/>
              <w:spacing w:before="0" w:after="283"/>
              <w:ind w:left="0" w:right="0" w:firstLine="180"/>
              <w:rPr/>
            </w:pPr>
            <w:r>
              <w:rPr/>
              <w:t> </w:t>
            </w:r>
          </w:p>
        </w:tc>
        <w:tc>
          <w:tcPr>
            <w:tcW w:w="3289" w:type="dxa"/>
            <w:gridSpan w:val="2"/>
            <w:tcBorders/>
            <w:shd w:fill="auto" w:val="clear"/>
            <w:vAlign w:val="center"/>
          </w:tcPr>
          <w:p>
            <w:pPr>
              <w:pStyle w:val="TableContents"/>
              <w:spacing w:before="0" w:after="283"/>
              <w:rPr>
                <w:sz w:val="20"/>
              </w:rPr>
            </w:pPr>
            <w:r>
              <w:rPr>
                <w:sz w:val="20"/>
              </w:rPr>
              <w:t>as Trustee</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sz w:val="20"/>
              </w:rPr>
            </w:pPr>
            <w:r>
              <w:rPr>
                <w:sz w:val="20"/>
              </w:rPr>
              <w:t>By:</w:t>
            </w:r>
          </w:p>
        </w:tc>
        <w:tc>
          <w:tcPr>
            <w:tcW w:w="2801"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sz w:val="20"/>
              </w:rPr>
            </w:pPr>
            <w:r>
              <w:rPr>
                <w:sz w:val="20"/>
              </w:rPr>
              <w:t xml:space="preserve">Authorized Signatory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5.350% Note due 2053</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1"/>
        <w:gridCol w:w="2060"/>
        <w:gridCol w:w="8088"/>
      </w:tblGrid>
      <w:tr>
        <w:trPr/>
        <w:tc>
          <w:tcPr>
            <w:tcW w:w="391"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pPr>
            <w:r>
              <w:rPr/>
              <w:t>1.</w:t>
            </w:r>
          </w:p>
        </w:tc>
        <w:tc>
          <w:tcPr>
            <w:tcW w:w="8088" w:type="dxa"/>
            <w:tcBorders/>
            <w:shd w:fill="auto" w:val="clear"/>
            <w:vAlign w:val="center"/>
          </w:tcPr>
          <w:p>
            <w:pPr>
              <w:pStyle w:val="TableContents"/>
              <w:spacing w:before="0" w:after="283"/>
              <w:rPr/>
            </w:pPr>
            <w:r>
              <w:rPr/>
              <w:t>Interest.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May 9, 2023. The Issuer will pay interest semi-annually in arrears on each Interest Payment Date, commencing November 15, 2023. Interest will be computed on the basis of a 360-day year of twelve 30-day months.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1"/>
        <w:gridCol w:w="954"/>
        <w:gridCol w:w="9404"/>
      </w:tblGrid>
      <w:tr>
        <w:trPr/>
        <w:tc>
          <w:tcPr>
            <w:tcW w:w="18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pPr>
            <w:r>
              <w:rPr/>
              <w:t>2.</w:t>
            </w:r>
          </w:p>
        </w:tc>
        <w:tc>
          <w:tcPr>
            <w:tcW w:w="9404" w:type="dxa"/>
            <w:tcBorders/>
            <w:shd w:fill="auto" w:val="clear"/>
            <w:vAlign w:val="center"/>
          </w:tcPr>
          <w:p>
            <w:pPr>
              <w:pStyle w:val="TableContents"/>
              <w:spacing w:before="0" w:after="283"/>
              <w:rPr/>
            </w:pPr>
            <w:r>
              <w:rPr/>
              <w:t>Method of Payment.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4"/>
        <w:gridCol w:w="1287"/>
        <w:gridCol w:w="9008"/>
      </w:tblGrid>
      <w:tr>
        <w:trPr/>
        <w:tc>
          <w:tcPr>
            <w:tcW w:w="24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pPr>
            <w:r>
              <w:rPr/>
              <w:t>3.</w:t>
            </w:r>
          </w:p>
        </w:tc>
        <w:tc>
          <w:tcPr>
            <w:tcW w:w="9008" w:type="dxa"/>
            <w:tcBorders/>
            <w:shd w:fill="auto" w:val="clear"/>
            <w:vAlign w:val="center"/>
          </w:tcPr>
          <w:p>
            <w:pPr>
              <w:pStyle w:val="TableContents"/>
              <w:spacing w:before="0" w:after="283"/>
              <w:rPr/>
            </w:pPr>
            <w:r>
              <w:rPr/>
              <w:t>Paying Agent.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The Issuer may change any Paying Agent without notice to the Holders.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
        <w:gridCol w:w="1710"/>
        <w:gridCol w:w="8505"/>
      </w:tblGrid>
      <w:tr>
        <w:trPr/>
        <w:tc>
          <w:tcPr>
            <w:tcW w:w="32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pPr>
            <w:r>
              <w:rPr/>
              <w:t>4.</w:t>
            </w:r>
          </w:p>
        </w:tc>
        <w:tc>
          <w:tcPr>
            <w:tcW w:w="8505" w:type="dxa"/>
            <w:tcBorders/>
            <w:shd w:fill="auto" w:val="clear"/>
            <w:vAlign w:val="center"/>
          </w:tcPr>
          <w:p>
            <w:pPr>
              <w:pStyle w:val="TableContents"/>
              <w:spacing w:before="0" w:after="283"/>
              <w:rPr/>
            </w:pPr>
            <w:r>
              <w:rPr/>
              <w:t>Indenture.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Trustee, and as further amended by the Second Supplemental Indenture dated as of July 29, 2022, by and among the Issuer, the Guarantors and the Trustee (as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and the notes are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under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6"/>
        <w:gridCol w:w="1508"/>
        <w:gridCol w:w="8745"/>
      </w:tblGrid>
      <w:tr>
        <w:trPr/>
        <w:tc>
          <w:tcPr>
            <w:tcW w:w="286"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pPr>
            <w:r>
              <w:rPr/>
              <w:t>5.</w:t>
            </w:r>
          </w:p>
        </w:tc>
        <w:tc>
          <w:tcPr>
            <w:tcW w:w="8745" w:type="dxa"/>
            <w:tcBorders/>
            <w:shd w:fill="auto" w:val="clear"/>
            <w:vAlign w:val="center"/>
          </w:tcPr>
          <w:p>
            <w:pPr>
              <w:pStyle w:val="TableContents"/>
              <w:spacing w:before="0" w:after="283"/>
              <w:rPr/>
            </w:pPr>
            <w:r>
              <w:rPr/>
              <w:t>Guarantees.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562"/>
        <w:gridCol w:w="9871"/>
      </w:tblGrid>
      <w:tr>
        <w:trPr/>
        <w:tc>
          <w:tcPr>
            <w:tcW w:w="1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pPr>
            <w:r>
              <w:rPr/>
              <w:t>6.</w:t>
            </w:r>
          </w:p>
        </w:tc>
        <w:tc>
          <w:tcPr>
            <w:tcW w:w="9871" w:type="dxa"/>
            <w:tcBorders/>
            <w:shd w:fill="auto" w:val="clear"/>
            <w:vAlign w:val="center"/>
          </w:tcPr>
          <w:p>
            <w:pPr>
              <w:pStyle w:val="TableContents"/>
              <w:spacing w:before="0" w:after="283"/>
              <w:rPr/>
            </w:pPr>
            <w:r>
              <w:rPr/>
              <w:t>Denominations; Transfer; Exchange.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6"/>
        <w:gridCol w:w="771"/>
        <w:gridCol w:w="9622"/>
      </w:tblGrid>
      <w:tr>
        <w:trPr/>
        <w:tc>
          <w:tcPr>
            <w:tcW w:w="14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pPr>
            <w:r>
              <w:rPr/>
              <w:t>7.</w:t>
            </w:r>
          </w:p>
        </w:tc>
        <w:tc>
          <w:tcPr>
            <w:tcW w:w="9622" w:type="dxa"/>
            <w:tcBorders/>
            <w:shd w:fill="auto" w:val="clear"/>
            <w:vAlign w:val="center"/>
          </w:tcPr>
          <w:p>
            <w:pPr>
              <w:pStyle w:val="TableContents"/>
              <w:spacing w:before="0" w:after="283"/>
              <w:rPr/>
            </w:pPr>
            <w:r>
              <w:rPr/>
              <w:t>Persons Deemed Owners.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8"/>
        <w:gridCol w:w="1048"/>
        <w:gridCol w:w="9293"/>
      </w:tblGrid>
      <w:tr>
        <w:trPr/>
        <w:tc>
          <w:tcPr>
            <w:tcW w:w="19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pPr>
            <w:r>
              <w:rPr/>
              <w:t>8.</w:t>
            </w:r>
          </w:p>
        </w:tc>
        <w:tc>
          <w:tcPr>
            <w:tcW w:w="9293" w:type="dxa"/>
            <w:tcBorders/>
            <w:shd w:fill="auto" w:val="clear"/>
            <w:vAlign w:val="center"/>
          </w:tcPr>
          <w:p>
            <w:pPr>
              <w:pStyle w:val="TableContents"/>
              <w:spacing w:before="0" w:after="283"/>
              <w:rPr/>
            </w:pPr>
            <w:r>
              <w:rPr/>
              <w:t>Unclaimed Funds.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that, all liability of the Trustee and such Paying Agent with respect to such funds shall cease.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7"/>
        <w:gridCol w:w="462"/>
        <w:gridCol w:w="9990"/>
      </w:tblGrid>
      <w:tr>
        <w:trPr/>
        <w:tc>
          <w:tcPr>
            <w:tcW w:w="8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pPr>
            <w:r>
              <w:rPr/>
              <w:t>9.</w:t>
            </w:r>
          </w:p>
        </w:tc>
        <w:tc>
          <w:tcPr>
            <w:tcW w:w="9990" w:type="dxa"/>
            <w:tcBorders/>
            <w:shd w:fill="auto" w:val="clear"/>
            <w:vAlign w:val="center"/>
          </w:tcPr>
          <w:p>
            <w:pPr>
              <w:pStyle w:val="TableContents"/>
              <w:spacing w:before="0" w:after="283"/>
              <w:rPr/>
            </w:pPr>
            <w:r>
              <w:rPr/>
              <w:t>Legal Defeasance and Covenant Defeasance.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10.</w:t>
            </w:r>
          </w:p>
        </w:tc>
        <w:tc>
          <w:tcPr>
            <w:tcW w:w="9514" w:type="dxa"/>
            <w:tcBorders/>
            <w:shd w:fill="auto" w:val="clear"/>
            <w:vAlign w:val="center"/>
          </w:tcPr>
          <w:p>
            <w:pPr>
              <w:pStyle w:val="TableContents"/>
              <w:spacing w:before="0" w:after="283"/>
              <w:rPr/>
            </w:pPr>
            <w:r>
              <w:rPr/>
              <w:t>Amendment; Supplement; Waiver.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8"/>
        <w:gridCol w:w="1337"/>
        <w:gridCol w:w="9044"/>
      </w:tblGrid>
      <w:tr>
        <w:trPr/>
        <w:tc>
          <w:tcPr>
            <w:tcW w:w="158"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pPr>
            <w:r>
              <w:rPr/>
              <w:t>11.</w:t>
            </w:r>
          </w:p>
        </w:tc>
        <w:tc>
          <w:tcPr>
            <w:tcW w:w="9044" w:type="dxa"/>
            <w:tcBorders/>
            <w:shd w:fill="auto" w:val="clear"/>
            <w:vAlign w:val="center"/>
          </w:tcPr>
          <w:p>
            <w:pPr>
              <w:pStyle w:val="TableContents"/>
              <w:spacing w:before="0" w:after="283"/>
              <w:rPr/>
            </w:pPr>
            <w:r>
              <w:rPr/>
              <w:t>Restrictive Covenants.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8"/>
        <w:gridCol w:w="2098"/>
        <w:gridCol w:w="8193"/>
      </w:tblGrid>
      <w:tr>
        <w:trPr/>
        <w:tc>
          <w:tcPr>
            <w:tcW w:w="248"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pPr>
            <w:r>
              <w:rPr/>
              <w:t>12.</w:t>
            </w:r>
          </w:p>
        </w:tc>
        <w:tc>
          <w:tcPr>
            <w:tcW w:w="8193" w:type="dxa"/>
            <w:tcBorders/>
            <w:shd w:fill="auto" w:val="clear"/>
            <w:vAlign w:val="center"/>
          </w:tcPr>
          <w:p>
            <w:pPr>
              <w:pStyle w:val="TableContents"/>
              <w:spacing w:before="0" w:after="283"/>
              <w:rPr/>
            </w:pPr>
            <w:r>
              <w:rPr/>
              <w:t>Redemption.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2052 (six (6) months prior to the maturity date of the Securities)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Issuer may redeem the Securities at its option, in whole or in part, at any time and from time to time, at a redemption price (expressed as a percentage of the principal amount and rounded to three decimal places) equal to the greater 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25 basis points, less (b) interest accrued to the date of redemption, and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Issuer in accordance with the following two paragraphs.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actions and determinations in determining the redemption price shall be conclusive and binding for all purposes, absent manifest error.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Issuer defaults in payment of the redemption price, on and after the redemption date, interest will cease to accrue on the Securities or portions thereof called for redemption.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1276"/>
        <w:gridCol w:w="9112"/>
      </w:tblGrid>
      <w:tr>
        <w:trPr/>
        <w:tc>
          <w:tcPr>
            <w:tcW w:w="15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13.</w:t>
            </w:r>
          </w:p>
        </w:tc>
        <w:tc>
          <w:tcPr>
            <w:tcW w:w="9112" w:type="dxa"/>
            <w:tcBorders/>
            <w:shd w:fill="auto" w:val="clear"/>
            <w:vAlign w:val="center"/>
          </w:tcPr>
          <w:p>
            <w:pPr>
              <w:pStyle w:val="TableContents"/>
              <w:spacing w:before="0" w:after="283"/>
              <w:rPr/>
            </w:pPr>
            <w:r>
              <w:rPr/>
              <w:t>Defaults and Remedies.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6"/>
        <w:gridCol w:w="1070"/>
        <w:gridCol w:w="9343"/>
      </w:tblGrid>
      <w:tr>
        <w:trPr/>
        <w:tc>
          <w:tcPr>
            <w:tcW w:w="1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pPr>
            <w:r>
              <w:rPr/>
              <w:t>14.</w:t>
            </w:r>
          </w:p>
        </w:tc>
        <w:tc>
          <w:tcPr>
            <w:tcW w:w="9343" w:type="dxa"/>
            <w:tcBorders/>
            <w:shd w:fill="auto" w:val="clear"/>
            <w:vAlign w:val="center"/>
          </w:tcPr>
          <w:p>
            <w:pPr>
              <w:pStyle w:val="TableContents"/>
              <w:spacing w:before="0" w:after="283"/>
              <w:rPr/>
            </w:pPr>
            <w:r>
              <w:rPr/>
              <w:t>Trustee Dealings with Issuer.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25"/>
        <w:gridCol w:w="1060"/>
        <w:gridCol w:w="9354"/>
      </w:tblGrid>
      <w:tr>
        <w:trPr/>
        <w:tc>
          <w:tcPr>
            <w:tcW w:w="1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pPr>
            <w:r>
              <w:rPr/>
              <w:t>15.</w:t>
            </w:r>
          </w:p>
        </w:tc>
        <w:tc>
          <w:tcPr>
            <w:tcW w:w="9354" w:type="dxa"/>
            <w:tcBorders/>
            <w:shd w:fill="auto" w:val="clear"/>
            <w:vAlign w:val="center"/>
          </w:tcPr>
          <w:p>
            <w:pPr>
              <w:pStyle w:val="TableContents"/>
              <w:spacing w:before="0" w:after="283"/>
              <w:rPr/>
            </w:pPr>
            <w:r>
              <w:rPr/>
              <w:t>No Recourse Against Others.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5"/>
        <w:gridCol w:w="8498"/>
      </w:tblGrid>
      <w:tr>
        <w:trPr/>
        <w:tc>
          <w:tcPr>
            <w:tcW w:w="216"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pPr>
            <w:r>
              <w:rPr/>
              <w:t>16.</w:t>
            </w:r>
          </w:p>
        </w:tc>
        <w:tc>
          <w:tcPr>
            <w:tcW w:w="8498" w:type="dxa"/>
            <w:tcBorders/>
            <w:shd w:fill="auto" w:val="clear"/>
            <w:vAlign w:val="center"/>
          </w:tcPr>
          <w:p>
            <w:pPr>
              <w:pStyle w:val="TableContents"/>
              <w:spacing w:before="0" w:after="283"/>
              <w:rPr/>
            </w:pPr>
            <w:r>
              <w:rPr/>
              <w:t>Authentication.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17.</w:t>
            </w:r>
          </w:p>
        </w:tc>
        <w:tc>
          <w:tcPr>
            <w:tcW w:w="9514" w:type="dxa"/>
            <w:tcBorders/>
            <w:shd w:fill="auto" w:val="clear"/>
            <w:vAlign w:val="center"/>
          </w:tcPr>
          <w:p>
            <w:pPr>
              <w:pStyle w:val="TableContents"/>
              <w:spacing w:before="0" w:after="283"/>
              <w:rPr/>
            </w:pPr>
            <w:r>
              <w:rPr/>
              <w:t>Abbreviations and Defined Terms.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3"/>
        <w:gridCol w:w="1626"/>
        <w:gridCol w:w="8720"/>
      </w:tblGrid>
      <w:tr>
        <w:trPr/>
        <w:tc>
          <w:tcPr>
            <w:tcW w:w="193"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pPr>
            <w:r>
              <w:rPr/>
              <w:t>18.</w:t>
            </w:r>
          </w:p>
        </w:tc>
        <w:tc>
          <w:tcPr>
            <w:tcW w:w="8720" w:type="dxa"/>
            <w:tcBorders/>
            <w:shd w:fill="auto" w:val="clear"/>
            <w:vAlign w:val="center"/>
          </w:tcPr>
          <w:p>
            <w:pPr>
              <w:pStyle w:val="TableContents"/>
              <w:spacing w:before="0" w:after="283"/>
              <w:rPr/>
            </w:pPr>
            <w:r>
              <w:rPr/>
              <w:t>CUSIP Numbers.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1714"/>
        <w:gridCol w:w="8622"/>
      </w:tblGrid>
      <w:tr>
        <w:trPr/>
        <w:tc>
          <w:tcPr>
            <w:tcW w:w="20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pPr>
            <w:r>
              <w:rPr/>
              <w:t>19.</w:t>
            </w:r>
          </w:p>
        </w:tc>
        <w:tc>
          <w:tcPr>
            <w:tcW w:w="8622" w:type="dxa"/>
            <w:tcBorders/>
            <w:shd w:fill="auto" w:val="clear"/>
            <w:vAlign w:val="center"/>
          </w:tcPr>
          <w:p>
            <w:pPr>
              <w:pStyle w:val="TableContents"/>
              <w:spacing w:before="0" w:after="283"/>
              <w:rPr/>
            </w:pPr>
            <w:r>
              <w:rPr/>
              <w:t>Governing Law.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appoint_________________________________________ agent to transfer this Security on the books of the Issuer. The agent may substitute another to act for him.</w:t>
      </w:r>
    </w:p>
    <w:p>
      <w:pPr>
        <w:pStyle w:val="TextBody"/>
        <w:spacing w:before="0" w:after="0"/>
        <w:ind w:left="0" w:right="0" w:hanging="0"/>
        <w:rPr>
          <w:caps w:val="false"/>
          <w:smallCaps w:val="false"/>
        </w:rPr>
      </w:pPr>
      <w:r>
        <w:rPr>
          <w:caps w:val="false"/>
          <w:smallCaps w:val="false"/>
        </w:rPr>
        <w:t> </w:t>
      </w:r>
    </w:p>
    <w:tbl>
      <w:tblPr>
        <w:tblW w:w="7700" w:type="dxa"/>
        <w:jc w:val="left"/>
        <w:tblInd w:w="0" w:type="dxa"/>
        <w:tblCellMar>
          <w:top w:w="0" w:type="dxa"/>
          <w:left w:w="0" w:type="dxa"/>
          <w:bottom w:w="0" w:type="dxa"/>
          <w:right w:w="0" w:type="dxa"/>
        </w:tblCellMar>
      </w:tblPr>
      <w:tblGrid>
        <w:gridCol w:w="665"/>
        <w:gridCol w:w="2780"/>
        <w:gridCol w:w="740"/>
        <w:gridCol w:w="3515"/>
      </w:tblGrid>
      <w:tr>
        <w:trPr/>
        <w:tc>
          <w:tcPr>
            <w:tcW w:w="665" w:type="dxa"/>
            <w:tcBorders/>
            <w:shd w:fill="auto" w:val="clear"/>
            <w:vAlign w:val="center"/>
          </w:tcPr>
          <w:p>
            <w:pPr>
              <w:pStyle w:val="TableContents"/>
              <w:spacing w:before="0" w:after="283"/>
              <w:rPr/>
            </w:pPr>
            <w:r>
              <w:rPr/>
              <w:t>Dated:</w:t>
            </w:r>
          </w:p>
        </w:tc>
        <w:tc>
          <w:tcPr>
            <w:tcW w:w="2780" w:type="dxa"/>
            <w:tcBorders/>
            <w:shd w:fill="auto" w:val="clear"/>
            <w:vAlign w:val="center"/>
          </w:tcPr>
          <w:p>
            <w:pPr>
              <w:pStyle w:val="TableContents"/>
              <w:spacing w:before="0" w:after="283"/>
              <w:rPr/>
            </w:pPr>
            <w:r>
              <w:rPr/>
              <w:t>_______________________</w:t>
            </w:r>
          </w:p>
        </w:tc>
        <w:tc>
          <w:tcPr>
            <w:tcW w:w="740" w:type="dxa"/>
            <w:tcBorders/>
            <w:shd w:fill="auto" w:val="clear"/>
            <w:vAlign w:val="center"/>
          </w:tcPr>
          <w:p>
            <w:pPr>
              <w:pStyle w:val="TableContents"/>
              <w:spacing w:before="0" w:after="283"/>
              <w:rPr/>
            </w:pPr>
            <w:r>
              <w:rPr/>
              <w:t>Signed:</w:t>
            </w:r>
          </w:p>
        </w:tc>
        <w:tc>
          <w:tcPr>
            <w:tcW w:w="3515" w:type="dxa"/>
            <w:tcBorders/>
            <w:shd w:fill="auto" w:val="clear"/>
            <w:vAlign w:val="center"/>
          </w:tcPr>
          <w:p>
            <w:pPr>
              <w:pStyle w:val="TableContents"/>
              <w:spacing w:before="0" w:after="283"/>
              <w:rPr/>
            </w:pPr>
            <w:r>
              <w:rPr/>
              <w:t>_____________________________</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(Signed exactly as name appears</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on the other side of this Security)</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030"/>
        <w:gridCol w:w="4955"/>
      </w:tblGrid>
      <w:tr>
        <w:trPr/>
        <w:tc>
          <w:tcPr>
            <w:tcW w:w="2030" w:type="dxa"/>
            <w:tcBorders/>
            <w:shd w:fill="auto" w:val="clear"/>
            <w:vAlign w:val="center"/>
          </w:tcPr>
          <w:p>
            <w:pPr>
              <w:pStyle w:val="TableContents"/>
              <w:spacing w:before="0" w:after="283"/>
              <w:rPr/>
            </w:pPr>
            <w:r>
              <w:rPr/>
              <w:t>Signature Guarantee:</w:t>
            </w:r>
          </w:p>
        </w:tc>
        <w:tc>
          <w:tcPr>
            <w:tcW w:w="4955" w:type="dxa"/>
            <w:tcBorders/>
            <w:shd w:fill="auto" w:val="clear"/>
            <w:vAlign w:val="center"/>
          </w:tcPr>
          <w:p>
            <w:pPr>
              <w:pStyle w:val="TableContents"/>
              <w:spacing w:before="0" w:after="283"/>
              <w:rPr/>
            </w:pPr>
            <w:r>
              <w:rPr/>
              <w:t>_________________________________________</w:t>
            </w:r>
          </w:p>
        </w:tc>
      </w:tr>
      <w:tr>
        <w:trPr/>
        <w:tc>
          <w:tcPr>
            <w:tcW w:w="203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rPr/>
            </w:pPr>
            <w:r>
              <w:rPr/>
              <w:t>Participant in a recognized Signature Guarantee</w:t>
            </w:r>
          </w:p>
          <w:p>
            <w:pPr>
              <w:pStyle w:val="TableContents"/>
              <w:rPr/>
            </w:pPr>
            <w:r>
              <w:rPr/>
              <w:t>Medallion Program (or other signature guarantor</w:t>
            </w:r>
          </w:p>
          <w:p>
            <w:pPr>
              <w:pStyle w:val="TableContents"/>
              <w:spacing w:before="0" w:after="283"/>
              <w:rPr/>
            </w:pPr>
            <w:r>
              <w:rPr/>
              <w:t>program reasonably acceptable to the Trustee)</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5.500% Note due 2064</w:t>
      </w:r>
    </w:p>
    <w:p>
      <w:pPr>
        <w:pStyle w:val="TextBody"/>
        <w:spacing w:before="0" w:after="0"/>
        <w:ind w:left="0" w:right="0" w:hanging="0"/>
        <w:jc w:val="center"/>
        <w:rPr>
          <w:caps w:val="false"/>
          <w:smallCaps w:val="false"/>
        </w:rPr>
      </w:pPr>
      <w:r>
        <w:rPr>
          <w:caps w:val="false"/>
          <w:smallCaps w:val="false"/>
        </w:rPr>
        <w:t> </w:t>
      </w:r>
    </w:p>
    <w:tbl>
      <w:tblPr>
        <w:tblW w:w="2785" w:type="dxa"/>
        <w:jc w:val="left"/>
        <w:tblInd w:w="0" w:type="dxa"/>
        <w:tblCellMar>
          <w:top w:w="0" w:type="dxa"/>
          <w:left w:w="0" w:type="dxa"/>
          <w:bottom w:w="0" w:type="dxa"/>
          <w:right w:w="0" w:type="dxa"/>
        </w:tblCellMar>
      </w:tblPr>
      <w:tblGrid>
        <w:gridCol w:w="530"/>
        <w:gridCol w:w="2255"/>
      </w:tblGrid>
      <w:tr>
        <w:trPr/>
        <w:tc>
          <w:tcPr>
            <w:tcW w:w="530" w:type="dxa"/>
            <w:tcBorders/>
            <w:shd w:fill="auto" w:val="clear"/>
            <w:vAlign w:val="center"/>
          </w:tcPr>
          <w:p>
            <w:pPr>
              <w:pStyle w:val="TableContents"/>
              <w:spacing w:before="0" w:after="283"/>
              <w:rPr>
                <w:sz w:val="20"/>
              </w:rPr>
            </w:pPr>
            <w:r>
              <w:rPr>
                <w:sz w:val="20"/>
              </w:rPr>
              <w:t>No. [ ]</w:t>
            </w:r>
          </w:p>
        </w:tc>
        <w:tc>
          <w:tcPr>
            <w:tcW w:w="2255" w:type="dxa"/>
            <w:tcBorders/>
            <w:shd w:fill="auto" w:val="clear"/>
            <w:vAlign w:val="center"/>
          </w:tcPr>
          <w:p>
            <w:pPr>
              <w:pStyle w:val="TableContents"/>
              <w:spacing w:before="0" w:after="283"/>
              <w:jc w:val="right"/>
              <w:rPr>
                <w:sz w:val="20"/>
              </w:rPr>
            </w:pPr>
            <w:r>
              <w:rPr>
                <w:sz w:val="20"/>
              </w:rPr>
              <w:t>CUSIP No.: 20030N EG2</w:t>
            </w:r>
          </w:p>
        </w:tc>
      </w:tr>
      <w:tr>
        <w:trPr/>
        <w:tc>
          <w:tcPr>
            <w:tcW w:w="53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jc w:val="right"/>
              <w:rPr/>
            </w:pPr>
            <w:r>
              <w:rPr/>
              <w:t> </w:t>
            </w:r>
            <w:r>
              <w:rPr>
                <w:sz w:val="20"/>
              </w:rPr>
              <w:t>ISIN No.: US20030NEG25</w:t>
            </w:r>
          </w:p>
        </w:tc>
      </w:tr>
      <w:tr>
        <w:trPr/>
        <w:tc>
          <w:tcPr>
            <w:tcW w:w="53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jc w:val="right"/>
              <w:rPr/>
            </w:pPr>
            <w:r>
              <w:rPr/>
              <w:t> </w:t>
            </w:r>
          </w:p>
        </w:tc>
      </w:tr>
      <w:tr>
        <w:trPr/>
        <w:tc>
          <w:tcPr>
            <w:tcW w:w="53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jc w:val="right"/>
              <w:rPr>
                <w:sz w:val="20"/>
              </w:rPr>
            </w:pPr>
            <w:r>
              <w:rPr>
                <w:sz w:val="20"/>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which term includes any successor corporation), for value received promises to pay to CEDE &amp; CO. or registered assigns, the principal sum of $[ ] ([ ]) on May 15, 2064.</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May 15 and November 15 (each, an “</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commencing on November 15, 2023.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Record Dates: May 1 and November 1 (each, an “</w:t>
      </w:r>
      <w:r>
        <w:rPr>
          <w:rFonts w:ascii="Times New Roman;Times;Serif" w:hAnsi="Times New Roman;Times;Serif"/>
          <w:b/>
          <w:i w:val="false"/>
          <w:caps w:val="false"/>
          <w:smallCaps w:val="false"/>
          <w:sz w:val="20"/>
        </w:rPr>
        <w:t>Interest Record Date</w:t>
      </w:r>
      <w:r>
        <w:rPr>
          <w:rFonts w:ascii="Times New Roman;Times;Serif" w:hAnsi="Times New Roman;Times;Serif"/>
          <w:b w:val="false"/>
          <w:i w:val="false"/>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Security contained herein, which will for all purposes have the same effect as if set forth at this place.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Issuer has caused this Security to be signed manually or by facsimile by its duly authorized officer under its corporate seal.</w:t>
      </w:r>
    </w:p>
    <w:p>
      <w:pPr>
        <w:pStyle w:val="TextBody"/>
        <w:spacing w:before="0" w:after="0"/>
        <w:ind w:left="0" w:right="0" w:firstLine="72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545"/>
        <w:gridCol w:w="3035"/>
      </w:tblGrid>
      <w:tr>
        <w:trPr/>
        <w:tc>
          <w:tcPr>
            <w:tcW w:w="75" w:type="dxa"/>
            <w:tcBorders/>
            <w:shd w:fill="auto" w:val="clear"/>
            <w:vAlign w:val="center"/>
          </w:tcPr>
          <w:p>
            <w:pPr>
              <w:pStyle w:val="TableContents"/>
              <w:spacing w:before="0" w:after="283"/>
              <w:rPr/>
            </w:pPr>
            <w:r>
              <w:rPr/>
              <w:t> </w:t>
            </w:r>
          </w:p>
        </w:tc>
        <w:tc>
          <w:tcPr>
            <w:tcW w:w="3580" w:type="dxa"/>
            <w:gridSpan w:val="2"/>
            <w:tcBorders/>
            <w:shd w:fill="auto" w:val="clear"/>
            <w:vAlign w:val="center"/>
          </w:tcPr>
          <w:p>
            <w:pPr>
              <w:pStyle w:val="TableContents"/>
              <w:spacing w:before="0" w:after="283"/>
              <w:rPr>
                <w:b/>
                <w:sz w:val="20"/>
              </w:rPr>
            </w:pPr>
            <w:r>
              <w:rPr>
                <w:b/>
                <w:sz w:val="20"/>
              </w:rPr>
              <w:t>COMCAST CORPORATION</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3035"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3035" w:type="dxa"/>
            <w:tcBorders/>
            <w:shd w:fill="auto" w:val="clear"/>
            <w:vAlign w:val="center"/>
          </w:tcPr>
          <w:p>
            <w:pPr>
              <w:pStyle w:val="TableContents"/>
              <w:spacing w:before="0" w:after="283"/>
              <w:rPr>
                <w:sz w:val="20"/>
              </w:rPr>
            </w:pPr>
            <w:r>
              <w:rPr>
                <w:sz w:val="20"/>
              </w:rPr>
              <w:t>Jason S. Armstrong</w:t>
            </w:r>
          </w:p>
        </w:tc>
      </w:tr>
      <w:tr>
        <w:trPr/>
        <w:tc>
          <w:tcPr>
            <w:tcW w:w="7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3035" w:type="dxa"/>
            <w:tcBorders/>
            <w:shd w:fill="auto" w:val="clear"/>
            <w:vAlign w:val="center"/>
          </w:tcPr>
          <w:p>
            <w:pPr>
              <w:pStyle w:val="TableContents"/>
              <w:spacing w:before="0" w:after="283"/>
              <w:rPr>
                <w:sz w:val="20"/>
              </w:rPr>
            </w:pPr>
            <w:r>
              <w:rPr>
                <w:sz w:val="20"/>
              </w:rPr>
              <w:t>Chief Financial Officer and Treasurer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 of Comcast Corporation]</w:t>
      </w:r>
    </w:p>
    <w:p>
      <w:pPr>
        <w:pStyle w:val="TextBody"/>
        <w:spacing w:before="0" w:after="0"/>
        <w:ind w:left="0" w:right="0" w:hanging="0"/>
        <w:rPr>
          <w:caps w:val="false"/>
          <w:smallCaps w:val="false"/>
        </w:rPr>
      </w:pPr>
      <w:r>
        <w:rPr>
          <w:caps w:val="false"/>
          <w:smallCaps w:val="false"/>
        </w:rPr>
        <w:t> </w:t>
      </w:r>
    </w:p>
    <w:tbl>
      <w:tblPr>
        <w:tblW w:w="7290" w:type="dxa"/>
        <w:jc w:val="left"/>
        <w:tblInd w:w="0" w:type="dxa"/>
        <w:tblCellMar>
          <w:top w:w="0" w:type="dxa"/>
          <w:left w:w="0" w:type="dxa"/>
          <w:bottom w:w="0" w:type="dxa"/>
          <w:right w:w="0" w:type="dxa"/>
        </w:tblCellMar>
      </w:tblPr>
      <w:tblGrid>
        <w:gridCol w:w="335"/>
        <w:gridCol w:w="545"/>
        <w:gridCol w:w="6335"/>
        <w:gridCol w:w="75"/>
      </w:tblGrid>
      <w:tr>
        <w:trPr/>
        <w:tc>
          <w:tcPr>
            <w:tcW w:w="7215" w:type="dxa"/>
            <w:gridSpan w:val="3"/>
            <w:tcBorders/>
            <w:shd w:fill="auto" w:val="clear"/>
            <w:vAlign w:val="center"/>
          </w:tcPr>
          <w:p>
            <w:pPr>
              <w:pStyle w:val="TableContents"/>
              <w:spacing w:before="0" w:after="283"/>
              <w:rPr>
                <w:sz w:val="20"/>
              </w:rPr>
            </w:pPr>
            <w:r>
              <w:rPr>
                <w:sz w:val="20"/>
              </w:rPr>
              <w:t>Attest:</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pPr>
            <w:r>
              <w:rPr/>
              <w:t> </w:t>
            </w:r>
          </w:p>
        </w:tc>
        <w:tc>
          <w:tcPr>
            <w:tcW w:w="633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sz w:val="20"/>
              </w:rPr>
            </w:pPr>
            <w:r>
              <w:rPr>
                <w:sz w:val="20"/>
              </w:rPr>
              <w:t>By:</w:t>
            </w:r>
          </w:p>
        </w:tc>
        <w:tc>
          <w:tcPr>
            <w:tcW w:w="6880" w:type="dxa"/>
            <w:gridSpan w:val="2"/>
            <w:tcBorders>
              <w:bottom w:val="single" w:sz="8" w:space="0" w:color="000000"/>
            </w:tcBorders>
            <w:shd w:fill="auto" w:val="clear"/>
            <w:tcMar>
              <w:bottom w:w="28" w:type="dxa"/>
            </w:tcM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6335" w:type="dxa"/>
            <w:tcBorders/>
            <w:shd w:fill="auto" w:val="clear"/>
            <w:vAlign w:val="center"/>
          </w:tcPr>
          <w:p>
            <w:pPr>
              <w:pStyle w:val="TableContents"/>
              <w:spacing w:before="0" w:after="283"/>
              <w:rPr>
                <w:sz w:val="20"/>
              </w:rPr>
            </w:pPr>
            <w:r>
              <w:rPr>
                <w:sz w:val="20"/>
              </w:rPr>
              <w:t>Elizabeth Wideman</w:t>
            </w:r>
          </w:p>
        </w:tc>
        <w:tc>
          <w:tcPr>
            <w:tcW w:w="75" w:type="dxa"/>
            <w:tcBorders/>
            <w:shd w:fill="auto" w:val="clear"/>
            <w:vAlign w:val="center"/>
          </w:tcPr>
          <w:p>
            <w:pPr>
              <w:pStyle w:val="TableContents"/>
              <w:spacing w:before="0" w:after="283"/>
              <w:rPr/>
            </w:pPr>
            <w:r>
              <w:rPr/>
              <w:t> </w:t>
            </w:r>
          </w:p>
        </w:tc>
      </w:tr>
      <w:tr>
        <w:trPr/>
        <w:tc>
          <w:tcPr>
            <w:tcW w:w="335"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6335" w:type="dxa"/>
            <w:tcBorders/>
            <w:shd w:fill="auto" w:val="clear"/>
            <w:vAlign w:val="center"/>
          </w:tcPr>
          <w:p>
            <w:pPr>
              <w:pStyle w:val="TableContents"/>
              <w:spacing w:before="0" w:after="283"/>
              <w:rPr>
                <w:sz w:val="20"/>
              </w:rPr>
            </w:pPr>
            <w:r>
              <w:rPr>
                <w:sz w:val="20"/>
              </w:rPr>
              <w:t>Senior Vice President, Senior Deputy General Counsel and Assistant Secretary</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designated herein and referred to in the within-mentioned Indenture.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9, 2023</w:t>
      </w:r>
    </w:p>
    <w:p>
      <w:pPr>
        <w:pStyle w:val="TextBody"/>
        <w:spacing w:before="0" w:after="0"/>
        <w:ind w:left="0" w:right="0" w:hanging="0"/>
        <w:rPr>
          <w:caps w:val="false"/>
          <w:smallCaps w:val="false"/>
        </w:rPr>
      </w:pPr>
      <w:r>
        <w:rPr>
          <w:caps w:val="false"/>
          <w:smallCaps w:val="false"/>
        </w:rPr>
        <w:t> </w:t>
      </w:r>
    </w:p>
    <w:tbl>
      <w:tblPr>
        <w:tblW w:w="3544" w:type="dxa"/>
        <w:jc w:val="left"/>
        <w:tblInd w:w="0" w:type="dxa"/>
        <w:tblCellMar>
          <w:top w:w="0" w:type="dxa"/>
          <w:left w:w="0" w:type="dxa"/>
          <w:bottom w:w="0" w:type="dxa"/>
          <w:right w:w="0" w:type="dxa"/>
        </w:tblCellMar>
      </w:tblPr>
      <w:tblGrid>
        <w:gridCol w:w="255"/>
        <w:gridCol w:w="488"/>
        <w:gridCol w:w="2801"/>
      </w:tblGrid>
      <w:tr>
        <w:trPr/>
        <w:tc>
          <w:tcPr>
            <w:tcW w:w="255" w:type="dxa"/>
            <w:tcBorders/>
            <w:shd w:fill="auto" w:val="clear"/>
            <w:vAlign w:val="center"/>
          </w:tcPr>
          <w:p>
            <w:pPr>
              <w:pStyle w:val="TableContents"/>
              <w:spacing w:before="0" w:after="283"/>
              <w:rPr/>
            </w:pPr>
            <w:r>
              <w:rPr/>
              <w:t> </w:t>
            </w:r>
          </w:p>
        </w:tc>
        <w:tc>
          <w:tcPr>
            <w:tcW w:w="3289" w:type="dxa"/>
            <w:gridSpan w:val="2"/>
            <w:tcBorders/>
            <w:shd w:fill="auto" w:val="clear"/>
            <w:vAlign w:val="center"/>
          </w:tcPr>
          <w:p>
            <w:pPr>
              <w:pStyle w:val="TableContents"/>
              <w:spacing w:before="0" w:after="283"/>
              <w:rPr>
                <w:sz w:val="20"/>
              </w:rPr>
            </w:pPr>
            <w:r>
              <w:rPr>
                <w:sz w:val="20"/>
              </w:rPr>
              <w:t xml:space="preserve">THE BANK OF NEW YORK MELLON, </w:t>
            </w:r>
          </w:p>
        </w:tc>
      </w:tr>
      <w:tr>
        <w:trPr/>
        <w:tc>
          <w:tcPr>
            <w:tcW w:w="255" w:type="dxa"/>
            <w:tcBorders/>
            <w:shd w:fill="auto" w:val="clear"/>
            <w:vAlign w:val="center"/>
          </w:tcPr>
          <w:p>
            <w:pPr>
              <w:pStyle w:val="TableContents"/>
              <w:spacing w:before="0" w:after="283"/>
              <w:ind w:left="0" w:right="0" w:firstLine="180"/>
              <w:rPr/>
            </w:pPr>
            <w:r>
              <w:rPr/>
              <w:t> </w:t>
            </w:r>
          </w:p>
        </w:tc>
        <w:tc>
          <w:tcPr>
            <w:tcW w:w="3289" w:type="dxa"/>
            <w:gridSpan w:val="2"/>
            <w:tcBorders/>
            <w:shd w:fill="auto" w:val="clear"/>
            <w:vAlign w:val="center"/>
          </w:tcPr>
          <w:p>
            <w:pPr>
              <w:pStyle w:val="TableContents"/>
              <w:spacing w:before="0" w:after="283"/>
              <w:rPr>
                <w:sz w:val="20"/>
              </w:rPr>
            </w:pPr>
            <w:r>
              <w:rPr>
                <w:sz w:val="20"/>
              </w:rPr>
              <w:t>as Trustee</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sz w:val="20"/>
              </w:rPr>
            </w:pPr>
            <w:r>
              <w:rPr>
                <w:sz w:val="20"/>
              </w:rPr>
              <w:t>By:</w:t>
            </w:r>
          </w:p>
        </w:tc>
        <w:tc>
          <w:tcPr>
            <w:tcW w:w="2801" w:type="dxa"/>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255" w:type="dxa"/>
            <w:tcBorders/>
            <w:shd w:fill="auto" w:val="clear"/>
            <w:vAlign w:val="center"/>
          </w:tcPr>
          <w:p>
            <w:pPr>
              <w:pStyle w:val="TableContents"/>
              <w:spacing w:before="0" w:after="283"/>
              <w:rPr/>
            </w:pPr>
            <w:r>
              <w:rPr/>
              <w:t> </w:t>
            </w:r>
          </w:p>
        </w:tc>
        <w:tc>
          <w:tcPr>
            <w:tcW w:w="488" w:type="dxa"/>
            <w:tcBorders/>
            <w:shd w:fill="auto" w:val="clear"/>
            <w:vAlign w:val="center"/>
          </w:tcPr>
          <w:p>
            <w:pPr>
              <w:pStyle w:val="TableContents"/>
              <w:spacing w:before="0" w:after="283"/>
              <w:rPr/>
            </w:pPr>
            <w:r>
              <w:rPr/>
              <w:t> </w:t>
            </w:r>
          </w:p>
        </w:tc>
        <w:tc>
          <w:tcPr>
            <w:tcW w:w="2801" w:type="dxa"/>
            <w:tcBorders/>
            <w:shd w:fill="auto" w:val="clear"/>
            <w:vAlign w:val="center"/>
          </w:tcPr>
          <w:p>
            <w:pPr>
              <w:pStyle w:val="TableContents"/>
              <w:spacing w:before="0" w:after="283"/>
              <w:rPr>
                <w:sz w:val="20"/>
              </w:rPr>
            </w:pPr>
            <w:r>
              <w:rPr>
                <w:sz w:val="20"/>
              </w:rPr>
              <w:t xml:space="preserve">Authorized Signatory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OF SECURITY)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Note due 2064</w:t>
      </w:r>
    </w:p>
    <w:p>
      <w:pPr>
        <w:pStyle w:val="TextBody"/>
        <w:spacing w:before="0" w:after="0"/>
        <w:ind w:left="0" w:right="0" w:hanging="0"/>
        <w:jc w:val="center"/>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91"/>
        <w:gridCol w:w="2060"/>
        <w:gridCol w:w="8088"/>
      </w:tblGrid>
      <w:tr>
        <w:trPr/>
        <w:tc>
          <w:tcPr>
            <w:tcW w:w="391"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pPr>
            <w:r>
              <w:rPr/>
              <w:t>1.</w:t>
            </w:r>
          </w:p>
        </w:tc>
        <w:tc>
          <w:tcPr>
            <w:tcW w:w="8088" w:type="dxa"/>
            <w:tcBorders/>
            <w:shd w:fill="auto" w:val="clear"/>
            <w:vAlign w:val="center"/>
          </w:tcPr>
          <w:p>
            <w:pPr>
              <w:pStyle w:val="TableContents"/>
              <w:spacing w:before="0" w:after="283"/>
              <w:rPr/>
            </w:pPr>
            <w:r>
              <w:rPr/>
              <w:t>Interest.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a Pennsylvania corporation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promises to pay interest on the principal amount of this Security at the rate per annum shown above. Cash interest on the Securities will accrue from the most recent date to which interest has been paid or, if no interest has been paid, from May 9, 2023. The Issuer will pay interest semi-annually in arrears on each Interest Payment Date, commencing November 15, 2023. Interest will be computed on the basis of a 360-day year of twelve 30-day months.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from time to time on demand at the rate borne by the Securities and on overdue installments of interest (without regard to any applicable grace periods) to the extent lawful.</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81"/>
        <w:gridCol w:w="954"/>
        <w:gridCol w:w="9404"/>
      </w:tblGrid>
      <w:tr>
        <w:trPr/>
        <w:tc>
          <w:tcPr>
            <w:tcW w:w="181"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pPr>
            <w:r>
              <w:rPr/>
              <w:t>2.</w:t>
            </w:r>
          </w:p>
        </w:tc>
        <w:tc>
          <w:tcPr>
            <w:tcW w:w="9404" w:type="dxa"/>
            <w:tcBorders/>
            <w:shd w:fill="auto" w:val="clear"/>
            <w:vAlign w:val="center"/>
          </w:tcPr>
          <w:p>
            <w:pPr>
              <w:pStyle w:val="TableContents"/>
              <w:spacing w:before="0" w:after="283"/>
              <w:rPr/>
            </w:pPr>
            <w:r>
              <w:rPr/>
              <w:t>Method of Payment.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collect principal payments. The Issuer shall pay principal and interest in money of the United States that at the time of payment is legal tender for payment of public and private debts (“</w:t>
      </w:r>
      <w:r>
        <w:rPr>
          <w:rFonts w:ascii="Times New Roman;Times;Serif" w:hAnsi="Times New Roman;Times;Serif"/>
          <w:b/>
          <w:i w:val="false"/>
          <w:caps w:val="false"/>
          <w:smallCaps w:val="false"/>
          <w:sz w:val="20"/>
        </w:rPr>
        <w:t>U.S. Legal Tender</w:t>
      </w:r>
      <w:r>
        <w:rPr>
          <w:rFonts w:ascii="Times New Roman;Times;Serif" w:hAnsi="Times New Roman;Times;Serif"/>
          <w:b w:val="false"/>
          <w:i w:val="false"/>
          <w:caps w:val="false"/>
          <w:smallCaps w:val="false"/>
          <w:sz w:val="20"/>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4"/>
        <w:gridCol w:w="1287"/>
        <w:gridCol w:w="9008"/>
      </w:tblGrid>
      <w:tr>
        <w:trPr/>
        <w:tc>
          <w:tcPr>
            <w:tcW w:w="24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pPr>
            <w:r>
              <w:rPr/>
              <w:t>3.</w:t>
            </w:r>
          </w:p>
        </w:tc>
        <w:tc>
          <w:tcPr>
            <w:tcW w:w="9008" w:type="dxa"/>
            <w:tcBorders/>
            <w:shd w:fill="auto" w:val="clear"/>
            <w:vAlign w:val="center"/>
          </w:tcPr>
          <w:p>
            <w:pPr>
              <w:pStyle w:val="TableContents"/>
              <w:spacing w:before="0" w:after="283"/>
              <w:rPr/>
            </w:pPr>
            <w:r>
              <w:rPr/>
              <w:t>Paying Agent.</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Trustee will act as Paying Agent. The Issuer may change any Paying Agent without notice to the Holders.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4"/>
        <w:gridCol w:w="1710"/>
        <w:gridCol w:w="8505"/>
      </w:tblGrid>
      <w:tr>
        <w:trPr/>
        <w:tc>
          <w:tcPr>
            <w:tcW w:w="32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pPr>
            <w:r>
              <w:rPr/>
              <w:t>4.</w:t>
            </w:r>
          </w:p>
        </w:tc>
        <w:tc>
          <w:tcPr>
            <w:tcW w:w="8505" w:type="dxa"/>
            <w:tcBorders/>
            <w:shd w:fill="auto" w:val="clear"/>
            <w:vAlign w:val="center"/>
          </w:tcPr>
          <w:p>
            <w:pPr>
              <w:pStyle w:val="TableContents"/>
              <w:spacing w:before="0" w:after="283"/>
              <w:rPr/>
            </w:pPr>
            <w:r>
              <w:rPr/>
              <w:t>Indenture.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Trustee, and as further amended by the Second Supplemental Indenture dated as of July 29, 2022, by and among the Issuer, the Guarantors and the Trustee (as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Times;Serif" w:hAnsi="Times New Roman;Times;Serif"/>
          <w:b/>
          <w:i w:val="false"/>
          <w:caps w:val="false"/>
          <w:smallCaps w:val="false"/>
          <w:sz w:val="20"/>
        </w:rPr>
        <w:t>TIA</w:t>
      </w:r>
      <w:r>
        <w:rPr>
          <w:rFonts w:ascii="Times New Roman;Times;Serif" w:hAnsi="Times New Roman;Times;Serif"/>
          <w:b w:val="false"/>
          <w:i w:val="false"/>
          <w:caps w:val="false"/>
          <w:smallCaps w:val="false"/>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and the notes are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under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6"/>
        <w:gridCol w:w="1508"/>
        <w:gridCol w:w="8745"/>
      </w:tblGrid>
      <w:tr>
        <w:trPr/>
        <w:tc>
          <w:tcPr>
            <w:tcW w:w="286"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pPr>
            <w:r>
              <w:rPr/>
              <w:t>5.</w:t>
            </w:r>
          </w:p>
        </w:tc>
        <w:tc>
          <w:tcPr>
            <w:tcW w:w="8745" w:type="dxa"/>
            <w:tcBorders/>
            <w:shd w:fill="auto" w:val="clear"/>
            <w:vAlign w:val="center"/>
          </w:tcPr>
          <w:p>
            <w:pPr>
              <w:pStyle w:val="TableContents"/>
              <w:spacing w:before="0" w:after="283"/>
              <w:rPr/>
            </w:pPr>
            <w:r>
              <w:rPr/>
              <w:t>Guarantees.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562"/>
        <w:gridCol w:w="9871"/>
      </w:tblGrid>
      <w:tr>
        <w:trPr/>
        <w:tc>
          <w:tcPr>
            <w:tcW w:w="1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pPr>
            <w:r>
              <w:rPr/>
              <w:t>6.</w:t>
            </w:r>
          </w:p>
        </w:tc>
        <w:tc>
          <w:tcPr>
            <w:tcW w:w="9871" w:type="dxa"/>
            <w:tcBorders/>
            <w:shd w:fill="auto" w:val="clear"/>
            <w:vAlign w:val="center"/>
          </w:tcPr>
          <w:p>
            <w:pPr>
              <w:pStyle w:val="TableContents"/>
              <w:spacing w:before="0" w:after="283"/>
              <w:rPr/>
            </w:pPr>
            <w:r>
              <w:rPr/>
              <w:t>Denominations; Transfer; Exchange.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6"/>
        <w:gridCol w:w="771"/>
        <w:gridCol w:w="9622"/>
      </w:tblGrid>
      <w:tr>
        <w:trPr/>
        <w:tc>
          <w:tcPr>
            <w:tcW w:w="14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pPr>
            <w:r>
              <w:rPr/>
              <w:t>7.</w:t>
            </w:r>
          </w:p>
        </w:tc>
        <w:tc>
          <w:tcPr>
            <w:tcW w:w="9622" w:type="dxa"/>
            <w:tcBorders/>
            <w:shd w:fill="auto" w:val="clear"/>
            <w:vAlign w:val="center"/>
          </w:tcPr>
          <w:p>
            <w:pPr>
              <w:pStyle w:val="TableContents"/>
              <w:spacing w:before="0" w:after="283"/>
              <w:rPr/>
            </w:pPr>
            <w:r>
              <w:rPr/>
              <w:t>Persons Deemed Owners.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Security shall be treated as the owner of it for all purposes.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8"/>
        <w:gridCol w:w="1048"/>
        <w:gridCol w:w="9293"/>
      </w:tblGrid>
      <w:tr>
        <w:trPr/>
        <w:tc>
          <w:tcPr>
            <w:tcW w:w="19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pPr>
            <w:r>
              <w:rPr/>
              <w:t>8.</w:t>
            </w:r>
          </w:p>
        </w:tc>
        <w:tc>
          <w:tcPr>
            <w:tcW w:w="9293" w:type="dxa"/>
            <w:tcBorders/>
            <w:shd w:fill="auto" w:val="clear"/>
            <w:vAlign w:val="center"/>
          </w:tcPr>
          <w:p>
            <w:pPr>
              <w:pStyle w:val="TableContents"/>
              <w:spacing w:before="0" w:after="283"/>
              <w:rPr/>
            </w:pPr>
            <w:r>
              <w:rPr/>
              <w:t>Unclaimed Funds.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funds for the payment of principal or interest remain unclaimed for two years, the Trustee and the Paying Agent will repay the funds to the Issuer at its written request.</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that, all liability of the Trustee and such Paying Agent with respect to such funds shall cease.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7"/>
        <w:gridCol w:w="462"/>
        <w:gridCol w:w="9990"/>
      </w:tblGrid>
      <w:tr>
        <w:trPr/>
        <w:tc>
          <w:tcPr>
            <w:tcW w:w="8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pPr>
            <w:r>
              <w:rPr/>
              <w:t>9.</w:t>
            </w:r>
          </w:p>
        </w:tc>
        <w:tc>
          <w:tcPr>
            <w:tcW w:w="9990" w:type="dxa"/>
            <w:tcBorders/>
            <w:shd w:fill="auto" w:val="clear"/>
            <w:vAlign w:val="center"/>
          </w:tcPr>
          <w:p>
            <w:pPr>
              <w:pStyle w:val="TableContents"/>
              <w:spacing w:before="0" w:after="283"/>
              <w:rPr/>
            </w:pPr>
            <w:r>
              <w:rPr/>
              <w:t>Legal Defeasance and Covenant Defeasance.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10.</w:t>
            </w:r>
          </w:p>
        </w:tc>
        <w:tc>
          <w:tcPr>
            <w:tcW w:w="9514" w:type="dxa"/>
            <w:tcBorders/>
            <w:shd w:fill="auto" w:val="clear"/>
            <w:vAlign w:val="center"/>
          </w:tcPr>
          <w:p>
            <w:pPr>
              <w:pStyle w:val="TableContents"/>
              <w:spacing w:before="0" w:after="283"/>
              <w:rPr/>
            </w:pPr>
            <w:r>
              <w:rPr/>
              <w:t>Amendment; Supplement; Waiver.</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8"/>
        <w:gridCol w:w="1337"/>
        <w:gridCol w:w="9044"/>
      </w:tblGrid>
      <w:tr>
        <w:trPr/>
        <w:tc>
          <w:tcPr>
            <w:tcW w:w="158"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pPr>
            <w:r>
              <w:rPr/>
              <w:t>11.</w:t>
            </w:r>
          </w:p>
        </w:tc>
        <w:tc>
          <w:tcPr>
            <w:tcW w:w="9044" w:type="dxa"/>
            <w:tcBorders/>
            <w:shd w:fill="auto" w:val="clear"/>
            <w:vAlign w:val="center"/>
          </w:tcPr>
          <w:p>
            <w:pPr>
              <w:pStyle w:val="TableContents"/>
              <w:spacing w:before="0" w:after="283"/>
              <w:rPr/>
            </w:pPr>
            <w:r>
              <w:rPr/>
              <w:t>Restrictive Covenants.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8"/>
        <w:gridCol w:w="2098"/>
        <w:gridCol w:w="8193"/>
      </w:tblGrid>
      <w:tr>
        <w:trPr/>
        <w:tc>
          <w:tcPr>
            <w:tcW w:w="248"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pPr>
            <w:r>
              <w:rPr/>
              <w:t>12.</w:t>
            </w:r>
          </w:p>
        </w:tc>
        <w:tc>
          <w:tcPr>
            <w:tcW w:w="8193" w:type="dxa"/>
            <w:tcBorders/>
            <w:shd w:fill="auto" w:val="clear"/>
            <w:vAlign w:val="center"/>
          </w:tcPr>
          <w:p>
            <w:pPr>
              <w:pStyle w:val="TableContents"/>
              <w:spacing w:before="0" w:after="283"/>
              <w:rPr/>
            </w:pPr>
            <w:r>
              <w:rPr/>
              <w:t>Redemption.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November 15, 2063 (six (6) months prior to the maturity date of the Securities)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the Issuer may redeem the Securities at its option, in whole or in part, at any time and from time to time, at a redemption price (expressed as a percentage of the principal amount and rounded to three decimal places) equal to the greater of:</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30 basis points, less (b) interest accrued to the date of redemption, and</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val="false"/>
          <w:i w:val="false"/>
          <w:caps w:val="false"/>
          <w:smallCaps w:val="false"/>
          <w:sz w:val="20"/>
        </w:rPr>
        <w:t>Treasury Rate” means, with respect to any redemption date, the yield determined by the Issuer in accordance with the following two paragraphs.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Times;Serif" w:hAnsi="Times New Roman;Times;Serif"/>
          <w:b/>
          <w:i w:val="false"/>
          <w:caps w:val="false"/>
          <w:smallCaps w:val="false"/>
          <w:sz w:val="20"/>
        </w:rPr>
        <w:t>H.15</w:t>
      </w:r>
      <w:r>
        <w:rPr>
          <w:rFonts w:ascii="Times New Roman;Times;Serif" w:hAnsi="Times New Roman;Times;Serif"/>
          <w:b w:val="false"/>
          <w:i w:val="false"/>
          <w:caps w:val="false"/>
          <w:smallCaps w:val="false"/>
          <w:sz w:val="20"/>
        </w:rPr>
        <w:t>”) under the caption “U.S. government securities-Treasury constant maturities-Nominal” (or any successor caption or heading) (“</w:t>
      </w:r>
      <w:r>
        <w:rPr>
          <w:rFonts w:ascii="Times New Roman;Times;Serif" w:hAnsi="Times New Roman;Times;Serif"/>
          <w:b/>
          <w:i w:val="false"/>
          <w:caps w:val="false"/>
          <w:smallCaps w:val="false"/>
          <w:sz w:val="20"/>
        </w:rPr>
        <w:t>H.15 TCM</w:t>
      </w:r>
      <w:r>
        <w:rPr>
          <w:rFonts w:ascii="Times New Roman;Times;Serif" w:hAnsi="Times New Roman;Times;Serif"/>
          <w:b w:val="false"/>
          <w:i w:val="false"/>
          <w:caps w:val="false"/>
          <w:smallCaps w:val="false"/>
          <w:sz w:val="20"/>
        </w:rPr>
        <w:t>”). In determining the Treasury Rate, the Issuer shall select, as applicable: (1) the yield for the Treasury constant maturity on H.15 exactly equal to the period from the redemption date to the Par Call Date (the “</w:t>
      </w:r>
      <w:r>
        <w:rPr>
          <w:rFonts w:ascii="Times New Roman;Times;Serif" w:hAnsi="Times New Roman;Times;Serif"/>
          <w:b/>
          <w:i w:val="false"/>
          <w:caps w:val="false"/>
          <w:smallCaps w:val="false"/>
          <w:sz w:val="20"/>
        </w:rPr>
        <w:t>Remaining Life</w:t>
      </w:r>
      <w:r>
        <w:rPr>
          <w:rFonts w:ascii="Times New Roman;Times;Serif" w:hAnsi="Times New Roman;Times;Serif"/>
          <w:b w:val="false"/>
          <w:i w:val="false"/>
          <w:caps w:val="false"/>
          <w:smallCaps w:val="false"/>
          <w:sz w:val="20"/>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actions and determinations in determining the redemption price shall be conclusive and binding for all purposes, absent manifest error.</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Issuer defaults in payment of the redemption price, on and after the redemption date, interest will cease to accrue on the Securities or portions thereof called for redemption.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51"/>
        <w:gridCol w:w="1276"/>
        <w:gridCol w:w="9112"/>
      </w:tblGrid>
      <w:tr>
        <w:trPr/>
        <w:tc>
          <w:tcPr>
            <w:tcW w:w="15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13.</w:t>
            </w:r>
          </w:p>
        </w:tc>
        <w:tc>
          <w:tcPr>
            <w:tcW w:w="9112" w:type="dxa"/>
            <w:tcBorders/>
            <w:shd w:fill="auto" w:val="clear"/>
            <w:vAlign w:val="center"/>
          </w:tcPr>
          <w:p>
            <w:pPr>
              <w:pStyle w:val="TableContents"/>
              <w:spacing w:before="0" w:after="283"/>
              <w:rPr/>
            </w:pPr>
            <w:r>
              <w:rPr/>
              <w:t>Defaults and Remedies.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6"/>
        <w:gridCol w:w="1070"/>
        <w:gridCol w:w="9343"/>
      </w:tblGrid>
      <w:tr>
        <w:trPr/>
        <w:tc>
          <w:tcPr>
            <w:tcW w:w="126"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pPr>
            <w:r>
              <w:rPr/>
              <w:t>14.</w:t>
            </w:r>
          </w:p>
        </w:tc>
        <w:tc>
          <w:tcPr>
            <w:tcW w:w="9343" w:type="dxa"/>
            <w:tcBorders/>
            <w:shd w:fill="auto" w:val="clear"/>
            <w:vAlign w:val="center"/>
          </w:tcPr>
          <w:p>
            <w:pPr>
              <w:pStyle w:val="TableContents"/>
              <w:spacing w:before="0" w:after="283"/>
              <w:rPr/>
            </w:pPr>
            <w:r>
              <w:rPr/>
              <w:t>Trustee Dealings with Issuer.</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spacing w:before="0" w:after="0"/>
        <w:ind w:left="0" w:right="0" w:hanging="0"/>
        <w:rPr/>
      </w:pPr>
      <w:r>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Securities and may otherwise deal with the Issuer as if it were not the Trustee.</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5"/>
        <w:gridCol w:w="1060"/>
        <w:gridCol w:w="9354"/>
      </w:tblGrid>
      <w:tr>
        <w:trPr/>
        <w:tc>
          <w:tcPr>
            <w:tcW w:w="1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pPr>
            <w:r>
              <w:rPr/>
              <w:t>15.</w:t>
            </w:r>
          </w:p>
        </w:tc>
        <w:tc>
          <w:tcPr>
            <w:tcW w:w="9354" w:type="dxa"/>
            <w:tcBorders/>
            <w:shd w:fill="auto" w:val="clear"/>
            <w:vAlign w:val="center"/>
          </w:tcPr>
          <w:p>
            <w:pPr>
              <w:pStyle w:val="TableContents"/>
              <w:spacing w:before="0" w:after="283"/>
              <w:rPr/>
            </w:pPr>
            <w:r>
              <w:rPr/>
              <w:t>No Recourse Against Others.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6"/>
        <w:gridCol w:w="1825"/>
        <w:gridCol w:w="8498"/>
      </w:tblGrid>
      <w:tr>
        <w:trPr/>
        <w:tc>
          <w:tcPr>
            <w:tcW w:w="216"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pPr>
            <w:r>
              <w:rPr/>
              <w:t>16.</w:t>
            </w:r>
          </w:p>
        </w:tc>
        <w:tc>
          <w:tcPr>
            <w:tcW w:w="8498" w:type="dxa"/>
            <w:tcBorders/>
            <w:shd w:fill="auto" w:val="clear"/>
            <w:vAlign w:val="center"/>
          </w:tcPr>
          <w:p>
            <w:pPr>
              <w:pStyle w:val="TableContents"/>
              <w:spacing w:before="0" w:after="283"/>
              <w:rPr/>
            </w:pPr>
            <w:r>
              <w:rPr/>
              <w:t>Authentication.</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not be valid until the Trustee manually signs the certificate of authentication on this Security.</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7"/>
        <w:gridCol w:w="9514"/>
      </w:tblGrid>
      <w:tr>
        <w:trPr/>
        <w:tc>
          <w:tcPr>
            <w:tcW w:w="10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pPr>
            <w:r>
              <w:rPr/>
              <w:t>17.</w:t>
            </w:r>
          </w:p>
        </w:tc>
        <w:tc>
          <w:tcPr>
            <w:tcW w:w="9514" w:type="dxa"/>
            <w:tcBorders/>
            <w:shd w:fill="auto" w:val="clear"/>
            <w:vAlign w:val="center"/>
          </w:tcPr>
          <w:p>
            <w:pPr>
              <w:pStyle w:val="TableContents"/>
              <w:spacing w:before="0" w:after="283"/>
              <w:rPr/>
            </w:pPr>
            <w:r>
              <w:rPr/>
              <w:t>Abbreviations and Defined Terms.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3"/>
        <w:gridCol w:w="1626"/>
        <w:gridCol w:w="8720"/>
      </w:tblGrid>
      <w:tr>
        <w:trPr/>
        <w:tc>
          <w:tcPr>
            <w:tcW w:w="193"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pPr>
            <w:r>
              <w:rPr/>
              <w:t>18.</w:t>
            </w:r>
          </w:p>
        </w:tc>
        <w:tc>
          <w:tcPr>
            <w:tcW w:w="8720" w:type="dxa"/>
            <w:tcBorders/>
            <w:shd w:fill="auto" w:val="clear"/>
            <w:vAlign w:val="center"/>
          </w:tcPr>
          <w:p>
            <w:pPr>
              <w:pStyle w:val="TableContents"/>
              <w:spacing w:before="0" w:after="283"/>
              <w:rPr/>
            </w:pPr>
            <w:r>
              <w:rPr/>
              <w:t>CUSIP Numbers.</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pStyle w:val="TextBody"/>
        <w:spacing w:before="0" w:after="0"/>
        <w:ind w:left="0" w:right="0" w:firstLine="72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3"/>
        <w:gridCol w:w="1714"/>
        <w:gridCol w:w="8622"/>
      </w:tblGrid>
      <w:tr>
        <w:trPr/>
        <w:tc>
          <w:tcPr>
            <w:tcW w:w="20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pPr>
            <w:r>
              <w:rPr/>
              <w:t>19.</w:t>
            </w:r>
          </w:p>
        </w:tc>
        <w:tc>
          <w:tcPr>
            <w:tcW w:w="8622" w:type="dxa"/>
            <w:tcBorders/>
            <w:shd w:fill="auto" w:val="clear"/>
            <w:vAlign w:val="center"/>
          </w:tcPr>
          <w:p>
            <w:pPr>
              <w:pStyle w:val="TableContents"/>
              <w:spacing w:before="0" w:after="283"/>
              <w:rPr/>
            </w:pPr>
            <w:r>
              <w:rPr/>
              <w:t>Governing Law.</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State of New York shall govern the Indenture and this Security thereof.</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spacing w:before="0" w:after="0"/>
        <w:ind w:left="0" w:right="0" w:hanging="0"/>
        <w:rPr/>
      </w:pPr>
      <w:r>
        <w:rPr/>
        <w:t> </w:t>
      </w:r>
    </w:p>
    <w:p>
      <w:pPr>
        <w:pStyle w:val="TextBody"/>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spacing w:before="0" w:after="0"/>
        <w:ind w:left="0" w:right="0" w:hanging="0"/>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name, address and zip code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20" w:after="20"/>
        <w:rPr>
          <w:bdr w:val="single" w:sz="4" w:space="1" w:color="000000"/>
        </w:rPr>
      </w:pPr>
      <w:r>
        <w:rPr>
          <w:bdr w:val="single" w:sz="4"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Social Security or other identifying number of assignee or transferee)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appoint_________________________________________ agent to transfer this Security on the books of the Issuer. The agent may substitute another to act for him.</w:t>
      </w:r>
    </w:p>
    <w:p>
      <w:pPr>
        <w:pStyle w:val="TextBody"/>
        <w:spacing w:before="0" w:after="0"/>
        <w:ind w:left="0" w:right="0" w:hanging="0"/>
        <w:rPr>
          <w:caps w:val="false"/>
          <w:smallCaps w:val="false"/>
        </w:rPr>
      </w:pPr>
      <w:r>
        <w:rPr>
          <w:caps w:val="false"/>
          <w:smallCaps w:val="false"/>
        </w:rPr>
        <w:t> </w:t>
      </w:r>
    </w:p>
    <w:tbl>
      <w:tblPr>
        <w:tblW w:w="7700" w:type="dxa"/>
        <w:jc w:val="left"/>
        <w:tblInd w:w="0" w:type="dxa"/>
        <w:tblCellMar>
          <w:top w:w="0" w:type="dxa"/>
          <w:left w:w="0" w:type="dxa"/>
          <w:bottom w:w="0" w:type="dxa"/>
          <w:right w:w="0" w:type="dxa"/>
        </w:tblCellMar>
      </w:tblPr>
      <w:tblGrid>
        <w:gridCol w:w="665"/>
        <w:gridCol w:w="2780"/>
        <w:gridCol w:w="740"/>
        <w:gridCol w:w="3515"/>
      </w:tblGrid>
      <w:tr>
        <w:trPr/>
        <w:tc>
          <w:tcPr>
            <w:tcW w:w="665" w:type="dxa"/>
            <w:tcBorders/>
            <w:shd w:fill="auto" w:val="clear"/>
            <w:vAlign w:val="center"/>
          </w:tcPr>
          <w:p>
            <w:pPr>
              <w:pStyle w:val="TableContents"/>
              <w:spacing w:before="0" w:after="283"/>
              <w:rPr/>
            </w:pPr>
            <w:r>
              <w:rPr/>
              <w:t>Dated:</w:t>
            </w:r>
          </w:p>
        </w:tc>
        <w:tc>
          <w:tcPr>
            <w:tcW w:w="2780" w:type="dxa"/>
            <w:tcBorders/>
            <w:shd w:fill="auto" w:val="clear"/>
            <w:vAlign w:val="center"/>
          </w:tcPr>
          <w:p>
            <w:pPr>
              <w:pStyle w:val="TableContents"/>
              <w:spacing w:before="0" w:after="283"/>
              <w:rPr/>
            </w:pPr>
            <w:r>
              <w:rPr/>
              <w:t>_______________________</w:t>
            </w:r>
          </w:p>
        </w:tc>
        <w:tc>
          <w:tcPr>
            <w:tcW w:w="740" w:type="dxa"/>
            <w:tcBorders/>
            <w:shd w:fill="auto" w:val="clear"/>
            <w:vAlign w:val="center"/>
          </w:tcPr>
          <w:p>
            <w:pPr>
              <w:pStyle w:val="TableContents"/>
              <w:spacing w:before="0" w:after="283"/>
              <w:rPr/>
            </w:pPr>
            <w:r>
              <w:rPr/>
              <w:t>Signed:</w:t>
            </w:r>
          </w:p>
        </w:tc>
        <w:tc>
          <w:tcPr>
            <w:tcW w:w="3515" w:type="dxa"/>
            <w:tcBorders/>
            <w:shd w:fill="auto" w:val="clear"/>
            <w:vAlign w:val="center"/>
          </w:tcPr>
          <w:p>
            <w:pPr>
              <w:pStyle w:val="TableContents"/>
              <w:spacing w:before="0" w:after="283"/>
              <w:rPr/>
            </w:pPr>
            <w:r>
              <w:rPr/>
              <w:t>_____________________________</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(Signed exactly as name appears</w:t>
            </w:r>
          </w:p>
        </w:tc>
      </w:tr>
      <w:tr>
        <w:trPr/>
        <w:tc>
          <w:tcPr>
            <w:tcW w:w="3445" w:type="dxa"/>
            <w:gridSpan w:val="2"/>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rPr/>
            </w:pPr>
            <w:r>
              <w:rPr/>
              <w:t> </w:t>
            </w:r>
          </w:p>
        </w:tc>
        <w:tc>
          <w:tcPr>
            <w:tcW w:w="3515" w:type="dxa"/>
            <w:tcBorders/>
            <w:shd w:fill="auto" w:val="clear"/>
            <w:vAlign w:val="center"/>
          </w:tcPr>
          <w:p>
            <w:pPr>
              <w:pStyle w:val="TableContents"/>
              <w:spacing w:before="0" w:after="283"/>
              <w:rPr/>
            </w:pPr>
            <w:r>
              <w:rPr/>
              <w:t>on the other side of this Security)</w:t>
            </w:r>
          </w:p>
        </w:tc>
      </w:tr>
    </w:tbl>
    <w:p>
      <w:pPr>
        <w:pStyle w:val="TextBody"/>
        <w:spacing w:before="0" w:after="0"/>
        <w:ind w:left="0" w:right="0" w:hanging="0"/>
        <w:rPr>
          <w:caps w:val="false"/>
          <w:smallCaps w:val="false"/>
        </w:rPr>
      </w:pPr>
      <w:r>
        <w:rPr>
          <w:caps w:val="false"/>
          <w:smallCaps w:val="false"/>
        </w:rPr>
        <w:t>  </w:t>
      </w:r>
    </w:p>
    <w:tbl>
      <w:tblPr>
        <w:tblW w:w="6985" w:type="dxa"/>
        <w:jc w:val="left"/>
        <w:tblInd w:w="0" w:type="dxa"/>
        <w:tblCellMar>
          <w:top w:w="0" w:type="dxa"/>
          <w:left w:w="0" w:type="dxa"/>
          <w:bottom w:w="0" w:type="dxa"/>
          <w:right w:w="0" w:type="dxa"/>
        </w:tblCellMar>
      </w:tblPr>
      <w:tblGrid>
        <w:gridCol w:w="2030"/>
        <w:gridCol w:w="4955"/>
      </w:tblGrid>
      <w:tr>
        <w:trPr/>
        <w:tc>
          <w:tcPr>
            <w:tcW w:w="2030" w:type="dxa"/>
            <w:tcBorders/>
            <w:shd w:fill="auto" w:val="clear"/>
            <w:vAlign w:val="center"/>
          </w:tcPr>
          <w:p>
            <w:pPr>
              <w:pStyle w:val="TableContents"/>
              <w:spacing w:before="0" w:after="283"/>
              <w:rPr/>
            </w:pPr>
            <w:r>
              <w:rPr/>
              <w:t>Signature Guarantee:</w:t>
            </w:r>
          </w:p>
        </w:tc>
        <w:tc>
          <w:tcPr>
            <w:tcW w:w="4955" w:type="dxa"/>
            <w:tcBorders/>
            <w:shd w:fill="auto" w:val="clear"/>
            <w:vAlign w:val="center"/>
          </w:tcPr>
          <w:p>
            <w:pPr>
              <w:pStyle w:val="TableContents"/>
              <w:spacing w:before="0" w:after="283"/>
              <w:rPr/>
            </w:pPr>
            <w:r>
              <w:rPr/>
              <w:t>_________________________________________</w:t>
            </w:r>
          </w:p>
        </w:tc>
      </w:tr>
      <w:tr>
        <w:trPr/>
        <w:tc>
          <w:tcPr>
            <w:tcW w:w="2030" w:type="dxa"/>
            <w:tcBorders/>
            <w:shd w:fill="auto" w:val="clear"/>
            <w:vAlign w:val="center"/>
          </w:tcPr>
          <w:p>
            <w:pPr>
              <w:pStyle w:val="TableContents"/>
              <w:spacing w:before="0" w:after="283"/>
              <w:rPr/>
            </w:pPr>
            <w:r>
              <w:rPr/>
              <w:t> </w:t>
            </w:r>
          </w:p>
        </w:tc>
        <w:tc>
          <w:tcPr>
            <w:tcW w:w="4955" w:type="dxa"/>
            <w:tcBorders/>
            <w:shd w:fill="auto" w:val="clear"/>
            <w:vAlign w:val="center"/>
          </w:tcPr>
          <w:p>
            <w:pPr>
              <w:pStyle w:val="TableContents"/>
              <w:rPr/>
            </w:pPr>
            <w:r>
              <w:rPr/>
              <w:t>Participant in a recognized Signature Guarantee</w:t>
            </w:r>
          </w:p>
          <w:p>
            <w:pPr>
              <w:pStyle w:val="TableContents"/>
              <w:rPr/>
            </w:pPr>
            <w:r>
              <w:rPr/>
              <w:t>Medallion Program (or other signature guarantor</w:t>
            </w:r>
          </w:p>
          <w:p>
            <w:pPr>
              <w:pStyle w:val="TableContents"/>
              <w:spacing w:before="0" w:after="283"/>
              <w:rPr/>
            </w:pPr>
            <w:r>
              <w:rPr/>
              <w:t>program reasonably acceptable to the Trustee)</w:t>
            </w:r>
          </w:p>
        </w:tc>
      </w:tr>
    </w:tbl>
    <w:p>
      <w:pPr>
        <w:pStyle w:val="TextBody"/>
        <w:rPr/>
      </w:pPr>
      <w:r>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r>
        <w:br w:type="page"/>
      </w:r>
    </w:p>
    <w:p>
      <w:pPr>
        <w:pStyle w:val="TextBody"/>
        <w:rPr/>
      </w:pPr>
      <w:bookmarkStart w:id="51" w:name="dp193525_ex0501.htm"/>
      <w:bookmarkStart w:id="52" w:name="ksdp193525_ex0501"/>
      <w:bookmarkEnd w:id="51"/>
      <w:bookmarkEnd w:id="52"/>
      <w:r>
        <w:rPr/>
        <w:t> </w:t>
      </w:r>
    </w:p>
    <w:p>
      <w:pPr>
        <w:pStyle w:val="TextBody"/>
        <w:spacing w:before="0" w:after="0"/>
        <w:ind w:left="0" w:right="0" w:hanging="0"/>
        <w:jc w:val="righ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Exhibit 5.1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70497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866775"/>
                    </a:xfrm>
                    <a:prstGeom prst="rect">
                      <a:avLst/>
                    </a:prstGeom>
                  </pic:spPr>
                </pic:pic>
              </a:graphicData>
            </a:graphic>
          </wp:inline>
        </w:drawing>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3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2023</w:t>
      </w:r>
    </w:p>
    <w:p>
      <w:pPr>
        <w:pStyle w:val="TextBody"/>
        <w:spacing w:before="0" w:after="0"/>
        <w:ind w:left="0" w:right="0" w:firstLine="4320"/>
        <w:jc w:val="righ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Comcast Center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 19103-2838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Senior Vice President, Senior Deputy General Counsel and Assistant Secretary of Comcast Corporation, a Pennsylvania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have acted for the Company in connection with the issuance by the Company, pursuant to the Underwriting Agreement dated May 1, 2023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among the Company, the Guarantors (as defined below) and the several underwriters named therein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of $1,000,000,000 aggregate principal amount of its 4.550% Notes due 2029, $1,000,000,000 aggregate principal amount of its 4.800% Notes due 2033, $1,600,000,000 aggregate principal amount of its 5.350% Notes due 2053 and $1,400,000,000 aggregate principal amount of its 5.500% Notes due 2064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The Notes are to be issued pursuant to the provisions of the Indenture dated as of September 18, 2013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as amended by the First Supplemental Indenture thereto dated as of November 17, 2015 (the “</w:t>
      </w:r>
      <w:r>
        <w:rPr>
          <w:rFonts w:ascii="Times New Roman;Times;Serif" w:hAnsi="Times New Roman;Times;Serif"/>
          <w:b/>
          <w:i w:val="false"/>
          <w:caps w:val="false"/>
          <w:smallCaps w:val="false"/>
          <w:sz w:val="20"/>
        </w:rPr>
        <w:t>First Supplemental Indenture</w:t>
      </w:r>
      <w:r>
        <w:rPr>
          <w:rFonts w:ascii="Times New Roman;Times;Serif" w:hAnsi="Times New Roman;Times;Serif"/>
          <w:b w:val="false"/>
          <w:i w:val="false"/>
          <w:caps w:val="false"/>
          <w:smallCaps w:val="false"/>
          <w:sz w:val="20"/>
        </w:rPr>
        <w:t>”) and the Second Supplemental Indenture dated as of July 29, 2022 (the “</w:t>
      </w:r>
      <w:r>
        <w:rPr>
          <w:rFonts w:ascii="Times New Roman;Times;Serif" w:hAnsi="Times New Roman;Times;Serif"/>
          <w:b/>
          <w:i w:val="false"/>
          <w:caps w:val="false"/>
          <w:smallCaps w:val="false"/>
          <w:sz w:val="20"/>
        </w:rPr>
        <w:t>Second Supplemental Indenture</w:t>
      </w:r>
      <w:r>
        <w:rPr>
          <w:rFonts w:ascii="Times New Roman;Times;Serif" w:hAnsi="Times New Roman;Times;Serif"/>
          <w:b w:val="false"/>
          <w:i w:val="false"/>
          <w:caps w:val="false"/>
          <w:smallCaps w:val="false"/>
          <w:sz w:val="20"/>
        </w:rPr>
        <w:t>” and, together with the Base Indenture and the First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each by and among the Company, the guarantors named therein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The Bank of New York Mellon,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The Notes are to be guaranteed on an unsecured and unsubordinated basis by the Guarantors.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I am of the opinion that: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Indenture has been duly authorized, executed and delivered by the Company.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Notes have been duly authorized by the Company.</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tbl>
      <w:tblPr>
        <w:tblW w:w="3310" w:type="dxa"/>
        <w:jc w:val="left"/>
        <w:tblInd w:w="0" w:type="dxa"/>
        <w:tblCellMar>
          <w:top w:w="0" w:type="dxa"/>
          <w:left w:w="0" w:type="dxa"/>
          <w:bottom w:w="0" w:type="dxa"/>
          <w:right w:w="0" w:type="dxa"/>
        </w:tblCellMar>
      </w:tblPr>
      <w:tblGrid>
        <w:gridCol w:w="2060"/>
        <w:gridCol w:w="1250"/>
      </w:tblGrid>
      <w:tr>
        <w:trPr/>
        <w:tc>
          <w:tcPr>
            <w:tcW w:w="2060" w:type="dxa"/>
            <w:tcBorders/>
            <w:shd w:fill="auto" w:val="clear"/>
            <w:vAlign w:val="center"/>
          </w:tcPr>
          <w:p>
            <w:pPr>
              <w:pStyle w:val="TableContents"/>
              <w:spacing w:before="0" w:after="283"/>
              <w:rPr/>
            </w:pPr>
            <w:r>
              <w:rPr/>
              <w:t>Comcast Corporation</w:t>
            </w:r>
          </w:p>
        </w:tc>
        <w:tc>
          <w:tcPr>
            <w:tcW w:w="1250" w:type="dxa"/>
            <w:tcBorders/>
            <w:shd w:fill="auto" w:val="clear"/>
            <w:vAlign w:val="center"/>
          </w:tcPr>
          <w:p>
            <w:pPr>
              <w:pStyle w:val="TableContents"/>
              <w:spacing w:before="0" w:after="283"/>
              <w:jc w:val="right"/>
              <w:rPr/>
            </w:pPr>
            <w:r>
              <w:rPr/>
              <w:t>May 9, 2023</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a member of the Bar of the Commonwealth of Pennsylvania and the foregoing opinion is limited to the laws of the Commonwealth of Pennsylvania and the federal laws of the United States of America.</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consent to the filing of this opinion as an exhibit to a report on Form 8-K filed by the Company on the date hereof and its incorporation by reference into the Company’s registration statement on Form S-3 filed on July 29, 2022, as amended as of the date of the Underwriting Agreement (File No. 333-266390). In addition, I consent to the reference to my name under the caption “Legal Matters” in the prospectus supplement, which is a part of the registration statement. In giving this consent, I do not admit that I am in the category of persons whose consent is required under Section 7 of the Securities Act of 1933, as amended.</w:t>
      </w:r>
    </w:p>
    <w:p>
      <w:pPr>
        <w:pStyle w:val="TextBody"/>
        <w:spacing w:before="0" w:after="0"/>
        <w:ind w:left="0" w:right="0" w:firstLine="720"/>
        <w:rPr>
          <w:caps w:val="false"/>
          <w:smallCaps w:val="false"/>
        </w:rPr>
      </w:pPr>
      <w:r>
        <w:rPr>
          <w:caps w:val="false"/>
          <w:smallCaps w:val="false"/>
        </w:rPr>
        <w:t> </w:t>
      </w:r>
    </w:p>
    <w:tbl>
      <w:tblPr>
        <w:tblW w:w="8595" w:type="dxa"/>
        <w:jc w:val="left"/>
        <w:tblInd w:w="0" w:type="dxa"/>
        <w:tblCellMar>
          <w:top w:w="0" w:type="dxa"/>
          <w:left w:w="0" w:type="dxa"/>
          <w:bottom w:w="0" w:type="dxa"/>
          <w:right w:w="0" w:type="dxa"/>
        </w:tblCellMar>
      </w:tblPr>
      <w:tblGrid>
        <w:gridCol w:w="75"/>
        <w:gridCol w:w="365"/>
        <w:gridCol w:w="650"/>
        <w:gridCol w:w="7505"/>
      </w:tblGrid>
      <w:tr>
        <w:trPr/>
        <w:tc>
          <w:tcPr>
            <w:tcW w:w="75"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pPr>
            <w:r>
              <w:rPr/>
              <w:t>Very truly yours,</w:t>
            </w:r>
          </w:p>
        </w:tc>
      </w:tr>
      <w:tr>
        <w:trPr/>
        <w:tc>
          <w:tcPr>
            <w:tcW w:w="75"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8520"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By:</w:t>
            </w:r>
          </w:p>
        </w:tc>
        <w:tc>
          <w:tcPr>
            <w:tcW w:w="8155" w:type="dxa"/>
            <w:gridSpan w:val="2"/>
            <w:tcBorders>
              <w:bottom w:val="single" w:sz="8" w:space="0" w:color="000000"/>
            </w:tcBorders>
            <w:shd w:fill="auto" w:val="clear"/>
            <w:tcMar>
              <w:bottom w:w="28" w:type="dxa"/>
            </w:tcMar>
            <w:vAlign w:val="center"/>
          </w:tcPr>
          <w:p>
            <w:pPr>
              <w:pStyle w:val="TableContents"/>
              <w:spacing w:before="0" w:after="283"/>
              <w:rPr/>
            </w:pPr>
            <w:r>
              <w:rPr/>
              <w:t>/s/ Elizabeth Wideman</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7505" w:type="dxa"/>
            <w:tcBorders/>
            <w:shd w:fill="auto" w:val="clear"/>
            <w:vAlign w:val="center"/>
          </w:tcPr>
          <w:p>
            <w:pPr>
              <w:pStyle w:val="TableContents"/>
              <w:spacing w:before="0" w:after="283"/>
              <w:rPr/>
            </w:pPr>
            <w:r>
              <w:rPr/>
              <w:t>Elizabeth Wideman</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7505" w:type="dxa"/>
            <w:tcBorders/>
            <w:shd w:fill="auto" w:val="clear"/>
            <w:vAlign w:val="center"/>
          </w:tcPr>
          <w:p>
            <w:pPr>
              <w:pStyle w:val="TableContents"/>
              <w:spacing w:before="0" w:after="283"/>
              <w:rPr/>
            </w:pPr>
            <w:r>
              <w:rPr/>
              <w:t>Senior Vice President, Senior Deputy General Counsel and Assistant Secretary</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caps w:val="false"/>
          <w:smallCaps w:val="false"/>
          <w:bdr w:val="single" w:sz="8" w:space="1" w:color="000000"/>
        </w:rPr>
      </w:pPr>
      <w:r>
        <w:rPr>
          <w:caps w:val="false"/>
          <w:smallCaps w:val="false"/>
          <w:bdr w:val="single" w:sz="8" w:space="1" w:color="000000"/>
        </w:rPr>
        <w:t> </w:t>
      </w:r>
      <w:r>
        <w:br w:type="page"/>
      </w:r>
    </w:p>
    <w:p>
      <w:pPr>
        <w:pStyle w:val="Normal"/>
        <w:spacing w:before="0" w:after="0"/>
        <w:ind w:left="0" w:right="0" w:hanging="0"/>
        <w:rPr>
          <w:sz w:val="4"/>
          <w:szCs w:val="4"/>
        </w:rPr>
      </w:pPr>
      <w:r>
        <w:rPr>
          <w:sz w:val="4"/>
          <w:szCs w:val="4"/>
        </w:rPr>
      </w:r>
      <w:bookmarkStart w:id="53" w:name="dp193525_ex0502.htm"/>
      <w:bookmarkStart w:id="54" w:name="ksdp193525_ex0502"/>
      <w:bookmarkStart w:id="55" w:name="dp193525_ex0502.htm"/>
      <w:bookmarkStart w:id="56" w:name="ksdp193525_ex0502"/>
      <w:bookmarkEnd w:id="55"/>
      <w:bookmarkEnd w:id="56"/>
    </w:p>
    <w:tbl>
      <w:tblPr>
        <w:tblW w:w="1220" w:type="dxa"/>
        <w:jc w:val="left"/>
        <w:tblInd w:w="0" w:type="dxa"/>
        <w:tblCellMar>
          <w:top w:w="0" w:type="dxa"/>
          <w:left w:w="0" w:type="dxa"/>
          <w:bottom w:w="0" w:type="dxa"/>
          <w:right w:w="0" w:type="dxa"/>
        </w:tblCellMar>
      </w:tblPr>
      <w:tblGrid>
        <w:gridCol w:w="75"/>
        <w:gridCol w:w="1145"/>
      </w:tblGrid>
      <w:tr>
        <w:trPr/>
        <w:tc>
          <w:tcPr>
            <w:tcW w:w="75"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right"/>
              <w:rPr>
                <w:b/>
              </w:rPr>
            </w:pPr>
            <w:r>
              <w:rPr>
                <w:b/>
              </w:rPr>
              <w:t>Exhibit 5.2</w:t>
            </w:r>
          </w:p>
        </w:tc>
      </w:tr>
    </w:tbl>
    <w:p>
      <w:pPr>
        <w:pStyle w:val="TextBody"/>
        <w:rPr/>
      </w:pPr>
      <w:r>
        <w:rPr/>
        <w:t> </w:t>
      </w:r>
    </w:p>
    <w:p>
      <w:pPr>
        <w:pStyle w:val="TextBody"/>
        <w:rPr/>
      </w:pPr>
      <w:r>
        <w:rPr/>
        <w:t> </w:t>
      </w:r>
    </w:p>
    <w:tbl>
      <w:tblPr>
        <w:tblW w:w="3545" w:type="dxa"/>
        <w:jc w:val="left"/>
        <w:tblInd w:w="0" w:type="dxa"/>
        <w:tblCellMar>
          <w:top w:w="0" w:type="dxa"/>
          <w:left w:w="0" w:type="dxa"/>
          <w:bottom w:w="0" w:type="dxa"/>
          <w:right w:w="0" w:type="dxa"/>
        </w:tblCellMar>
      </w:tblPr>
      <w:tblGrid>
        <w:gridCol w:w="1590"/>
        <w:gridCol w:w="1955"/>
      </w:tblGrid>
      <w:tr>
        <w:trPr/>
        <w:tc>
          <w:tcPr>
            <w:tcW w:w="1590" w:type="dxa"/>
            <w:tcBorders/>
            <w:shd w:fill="auto" w:val="clear"/>
            <w:vAlign w:val="center"/>
          </w:tcPr>
          <w:p>
            <w:pPr>
              <w:pStyle w:val="TableContents"/>
              <w:spacing w:before="0" w:after="283"/>
              <w:jc w:val="left"/>
              <w:rPr/>
            </w:pPr>
            <w:r>
              <w:rPr/>
              <w:drawing>
                <wp:inline distT="0" distB="0" distL="0" distR="0">
                  <wp:extent cx="1000125"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180975"/>
                          </a:xfrm>
                          <a:prstGeom prst="rect">
                            <a:avLst/>
                          </a:prstGeom>
                        </pic:spPr>
                      </pic:pic>
                    </a:graphicData>
                  </a:graphic>
                </wp:inline>
              </w:drawing>
            </w:r>
          </w:p>
        </w:tc>
        <w:tc>
          <w:tcPr>
            <w:tcW w:w="1955" w:type="dxa"/>
            <w:tcBorders/>
            <w:shd w:fill="auto" w:val="clear"/>
            <w:vAlign w:val="center"/>
          </w:tcPr>
          <w:p>
            <w:pPr>
              <w:pStyle w:val="TableContents"/>
              <w:spacing w:before="0" w:after="0"/>
              <w:ind w:left="0" w:right="0" w:hanging="0"/>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 xml:space="preserve">Davis Polk &amp; Wardwell </w:t>
            </w:r>
            <w:r>
              <w:rPr>
                <w:rFonts w:ascii="Arial;Helvetica;Sans-Serif" w:hAnsi="Arial;Helvetica;Sans-Serif"/>
                <w:b w:val="false"/>
                <w:i w:val="false"/>
                <w:smallCaps/>
                <w:color w:val="140BE3"/>
                <w:sz w:val="16"/>
              </w:rPr>
              <w:t>llp</w:t>
            </w:r>
          </w:p>
          <w:p>
            <w:pPr>
              <w:pStyle w:val="TableContents"/>
              <w:spacing w:before="0" w:after="0"/>
              <w:ind w:left="0" w:right="0" w:hanging="0"/>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450 Lexington Avenue</w:t>
              <w:br/>
              <w:t>New York, NY 10017</w:t>
            </w:r>
          </w:p>
          <w:p>
            <w:pPr>
              <w:pStyle w:val="TableContents"/>
              <w:spacing w:before="0" w:after="0"/>
              <w:ind w:left="0" w:right="0" w:hanging="0"/>
              <w:rPr>
                <w:rFonts w:ascii="Arial;Helvetica;Sans-Serif" w:hAnsi="Arial;Helvetica;Sans-Serif"/>
                <w:b w:val="false"/>
                <w:i w:val="false"/>
                <w:caps w:val="false"/>
                <w:smallCaps w:val="false"/>
                <w:color w:val="140BE3"/>
                <w:sz w:val="16"/>
              </w:rPr>
            </w:pPr>
            <w:r>
              <w:rPr>
                <w:rFonts w:ascii="Arial;Helvetica;Sans-Serif" w:hAnsi="Arial;Helvetica;Sans-Serif"/>
                <w:b w:val="false"/>
                <w:i w:val="false"/>
                <w:caps w:val="false"/>
                <w:smallCaps w:val="false"/>
                <w:color w:val="140BE3"/>
                <w:sz w:val="16"/>
              </w:rPr>
              <w:t>davispolk.com</w:t>
            </w:r>
          </w:p>
        </w:tc>
      </w:tr>
      <w:tr>
        <w:trPr/>
        <w:tc>
          <w:tcPr>
            <w:tcW w:w="1590" w:type="dxa"/>
            <w:tcBorders/>
            <w:shd w:fill="auto" w:val="clear"/>
            <w:vAlign w:val="center"/>
          </w:tcPr>
          <w:p>
            <w:pPr>
              <w:pStyle w:val="TableContents"/>
              <w:spacing w:before="0" w:after="283"/>
              <w:jc w:val="left"/>
              <w:rPr/>
            </w:pPr>
            <w:r>
              <w:rPr/>
              <w:t> </w:t>
            </w:r>
          </w:p>
        </w:tc>
        <w:tc>
          <w:tcPr>
            <w:tcW w:w="195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May 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Comcast Corporation</w:t>
        <w:br/>
        <w:t>One Comcast Center</w:t>
        <w:br/>
        <w:t>Philadelphia, Pennsylvania 19103-2838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Comcast Corporation, a Pennsylvania corporation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Comcast Cable Communications, LLC, a Delaware limited liability company, and NBCUniversal Media, LLC, a Delaware limited liability company (together with Comcast Cable Communications, LLC, the “</w:t>
      </w:r>
      <w:r>
        <w:rPr>
          <w:rFonts w:ascii="Arial;Helvetica;Sans-Serif" w:hAnsi="Arial;Helvetica;Sans-Serif"/>
          <w:b/>
          <w:i w:val="false"/>
          <w:caps w:val="false"/>
          <w:smallCaps w:val="false"/>
          <w:sz w:val="20"/>
        </w:rPr>
        <w:t>Guarantors</w:t>
      </w:r>
      <w:r>
        <w:rPr>
          <w:rFonts w:ascii="Arial;Helvetica;Sans-Serif" w:hAnsi="Arial;Helvetica;Sans-Serif"/>
          <w:b w:val="false"/>
          <w:i w:val="false"/>
          <w:caps w:val="false"/>
          <w:smallCaps w:val="false"/>
          <w:sz w:val="20"/>
        </w:rPr>
        <w:t>” and, together with the Company, the “</w:t>
      </w:r>
      <w:r>
        <w:rPr>
          <w:rFonts w:ascii="Arial;Helvetica;Sans-Serif" w:hAnsi="Arial;Helvetica;Sans-Serif"/>
          <w:b/>
          <w:i w:val="false"/>
          <w:caps w:val="false"/>
          <w:smallCaps w:val="false"/>
          <w:sz w:val="20"/>
        </w:rPr>
        <w:t>Issuers</w:t>
      </w:r>
      <w:r>
        <w:rPr>
          <w:rFonts w:ascii="Arial;Helvetica;Sans-Serif" w:hAnsi="Arial;Helvetica;Sans-Serif"/>
          <w:b w:val="false"/>
          <w:i w:val="false"/>
          <w:caps w:val="false"/>
          <w:smallCaps w:val="false"/>
          <w:sz w:val="20"/>
        </w:rPr>
        <w:t>”), have filed with the Securities and Exchange Commission a Registration Statement on Form S-3 (File No. 333-266390)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for the purpose of registering under the Securities Act of 1933, as amended (the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certain securities, including $1,000,000,000 aggregate principal amount of the Company’s 4.550% Notes due 2029, $1,000,000,000 aggregate principal amount of the Company’s 4.800% Notes due 2033, $1,600,000,000 aggregate principal amount of the Company’s 5.350% Notes due 2053 and $1,400,000,000 aggregate principal amount of the Company’s 5.500% Notes due 2064 (collectively, the “</w:t>
      </w:r>
      <w:r>
        <w:rPr>
          <w:rFonts w:ascii="Arial;Helvetica;Sans-Serif" w:hAnsi="Arial;Helvetica;Sans-Serif"/>
          <w:b/>
          <w:i w:val="false"/>
          <w:caps w:val="false"/>
          <w:smallCaps w:val="false"/>
          <w:sz w:val="20"/>
        </w:rPr>
        <w:t>Notes</w:t>
      </w:r>
      <w:r>
        <w:rPr>
          <w:rFonts w:ascii="Arial;Helvetica;Sans-Serif" w:hAnsi="Arial;Helvetica;Sans-Serif"/>
          <w:b w:val="false"/>
          <w:i w:val="false"/>
          <w:caps w:val="false"/>
          <w:smallCaps w:val="false"/>
          <w:sz w:val="20"/>
        </w:rPr>
        <w:t>”). The Notes are to be issued pursuant to the provisions of the Indenture dated as of September 18, 2013 (the “</w:t>
      </w:r>
      <w:r>
        <w:rPr>
          <w:rFonts w:ascii="Arial;Helvetica;Sans-Serif" w:hAnsi="Arial;Helvetica;Sans-Serif"/>
          <w:b/>
          <w:i w:val="false"/>
          <w:caps w:val="false"/>
          <w:smallCaps w:val="false"/>
          <w:sz w:val="20"/>
        </w:rPr>
        <w:t>Base Indenture”</w:t>
      </w:r>
      <w:r>
        <w:rPr>
          <w:rFonts w:ascii="Arial;Helvetica;Sans-Serif" w:hAnsi="Arial;Helvetica;Sans-Serif"/>
          <w:b w:val="false"/>
          <w:i w:val="false"/>
          <w:caps w:val="false"/>
          <w:smallCaps w:val="false"/>
          <w:sz w:val="20"/>
        </w:rPr>
        <w:t>), as amended by the First Supplemental Indenture thereto dated as of November 17, 2015 (the “</w:t>
      </w:r>
      <w:r>
        <w:rPr>
          <w:rFonts w:ascii="Arial;Helvetica;Sans-Serif" w:hAnsi="Arial;Helvetica;Sans-Serif"/>
          <w:b/>
          <w:i w:val="false"/>
          <w:caps w:val="false"/>
          <w:smallCaps w:val="false"/>
          <w:sz w:val="20"/>
        </w:rPr>
        <w:t>First Supplemental Indenture</w:t>
      </w:r>
      <w:r>
        <w:rPr>
          <w:rFonts w:ascii="Arial;Helvetica;Sans-Serif" w:hAnsi="Arial;Helvetica;Sans-Serif"/>
          <w:b w:val="false"/>
          <w:i w:val="false"/>
          <w:caps w:val="false"/>
          <w:smallCaps w:val="false"/>
          <w:sz w:val="20"/>
        </w:rPr>
        <w:t>”) and the Second Supplemental Indenture dated as of July 29, 2022 (the “</w:t>
      </w:r>
      <w:r>
        <w:rPr>
          <w:rFonts w:ascii="Arial;Helvetica;Sans-Serif" w:hAnsi="Arial;Helvetica;Sans-Serif"/>
          <w:b/>
          <w:i w:val="false"/>
          <w:caps w:val="false"/>
          <w:smallCaps w:val="false"/>
          <w:sz w:val="20"/>
        </w:rPr>
        <w:t>Second Supplemental Indenture</w:t>
      </w:r>
      <w:r>
        <w:rPr>
          <w:rFonts w:ascii="Arial;Helvetica;Sans-Serif" w:hAnsi="Arial;Helvetica;Sans-Serif"/>
          <w:b w:val="false"/>
          <w:i w:val="false"/>
          <w:caps w:val="false"/>
          <w:smallCaps w:val="false"/>
          <w:sz w:val="20"/>
        </w:rPr>
        <w:t>” and, together with the Base Indenture and the First Supplemental Indenture, the “</w:t>
      </w:r>
      <w:r>
        <w:rPr>
          <w:rFonts w:ascii="Arial;Helvetica;Sans-Serif" w:hAnsi="Arial;Helvetica;Sans-Serif"/>
          <w:b/>
          <w:i w:val="false"/>
          <w:caps w:val="false"/>
          <w:smallCaps w:val="false"/>
          <w:sz w:val="20"/>
        </w:rPr>
        <w:t>Indenture</w:t>
      </w:r>
      <w:r>
        <w:rPr>
          <w:rFonts w:ascii="Arial;Helvetica;Sans-Serif" w:hAnsi="Arial;Helvetica;Sans-Serif"/>
          <w:b w:val="false"/>
          <w:i w:val="false"/>
          <w:caps w:val="false"/>
          <w:smallCaps w:val="false"/>
          <w:sz w:val="20"/>
        </w:rPr>
        <w:t>”) by and among the Company, the guarantors party thereto and The Bank of New York Mellon, as trustee (the “</w:t>
      </w:r>
      <w:r>
        <w:rPr>
          <w:rFonts w:ascii="Arial;Helvetica;Sans-Serif" w:hAnsi="Arial;Helvetica;Sans-Serif"/>
          <w:b/>
          <w:i w:val="false"/>
          <w:caps w:val="false"/>
          <w:smallCaps w:val="false"/>
          <w:sz w:val="20"/>
        </w:rPr>
        <w:t>Trustee”</w:t>
      </w:r>
      <w:r>
        <w:rPr>
          <w:rFonts w:ascii="Arial;Helvetica;Sans-Serif" w:hAnsi="Arial;Helvetica;Sans-Serif"/>
          <w:b w:val="false"/>
          <w:i w:val="false"/>
          <w:caps w:val="false"/>
          <w:smallCaps w:val="false"/>
          <w:sz w:val="20"/>
        </w:rPr>
        <w:t>). Pursuant to the terms of the Indenture, the Notes will be guaranteed by each of the Guarantors (the “</w:t>
      </w:r>
      <w:r>
        <w:rPr>
          <w:rFonts w:ascii="Arial;Helvetica;Sans-Serif" w:hAnsi="Arial;Helvetica;Sans-Serif"/>
          <w:b/>
          <w:i w:val="false"/>
          <w:caps w:val="false"/>
          <w:smallCaps w:val="false"/>
          <w:sz w:val="20"/>
        </w:rPr>
        <w:t>Guarantees</w:t>
      </w:r>
      <w:r>
        <w:rPr>
          <w:rFonts w:ascii="Arial;Helvetica;Sans-Serif" w:hAnsi="Arial;Helvetica;Sans-Serif"/>
          <w:b w:val="false"/>
          <w:i w:val="false"/>
          <w:caps w:val="false"/>
          <w:smallCaps w:val="false"/>
          <w:sz w:val="20"/>
        </w:rPr>
        <w:t>” and, together with the Notes, the “</w:t>
      </w:r>
      <w:r>
        <w:rPr>
          <w:rFonts w:ascii="Arial;Helvetica;Sans-Serif" w:hAnsi="Arial;Helvetica;Sans-Serif"/>
          <w:b/>
          <w:i w:val="false"/>
          <w:caps w:val="false"/>
          <w:smallCaps w:val="false"/>
          <w:sz w:val="20"/>
        </w:rPr>
        <w:t>Securities</w:t>
      </w:r>
      <w:r>
        <w:rPr>
          <w:rFonts w:ascii="Arial;Helvetica;Sans-Serif" w:hAnsi="Arial;Helvetica;Sans-Serif"/>
          <w:b w:val="false"/>
          <w:i w:val="false"/>
          <w:caps w:val="false"/>
          <w:smallCaps w:val="false"/>
          <w:sz w:val="20"/>
        </w:rPr>
        <w:t>”). The Securities are to be sold pursuant to the Underwriting Agreement dated May 1, 2023 (the “</w:t>
      </w:r>
      <w:r>
        <w:rPr>
          <w:rFonts w:ascii="Arial;Helvetica;Sans-Serif" w:hAnsi="Arial;Helvetica;Sans-Serif"/>
          <w:b/>
          <w:i w:val="false"/>
          <w:caps w:val="false"/>
          <w:smallCaps w:val="false"/>
          <w:sz w:val="20"/>
        </w:rPr>
        <w:t>Underwriting Agreement</w:t>
      </w:r>
      <w:r>
        <w:rPr>
          <w:rFonts w:ascii="Arial;Helvetica;Sans-Serif" w:hAnsi="Arial;Helvetica;Sans-Serif"/>
          <w:b w:val="false"/>
          <w:i w:val="false"/>
          <w:caps w:val="false"/>
          <w:smallCaps w:val="false"/>
          <w:sz w:val="20"/>
        </w:rPr>
        <w:t>”) among the Company, the Guarantors and the several underwriters named therein (the “</w:t>
      </w:r>
      <w:r>
        <w:rPr>
          <w:rFonts w:ascii="Arial;Helvetica;Sans-Serif" w:hAnsi="Arial;Helvetica;Sans-Serif"/>
          <w:b/>
          <w:i w:val="false"/>
          <w:caps w:val="false"/>
          <w:smallCaps w:val="false"/>
          <w:sz w:val="20"/>
        </w:rPr>
        <w:t>Underwriters</w:t>
      </w:r>
      <w:r>
        <w:rPr>
          <w:rFonts w:ascii="Arial;Helvetica;Sans-Serif" w:hAnsi="Arial;Helvetica;San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May 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and subject to the additional assumptions and qualifications set forth below, we advise you that, in our opinion:</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357"/>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1.</w:t>
            </w:r>
          </w:p>
        </w:tc>
        <w:tc>
          <w:tcPr>
            <w:tcW w:w="10357" w:type="dxa"/>
            <w:tcBorders/>
            <w:shd w:fill="auto" w:val="clear"/>
            <w:vAlign w:val="center"/>
          </w:tcPr>
          <w:p>
            <w:pPr>
              <w:pStyle w:val="TableContents"/>
              <w:spacing w:before="0" w:after="283"/>
              <w:rPr/>
            </w:pPr>
            <w:r>
              <w:rPr/>
              <w:t>Assuming the Notes have been duly executed and authenticated in accordance with the provisions of the Indenture and delivered to and paid for by the Underwriters pursuant to the Underwriting Agreement,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357"/>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2.</w:t>
            </w:r>
          </w:p>
        </w:tc>
        <w:tc>
          <w:tcPr>
            <w:tcW w:w="10357" w:type="dxa"/>
            <w:tcBorders/>
            <w:shd w:fill="auto" w:val="clear"/>
            <w:vAlign w:val="center"/>
          </w:tcPr>
          <w:p>
            <w:pPr>
              <w:pStyle w:val="TableContents"/>
              <w:spacing w:before="0" w:after="283"/>
              <w:rPr/>
            </w:pPr>
            <w:r>
              <w:rPr/>
              <w:t xml:space="preserve">The Guarantees, assuming the Notes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w:t>
            </w:r>
            <w:r>
              <w:rPr>
                <w:i/>
              </w:rPr>
              <w:t>provided</w:t>
            </w:r>
            <w:r>
              <w:rPr/>
              <w:t xml:space="preserve"> that we express no opinion as to (x) (i) the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Arial;Helvetica;Sans-Serif" w:hAnsi="Arial;Helvetica;Sans-Serif"/>
          <w:b/>
          <w:i w:val="false"/>
          <w:caps w:val="false"/>
          <w:smallCaps w:val="false"/>
          <w:sz w:val="20"/>
        </w:rPr>
        <w:t>Documents</w:t>
      </w:r>
      <w:r>
        <w:rPr>
          <w:rFonts w:ascii="Arial;Helvetica;Sans-Serif" w:hAnsi="Arial;Helvetica;Sans-Serif"/>
          <w:b w:val="false"/>
          <w:i w:val="false"/>
          <w:caps w:val="false"/>
          <w:smallCaps w:val="false"/>
          <w:sz w:val="20"/>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spacing w:before="0" w:after="0"/>
        <w:ind w:left="0" w:right="0" w:hanging="0"/>
        <w:rPr/>
      </w:pPr>
      <w:r>
        <w:rPr/>
        <w:t> </w:t>
      </w:r>
    </w:p>
    <w:p>
      <w:pPr>
        <w:pStyle w:val="TextBody"/>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May 9,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Guarantor, provided that we make no such assumption to the extent that we have specifically opined as to such matters with respect to the Company and each Guarantor.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 of the State of New York and the foregoing opinions are limited to the laws of the State of New York and the Limited Liability Company Act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opinions involve matters governed by the laws of the Commonwealth of Pennsylvania, we have relied, without independent inquiry or investigation, on the opinions of the Senior Deputy General Counsel of the Company to be filed as an exhibit to a report on Form 8-K to be filed by the Company on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17905</Words>
  <CharactersWithSpaces>109768</CharactersWithSpaces>
  <Paragraphs>1576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