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208915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tbl>
      <w:tblPr>
        <w:tblLayout w:type="fixed"/>
        <w:tblInd w:w="800" w:type="dxa"/>
        <w:tblCellMar>
          <w:top w:w="0" w:type="dxa"/>
          <w:left w:w="0" w:type="dxa"/>
          <w:bottom w:w="0" w:type="dxa"/>
          <w:right w:w="0" w:type="dxa"/>
        </w:tblCellMar>
      </w:tblPr>
      <w:tr>
        <w:trPr>
          <w:trHeight w:val="421"/>
        </w:trPr>
        <w:tc>
          <w:tcPr>
            <w:tcW w:w="2260" w:type="dxa"/>
            <w:vAlign w:val="bottom"/>
          </w:tcPr>
          <w:p>
            <w:pPr>
              <w:spacing w:after="0"/>
              <w:rPr>
                <w:sz w:val="24"/>
                <w:szCs w:val="24"/>
                <w:color w:val="auto"/>
              </w:rPr>
            </w:pPr>
          </w:p>
        </w:tc>
        <w:tc>
          <w:tcPr>
            <w:tcW w:w="7800" w:type="dxa"/>
            <w:vAlign w:val="bottom"/>
          </w:tcPr>
          <w:p>
            <w:pPr>
              <w:jc w:val="center"/>
              <w:ind w:right="2366"/>
              <w:spacing w:after="0"/>
              <w:rPr>
                <w:sz w:val="20"/>
                <w:szCs w:val="20"/>
                <w:color w:val="auto"/>
              </w:rPr>
            </w:pPr>
            <w:r>
              <w:rPr>
                <w:rFonts w:ascii="Arial" w:cs="Arial" w:eastAsia="Arial" w:hAnsi="Arial"/>
                <w:sz w:val="32"/>
                <w:szCs w:val="32"/>
                <w:b w:val="1"/>
                <w:bCs w:val="1"/>
                <w:color w:val="auto"/>
              </w:rPr>
              <w:t>FORM 8-K</w:t>
            </w:r>
          </w:p>
        </w:tc>
      </w:tr>
      <w:tr>
        <w:trPr>
          <w:trHeight w:val="624"/>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25"/>
                <w:szCs w:val="25"/>
                <w:b w:val="1"/>
                <w:bCs w:val="1"/>
                <w:color w:val="auto"/>
              </w:rPr>
              <w:t>CURRENT REPORT</w:t>
            </w:r>
          </w:p>
        </w:tc>
      </w:tr>
      <w:tr>
        <w:trPr>
          <w:trHeight w:val="297"/>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25"/>
                <w:szCs w:val="25"/>
                <w:b w:val="1"/>
                <w:bCs w:val="1"/>
                <w:color w:val="auto"/>
                <w:w w:val="90"/>
              </w:rPr>
              <w:t>Pursuant to Section 13 or 15(d) of</w:t>
            </w:r>
          </w:p>
        </w:tc>
      </w:tr>
      <w:tr>
        <w:trPr>
          <w:trHeight w:val="329"/>
        </w:trPr>
        <w:tc>
          <w:tcPr>
            <w:tcW w:w="2260" w:type="dxa"/>
            <w:vAlign w:val="bottom"/>
          </w:tcPr>
          <w:p>
            <w:pPr>
              <w:spacing w:after="0"/>
              <w:rPr>
                <w:sz w:val="24"/>
                <w:szCs w:val="24"/>
                <w:color w:val="auto"/>
              </w:rPr>
            </w:pPr>
          </w:p>
        </w:tc>
        <w:tc>
          <w:tcPr>
            <w:tcW w:w="7800" w:type="dxa"/>
            <w:vAlign w:val="bottom"/>
          </w:tcPr>
          <w:p>
            <w:pPr>
              <w:jc w:val="center"/>
              <w:ind w:right="2366"/>
              <w:spacing w:after="0"/>
              <w:rPr>
                <w:sz w:val="20"/>
                <w:szCs w:val="20"/>
                <w:color w:val="auto"/>
              </w:rPr>
            </w:pPr>
            <w:r>
              <w:rPr>
                <w:rFonts w:ascii="Arial" w:cs="Arial" w:eastAsia="Arial" w:hAnsi="Arial"/>
                <w:sz w:val="25"/>
                <w:szCs w:val="25"/>
                <w:b w:val="1"/>
                <w:bCs w:val="1"/>
                <w:color w:val="auto"/>
                <w:w w:val="89"/>
              </w:rPr>
              <w:t>The Securities Exchange Act of 1934</w:t>
            </w:r>
          </w:p>
        </w:tc>
      </w:tr>
      <w:tr>
        <w:trPr>
          <w:trHeight w:val="505"/>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18"/>
                <w:szCs w:val="18"/>
                <w:b w:val="1"/>
                <w:bCs w:val="1"/>
                <w:color w:val="auto"/>
                <w:w w:val="91"/>
              </w:rPr>
              <w:t>Date of report (Date of earliest event reported): October 5, 2018</w:t>
            </w:r>
          </w:p>
        </w:tc>
      </w:tr>
      <w:tr>
        <w:trPr>
          <w:trHeight w:val="697"/>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260" w:type="dxa"/>
            <w:vAlign w:val="bottom"/>
          </w:tcPr>
          <w:p>
            <w:pPr>
              <w:spacing w:after="0"/>
              <w:rPr>
                <w:sz w:val="20"/>
                <w:szCs w:val="20"/>
                <w:color w:val="auto"/>
              </w:rPr>
            </w:pPr>
          </w:p>
        </w:tc>
        <w:tc>
          <w:tcPr>
            <w:tcW w:w="7800" w:type="dxa"/>
            <w:vAlign w:val="bottom"/>
          </w:tcPr>
          <w:p>
            <w:pPr>
              <w:jc w:val="center"/>
              <w:ind w:right="2366"/>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414"/>
        </w:trPr>
        <w:tc>
          <w:tcPr>
            <w:tcW w:w="2260" w:type="dxa"/>
            <w:vAlign w:val="bottom"/>
          </w:tcPr>
          <w:p>
            <w:pPr>
              <w:spacing w:after="0"/>
              <w:rPr>
                <w:sz w:val="24"/>
                <w:szCs w:val="24"/>
                <w:color w:val="auto"/>
              </w:rPr>
            </w:pPr>
          </w:p>
        </w:tc>
        <w:tc>
          <w:tcPr>
            <w:tcW w:w="7800" w:type="dxa"/>
            <w:vAlign w:val="bottom"/>
          </w:tcPr>
          <w:p>
            <w:pPr>
              <w:jc w:val="center"/>
              <w:ind w:right="2466"/>
              <w:spacing w:after="0"/>
              <w:rPr>
                <w:sz w:val="20"/>
                <w:szCs w:val="20"/>
                <w:color w:val="auto"/>
              </w:rPr>
            </w:pPr>
            <w:r>
              <w:rPr>
                <w:rFonts w:ascii="Arial" w:cs="Arial" w:eastAsia="Arial" w:hAnsi="Arial"/>
                <w:sz w:val="18"/>
                <w:szCs w:val="18"/>
                <w:b w:val="1"/>
                <w:bCs w:val="1"/>
                <w:color w:val="auto"/>
                <w:w w:val="88"/>
              </w:rPr>
              <w:t>Pennsylvania</w:t>
            </w:r>
          </w:p>
        </w:tc>
      </w:tr>
      <w:tr>
        <w:trPr>
          <w:trHeight w:val="234"/>
        </w:trPr>
        <w:tc>
          <w:tcPr>
            <w:tcW w:w="2260" w:type="dxa"/>
            <w:vAlign w:val="bottom"/>
          </w:tcPr>
          <w:p>
            <w:pPr>
              <w:spacing w:after="0"/>
              <w:rPr>
                <w:sz w:val="20"/>
                <w:szCs w:val="20"/>
                <w:color w:val="auto"/>
              </w:rPr>
            </w:pPr>
          </w:p>
        </w:tc>
        <w:tc>
          <w:tcPr>
            <w:tcW w:w="7800" w:type="dxa"/>
            <w:vAlign w:val="bottom"/>
          </w:tcPr>
          <w:p>
            <w:pPr>
              <w:jc w:val="center"/>
              <w:ind w:right="2466"/>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414"/>
        </w:trPr>
        <w:tc>
          <w:tcPr>
            <w:tcW w:w="2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001-32871</w:t>
            </w:r>
          </w:p>
        </w:tc>
        <w:tc>
          <w:tcPr>
            <w:tcW w:w="7800" w:type="dxa"/>
            <w:vAlign w:val="bottom"/>
          </w:tcPr>
          <w:p>
            <w:pPr>
              <w:jc w:val="center"/>
              <w:ind w:left="5046"/>
              <w:spacing w:after="0"/>
              <w:rPr>
                <w:sz w:val="20"/>
                <w:szCs w:val="20"/>
                <w:color w:val="auto"/>
              </w:rPr>
            </w:pPr>
            <w:r>
              <w:rPr>
                <w:rFonts w:ascii="Arial" w:cs="Arial" w:eastAsia="Arial" w:hAnsi="Arial"/>
                <w:sz w:val="18"/>
                <w:szCs w:val="18"/>
                <w:b w:val="1"/>
                <w:bCs w:val="1"/>
                <w:color w:val="auto"/>
                <w:w w:val="91"/>
              </w:rPr>
              <w:t>27-0000798</w:t>
            </w:r>
          </w:p>
        </w:tc>
      </w:tr>
      <w:tr>
        <w:trPr>
          <w:trHeight w:val="234"/>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(Commission File Number)</w:t>
            </w:r>
          </w:p>
        </w:tc>
        <w:tc>
          <w:tcPr>
            <w:tcW w:w="7800" w:type="dxa"/>
            <w:vAlign w:val="bottom"/>
          </w:tcPr>
          <w:p>
            <w:pPr>
              <w:jc w:val="center"/>
              <w:ind w:left="5066"/>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846"/>
        </w:trPr>
        <w:tc>
          <w:tcPr>
            <w:tcW w:w="2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One Comcast Center</w:t>
            </w:r>
          </w:p>
        </w:tc>
        <w:tc>
          <w:tcPr>
            <w:tcW w:w="7800" w:type="dxa"/>
            <w:vAlign w:val="bottom"/>
          </w:tcPr>
          <w:p>
            <w:pPr>
              <w:jc w:val="center"/>
              <w:ind w:left="5046"/>
              <w:spacing w:after="0"/>
              <w:rPr>
                <w:sz w:val="20"/>
                <w:szCs w:val="20"/>
                <w:color w:val="auto"/>
              </w:rPr>
            </w:pPr>
            <w:r>
              <w:rPr>
                <w:rFonts w:ascii="Arial" w:cs="Arial" w:eastAsia="Arial" w:hAnsi="Arial"/>
                <w:sz w:val="18"/>
                <w:szCs w:val="18"/>
                <w:b w:val="1"/>
                <w:bCs w:val="1"/>
                <w:color w:val="auto"/>
                <w:w w:val="91"/>
              </w:rPr>
              <w:t>19103-2838</w:t>
            </w:r>
          </w:p>
        </w:tc>
      </w:tr>
      <w:tr>
        <w:trPr>
          <w:trHeight w:val="234"/>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Philadelphia, PA</w:t>
            </w:r>
          </w:p>
        </w:tc>
        <w:tc>
          <w:tcPr>
            <w:tcW w:w="7800" w:type="dxa"/>
            <w:vAlign w:val="bottom"/>
          </w:tcPr>
          <w:p>
            <w:pPr>
              <w:jc w:val="center"/>
              <w:ind w:left="5046"/>
              <w:spacing w:after="0"/>
              <w:rPr>
                <w:sz w:val="20"/>
                <w:szCs w:val="20"/>
                <w:color w:val="auto"/>
              </w:rPr>
            </w:pPr>
            <w:r>
              <w:rPr>
                <w:rFonts w:ascii="Arial" w:cs="Arial" w:eastAsia="Arial" w:hAnsi="Arial"/>
                <w:sz w:val="18"/>
                <w:szCs w:val="18"/>
                <w:b w:val="1"/>
                <w:bCs w:val="1"/>
                <w:color w:val="auto"/>
                <w:w w:val="94"/>
              </w:rPr>
              <w:t>(Zip Code)</w:t>
            </w:r>
          </w:p>
        </w:tc>
      </w:tr>
    </w:tbl>
    <w:p>
      <w:pPr>
        <w:ind w:left="3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163195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both"/>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49" w:lineRule="exact"/>
        <w:rPr>
          <w:rFonts w:ascii="MS PGothic" w:cs="MS PGothic" w:eastAsia="MS PGothic" w:hAnsi="MS PGothic"/>
          <w:sz w:val="20"/>
          <w:szCs w:val="20"/>
          <w:color w:val="auto"/>
        </w:rPr>
      </w:pPr>
    </w:p>
    <w:p>
      <w:pPr>
        <w:ind w:left="660" w:hanging="328"/>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14a-12(b) under the Exchange Act (17 CFR 240.14a-12)</w:t>
      </w:r>
    </w:p>
    <w:p>
      <w:pPr>
        <w:spacing w:after="0" w:line="249" w:lineRule="exact"/>
        <w:rPr>
          <w:rFonts w:ascii="MS PGothic" w:cs="MS PGothic" w:eastAsia="MS PGothic" w:hAnsi="MS PGothic"/>
          <w:sz w:val="20"/>
          <w:szCs w:val="20"/>
          <w:color w:val="auto"/>
        </w:rPr>
      </w:pPr>
    </w:p>
    <w:p>
      <w:pPr>
        <w:ind w:left="660" w:hanging="328"/>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49" w:lineRule="exact"/>
        <w:rPr>
          <w:rFonts w:ascii="MS PGothic" w:cs="MS PGothic" w:eastAsia="MS PGothic" w:hAnsi="MS PGothic"/>
          <w:sz w:val="20"/>
          <w:szCs w:val="20"/>
          <w:color w:val="auto"/>
        </w:rPr>
      </w:pPr>
    </w:p>
    <w:p>
      <w:pPr>
        <w:ind w:left="660" w:hanging="328"/>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30" w:right="299" w:bottom="1440"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October 5, 2018, following the consummation of the issuance and sale of the Notes as described under Item 2.03 of this Current Report on Form 8-K (the “Notes Offering”), and pursuant to that certain term loan credit agreement dated August 22, 2018 among Comcast Corporation (“Comcast”), the financial institutions party thereto (the “Lenders”), Bank of America, N.A., as administrative agent, Wells Fargo Bank, National Association, as syndication agent, and Merrill Lynch, Pierce, Fenner &amp; Smith Incorporated and Wells Fargo Securities, LLC, as joint lead arrangers and joint bookrunners (the “August Term Loan Credit Agreement”), the commitments of the Lenders to provide Comcast with term loans under the August Term Loan Credit Agreement was permanently reduced in the aggregate amount of $3.0 billion, from $6.0 billion to $3.0 billion.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October 5, 2018, upon the consummation of Notes Offering, Comcast’s commitments automatically terminated under that certain 364-day bridge loan credit agreement dated April 25, 2018 (as amended on August 22, 2018)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5, 2018 Comcast Comcast consummated the issuance and sale of $1,250,000,000 aggregate principal amount of its Floating Rate Notes due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$1,000,000,000 aggregate principal amount of its Floating Rate Notes due 2021, $500,000,000 aggregate principal amount of its Floating Rate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2024, $1,750,000,000 aggregate principal amount of its 3.300% Notes due 2020, $2,000,000,000 aggregate principal amount of its 3.450%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$2,500,000,000 aggregate principal amount of its 3.700% Notes due 2024, $3,000,000,000 aggregate principal amount of its 3.950% Notes due 2025,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$4,000,000,000 aggregate principal amount of its 4.150% Notes due 2028, $1,500,000,000 aggregate principal amount of its 4.250% Notes due 2030,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$3,000,000,000 aggregate principal amount of its 4.600% Notes due 2038, $4,000,000,000 aggregate principal amount of its 4.700% Notes due 2048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$2,500,000,000 aggregate principal amount of its 4.950% Notes due 2058 (collectively, the “Notes”), pursuant to an underwriting agreement dated October 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among Comcast, the Guarantors (defined below) and Merrill Lynch, Pierce, Fenner &amp; Smith Incorporated and Wells Fargo Securities, LLC,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of the several underwriters named therein. The Notes were issued pursuant to an Indenture dated as of September 18, 2013 (the “Base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Indenture”) among Comcast, the guarantors named therein and The Bank of New York Mellon, as trustee (the “Trustee”), as supplemented by the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dated as of November 17, 2015 (the “First Supplemental Indenture”) among Comcast, the guarantors named therein and the Trustee,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 officers’ certificate issued pursuant thereto. The Notes are guaranteed on an unsecured and unsubordinated basis by Comcast Cable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and NBCUniversal Media, LLC (the “Guarantors”).</w:t>
      </w:r>
    </w:p>
    <w:p>
      <w:pPr>
        <w:spacing w:after="0" w:line="21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July 28, 2016, as amended at the date of the underwriting agreement (Reg. No. 333-212719), including the prospectus contained therein, and a related prospectus supplement dated October 2, 2018.</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4"/>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Number</w:t>
            </w:r>
          </w:p>
        </w:tc>
        <w:tc>
          <w:tcPr>
            <w:tcW w:w="460" w:type="dxa"/>
            <w:vAlign w:val="bottom"/>
          </w:tcPr>
          <w:p>
            <w:pPr>
              <w:spacing w:after="0"/>
              <w:rPr>
                <w:sz w:val="20"/>
                <w:szCs w:val="20"/>
                <w:color w:val="auto"/>
              </w:rPr>
            </w:pPr>
          </w:p>
        </w:tc>
        <w:tc>
          <w:tcPr>
            <w:tcW w:w="10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40" w:type="dxa"/>
            <w:vAlign w:val="bottom"/>
            <w:tcBorders>
              <w:bottom w:val="single" w:sz="8" w:color="0000EE"/>
            </w:tcBorders>
          </w:tcPr>
          <w:p>
            <w:pPr>
              <w:spacing w:after="0" w:line="17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40" w:type="dxa"/>
            <w:vAlign w:val="bottom"/>
            <w:tcBorders>
              <w:bottom w:val="single" w:sz="8" w:color="0000EE"/>
            </w:tcBorders>
            <w:gridSpan w:val="4"/>
          </w:tcPr>
          <w:p>
            <w:pPr>
              <w:spacing w:after="0" w:line="17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Form of Officers’ Certificate setting forth the terms of the Notes</w:t>
              </w:r>
            </w:hyperlink>
          </w:p>
        </w:tc>
        <w:tc>
          <w:tcPr>
            <w:tcW w:w="5620" w:type="dxa"/>
            <w:vAlign w:val="bottom"/>
            <w:gridSpan w:val="2"/>
          </w:tcPr>
          <w:p>
            <w:pPr>
              <w:spacing w:after="0"/>
              <w:rPr>
                <w:sz w:val="14"/>
                <w:szCs w:val="1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144">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Borders>
              <w:bottom w:val="single" w:sz="8" w:color="0000EE"/>
            </w:tcBorders>
          </w:tcPr>
          <w:p>
            <w:pP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Opinion of Arthur R. Block, Esq.</w:t>
              </w:r>
            </w:hyperlink>
          </w:p>
        </w:tc>
        <w:tc>
          <w:tcPr>
            <w:tcW w:w="7860" w:type="dxa"/>
            <w:vAlign w:val="bottom"/>
            <w:gridSpan w:val="5"/>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146">
              <w:r>
                <w:rPr>
                  <w:rFonts w:ascii="Arial" w:cs="Arial" w:eastAsia="Arial" w:hAnsi="Arial"/>
                  <w:sz w:val="18"/>
                  <w:szCs w:val="18"/>
                  <w:color w:val="0000EE"/>
                  <w:w w:val="87"/>
                </w:rPr>
                <w:t>5.</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46">
              <w:r>
                <w:rPr>
                  <w:rFonts w:ascii="Arial" w:cs="Arial" w:eastAsia="Arial" w:hAnsi="Arial"/>
                  <w:sz w:val="18"/>
                  <w:szCs w:val="18"/>
                  <w:color w:val="0000EE"/>
                  <w:w w:val="95"/>
                </w:rPr>
                <w:t>Opinion of Davis Polk &amp; Wardwell LLP</w:t>
              </w:r>
            </w:hyperlink>
          </w:p>
        </w:tc>
        <w:tc>
          <w:tcPr>
            <w:tcW w:w="7340" w:type="dxa"/>
            <w:vAlign w:val="bottom"/>
            <w:gridSpan w:val="4"/>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44">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44">
              <w:r>
                <w:rPr>
                  <w:rFonts w:ascii="Arial" w:cs="Arial" w:eastAsia="Arial" w:hAnsi="Arial"/>
                  <w:sz w:val="18"/>
                  <w:szCs w:val="18"/>
                  <w:color w:val="0000EE"/>
                  <w:w w:val="92"/>
                </w:rPr>
                <w:t>Consent of Arthur R. Block, Esq. (contained in Exhibit 5.1)</w:t>
              </w:r>
            </w:hyperlink>
          </w:p>
        </w:tc>
        <w:tc>
          <w:tcPr>
            <w:tcW w:w="5960" w:type="dxa"/>
            <w:vAlign w:val="bottom"/>
            <w:gridSpan w:val="3"/>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46">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Consent of Davis Polk &amp; Wardwell LLP (contained in Exhibit 5.2)</w:t>
              </w:r>
            </w:hyperlink>
          </w:p>
        </w:tc>
      </w:tr>
      <w:tr>
        <w:trPr>
          <w:trHeight w:val="547"/>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3"/>
          </w:tcPr>
          <w:p>
            <w:pPr>
              <w:ind w:left="188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October 5, 2018</w:t>
            </w:r>
          </w:p>
        </w:tc>
        <w:tc>
          <w:tcPr>
            <w:tcW w:w="7680" w:type="dxa"/>
            <w:vAlign w:val="bottom"/>
            <w:gridSpan w:val="3"/>
          </w:tcPr>
          <w:p>
            <w:pPr>
              <w:ind w:left="1880"/>
              <w:spacing w:after="0"/>
              <w:rPr>
                <w:sz w:val="20"/>
                <w:szCs w:val="20"/>
                <w:color w:val="auto"/>
              </w:rPr>
            </w:pPr>
            <w:r>
              <w:rPr>
                <w:rFonts w:ascii="Arial" w:cs="Arial" w:eastAsia="Arial" w:hAnsi="Arial"/>
                <w:sz w:val="18"/>
                <w:szCs w:val="18"/>
                <w:color w:val="auto"/>
              </w:rPr>
              <w:t>By:    /s/ Arthur R. Block</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w w:val="98"/>
              </w:rPr>
              <w:t>Executive Vice President, General Counsel and Secretary</w:t>
            </w:r>
          </w:p>
        </w:tc>
      </w:tr>
      <w:tr>
        <w:trPr>
          <w:trHeight w:val="1040"/>
        </w:trPr>
        <w:tc>
          <w:tcPr>
            <w:tcW w:w="37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5, 2018</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Section 2.03 of the Indenture dated as of September 18, 2013,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$1,250,000,000 aggregate principal amount of Floating Rate Notes Due 2020, $1,000,000,000 aggregate principal amount of Floating Rate Notes Due 2021 and $500,000,000 aggregate principal amount of Floating Rate Notes Due 2024 (collectively, the “</w:t>
      </w:r>
      <w:r>
        <w:rPr>
          <w:rFonts w:ascii="Arial" w:cs="Arial" w:eastAsia="Arial" w:hAnsi="Arial"/>
          <w:sz w:val="17"/>
          <w:szCs w:val="17"/>
          <w:b w:val="1"/>
          <w:bCs w:val="1"/>
          <w:color w:val="auto"/>
        </w:rPr>
        <w:t>Floating Rate Notes</w:t>
      </w:r>
      <w:r>
        <w:rPr>
          <w:rFonts w:ascii="Arial" w:cs="Arial" w:eastAsia="Arial" w:hAnsi="Arial"/>
          <w:sz w:val="17"/>
          <w:szCs w:val="17"/>
          <w:color w:val="auto"/>
        </w:rPr>
        <w:t>”) and $1,750,000,000 aggregate principal amount of 3.300% Notes Due 2020, $2,000,000,000 aggregate principal amount of 3.450% Notes Due 2021, $2,500,000,000 aggregate principal amount of 3.700% Notes Due 2024, $3,000,000,000 aggregate principal amount of 3.950% Notes Due 2025, $4,000,000,000 aggregate principal amount of 4.150% Notes Due 2028, $1,500,000,000 aggregate principal amount of 4.250% Notes Due 2030, $3,000,000,000 aggregate principal amount of 4.600% Notes Due 2038, $4,000,000,000 aggregate principal amount of 4.700% Notes Due 2048 and $2,500,000,000 aggregate principal amount of 4.950% Notes Due 2058, (collectively, the “</w:t>
      </w:r>
      <w:r>
        <w:rPr>
          <w:rFonts w:ascii="Arial" w:cs="Arial" w:eastAsia="Arial" w:hAnsi="Arial"/>
          <w:sz w:val="17"/>
          <w:szCs w:val="17"/>
          <w:b w:val="1"/>
          <w:bCs w:val="1"/>
          <w:color w:val="auto"/>
        </w:rPr>
        <w:t>Fixed Rate Notes</w:t>
      </w:r>
      <w:r>
        <w:rPr>
          <w:rFonts w:ascii="Arial" w:cs="Arial" w:eastAsia="Arial" w:hAnsi="Arial"/>
          <w:sz w:val="17"/>
          <w:szCs w:val="17"/>
          <w:color w:val="auto"/>
        </w:rPr>
        <w:t>”), that the terms of the Floating Rate Notes and the Fixed Rate Notes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Floating Rate Notes Due 2020</w:t>
            </w:r>
          </w:p>
        </w:tc>
      </w:tr>
      <w:tr>
        <w:trPr>
          <w:trHeight w:val="20"/>
        </w:trPr>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Floating Rate Notes Due 2020</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3020" w:type="dxa"/>
            <w:vAlign w:val="bottom"/>
            <w:gridSpan w:val="2"/>
          </w:tcPr>
          <w:p>
            <w:pPr>
              <w:ind w:left="720"/>
              <w:spacing w:after="0"/>
              <w:rPr>
                <w:sz w:val="20"/>
                <w:szCs w:val="20"/>
                <w:color w:val="auto"/>
              </w:rPr>
            </w:pPr>
            <w:r>
              <w:rPr>
                <w:rFonts w:ascii="Arial" w:cs="Arial" w:eastAsia="Arial" w:hAnsi="Arial"/>
                <w:sz w:val="18"/>
                <w:szCs w:val="18"/>
                <w:color w:val="auto"/>
              </w:rPr>
              <w:t>$1,250,000,000</w:t>
            </w:r>
          </w:p>
        </w:tc>
        <w:tc>
          <w:tcPr>
            <w:tcW w:w="466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October 1, 2020</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7"/>
              </w:rPr>
              <w:t>Interest will accrue for each quarterly interest period at a rate equal to three-month LIBOR</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8"/>
              </w:rPr>
              <w:t>plus 0.330%. The interest rate for the initial interest period from and including October 5,</w:t>
            </w:r>
          </w:p>
        </w:tc>
      </w:tr>
      <w:tr>
        <w:trPr>
          <w:trHeight w:val="230"/>
        </w:trPr>
        <w:tc>
          <w:tcPr>
            <w:tcW w:w="3740" w:type="dxa"/>
            <w:vAlign w:val="bottom"/>
          </w:tcPr>
          <w:p>
            <w:pPr>
              <w:spacing w:after="0"/>
              <w:rPr>
                <w:sz w:val="20"/>
                <w:szCs w:val="20"/>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2018 to, but excluding January 1, 2019, is 2.73825%.</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None.</w:t>
            </w:r>
          </w:p>
        </w:tc>
      </w:tr>
      <w:tr>
        <w:trPr>
          <w:trHeight w:val="527"/>
        </w:trPr>
        <w:tc>
          <w:tcPr>
            <w:tcW w:w="3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Floating Rate Notes need not be issued at the same time and the series may be reopened</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for issuance of an unlimited principal amount of additional Floating Rate Notes Due 2020</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under this series. Additional Floating Rate Notes Due 2020 of this series may be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9"/>
              </w:rPr>
              <w:t>consolidated with, and form a single series with, the Floating Rate Notes Due 2020 then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outstanding, including for purposes of determining whether the required percentage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9"/>
              </w:rPr>
              <w:t>holders of record has given approval or consent to an amendment or waiver or joined in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directing the Trustee to take certain actions on behalf of all holders; provided that if such</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additional Floating Rate Notes are not fungible with the Floating Rate Notes Due 2020 then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outstanding for U.S. federal income tax purposes, such additional Floating Rate Notes will</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The terms of the Floating Rate Notes due 2020 shall include such other terms as are set forth</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in the Form of Floating Rate Notes due 2020 attached hereto as </w:t>
            </w:r>
            <w:r>
              <w:rPr>
                <w:rFonts w:ascii="Arial" w:cs="Arial" w:eastAsia="Arial" w:hAnsi="Arial"/>
                <w:sz w:val="18"/>
                <w:szCs w:val="18"/>
                <w:b w:val="1"/>
                <w:bCs w:val="1"/>
                <w:color w:val="auto"/>
              </w:rPr>
              <w:t>Exhibit A-1</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Floating Rate Notes Due 2021</w:t>
            </w:r>
          </w:p>
        </w:tc>
        <w:tc>
          <w:tcPr>
            <w:tcW w:w="8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Floating Rate Notes Due 2021</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3020" w:type="dxa"/>
            <w:vAlign w:val="bottom"/>
            <w:gridSpan w:val="2"/>
          </w:tcPr>
          <w:p>
            <w:pPr>
              <w:ind w:left="720"/>
              <w:spacing w:after="0"/>
              <w:rPr>
                <w:sz w:val="20"/>
                <w:szCs w:val="20"/>
                <w:color w:val="auto"/>
              </w:rPr>
            </w:pPr>
            <w:r>
              <w:rPr>
                <w:rFonts w:ascii="Arial" w:cs="Arial" w:eastAsia="Arial" w:hAnsi="Arial"/>
                <w:sz w:val="18"/>
                <w:szCs w:val="18"/>
                <w:color w:val="auto"/>
              </w:rPr>
              <w:t>$1,000,000,000</w:t>
            </w:r>
          </w:p>
        </w:tc>
        <w:tc>
          <w:tcPr>
            <w:tcW w:w="2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 2021</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Interest will accrue for each quarterly interest period at a rate equal to three-month LIBOR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plus 0.440%. The interest rate for the initial interest period from and including October 5,</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2018 to, but excluding January 1, 2019, is 2.84825%.</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1"/>
              </w:rPr>
              <w:t>The Floating Rate Notes Due 2021 need not be issued at the same time and the series may be</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reopened for issuance of an unlimited principal</w:t>
            </w:r>
          </w:p>
        </w:tc>
      </w:tr>
      <w:tr>
        <w:trPr>
          <w:trHeight w:val="311"/>
        </w:trPr>
        <w:tc>
          <w:tcPr>
            <w:tcW w:w="3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amount of additional Floating Rate Notes Due 2021 under this series. Additional Floating</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Rate Notes Due 2021 of this series may be consolidated with, and form a single series with,</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the Floating Rate Notes Due 2021 then outstanding, including for purposes of determining</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whether the required percentage of the holders of record has given approval or consent to an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holders; provided that if such additional Floating Rate Notes are not fungible with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Floating Rate Notes Due 2021 then outstanding for U.S. federal income tax purposes, such</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additional Floating Rate Notes will 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Floating Rate Notes Due 2021 shall include such other terms as are set forth</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in the Form of Floating Rate Notes Due 2021 attached hereto as </w:t>
            </w:r>
            <w:r>
              <w:rPr>
                <w:rFonts w:ascii="Arial" w:cs="Arial" w:eastAsia="Arial" w:hAnsi="Arial"/>
                <w:sz w:val="18"/>
                <w:szCs w:val="18"/>
                <w:b w:val="1"/>
                <w:bCs w:val="1"/>
                <w:color w:val="auto"/>
              </w:rPr>
              <w:t>Exhibit A-2</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Floating Rate Notes Due 2024</w:t>
            </w:r>
          </w:p>
        </w:tc>
        <w:tc>
          <w:tcPr>
            <w:tcW w:w="8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Floating Rate Notes Due 2024</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3020" w:type="dxa"/>
            <w:vAlign w:val="bottom"/>
            <w:gridSpan w:val="2"/>
          </w:tcPr>
          <w:p>
            <w:pPr>
              <w:ind w:left="720"/>
              <w:spacing w:after="0"/>
              <w:rPr>
                <w:sz w:val="20"/>
                <w:szCs w:val="20"/>
                <w:color w:val="auto"/>
              </w:rPr>
            </w:pPr>
            <w:r>
              <w:rPr>
                <w:rFonts w:ascii="Arial" w:cs="Arial" w:eastAsia="Arial" w:hAnsi="Arial"/>
                <w:sz w:val="18"/>
                <w:szCs w:val="18"/>
                <w:color w:val="auto"/>
              </w:rPr>
              <w:t>$500,000,000</w:t>
            </w: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April 15, 2024</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Interest will accrue for each quarterly interest period at a rate equal to three-month LIBOR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plus 0.630%. The interest rate for the initial interest period from and including October 5,</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2018 to, but excluding January 15, 2019, is 3.03825%.</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1"/>
              </w:rPr>
              <w:t>The Floating Rate Notes Due 2024 need not be issued at the same time and the series may be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reopened for issuance of an unlimited principal amount of additional Floating Rate Notes Due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2024 under this series. Additional Floating Rate Notes Due 2024 of this series may be</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consolidated with, and form a single series with, the Floating Rate</w:t>
            </w:r>
          </w:p>
        </w:tc>
      </w:tr>
      <w:tr>
        <w:trPr>
          <w:trHeight w:val="311"/>
        </w:trPr>
        <w:tc>
          <w:tcPr>
            <w:tcW w:w="3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Notes Due 2024 then outstanding, including for purposes of determining whether the required</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percentage of the holders of record has given approval or consent to an amendment or waiver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or joined in directing the Trustee to take certain actions on behalf of all holders; provided that</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9"/>
              </w:rPr>
              <w:t>if such additional Floating Rate Notes are not fungible with the Floating Rate Notes Due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6"/>
              </w:rPr>
              <w:t>2024 then outstanding for U.S. federal income tax purposes, such additional Floating Rate</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Notes will 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Floating Rate Notes Due 2024 shall include such other terms as are set forth</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in the Form of Floating Rate Notes Due 2024 attached hereto as </w:t>
            </w:r>
            <w:r>
              <w:rPr>
                <w:rFonts w:ascii="Arial" w:cs="Arial" w:eastAsia="Arial" w:hAnsi="Arial"/>
                <w:sz w:val="18"/>
                <w:szCs w:val="18"/>
                <w:b w:val="1"/>
                <w:bCs w:val="1"/>
                <w:color w:val="auto"/>
              </w:rPr>
              <w:t>Exhibit A-3</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300%</w:t>
            </w:r>
            <w:r>
              <w:rPr>
                <w:rFonts w:ascii="Arial" w:cs="Arial" w:eastAsia="Arial" w:hAnsi="Arial"/>
                <w:sz w:val="18"/>
                <w:szCs w:val="18"/>
                <w:b w:val="1"/>
                <w:bCs w:val="1"/>
                <w:color w:val="auto"/>
                <w:w w:val="89"/>
              </w:rPr>
              <w:t xml:space="preserve"> Notes Due 2020</w:t>
            </w:r>
          </w:p>
        </w:tc>
        <w:tc>
          <w:tcPr>
            <w:tcW w:w="25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3.300% Notes Due 2020</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$1,750,000,000</w:t>
            </w: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 2020</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3.300%</w:t>
            </w: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The Company may at its option redeem the Notes Due 2020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Notes Due 2020, at the “Redemption Price.” The Company will calculate the Redemption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Price in connection with any redemption hereunder. The Redemption Price is the greater of (i)</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100% of the principal amount of the Notes Due 2020, and (ii) the sum of the present values of</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the principal amount of such notes and the scheduled payments of interest thereon (exclusive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of interest accrued to the date of redemption) from the redemption date to October 1, 2020, in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1"/>
              </w:rPr>
              <w:t>each case discounted to the redemption date on a semiannual basis (assuming a 360-day year</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consisting of twelve 30-day months) at the Treasury</w:t>
            </w:r>
          </w:p>
        </w:tc>
      </w:tr>
      <w:tr>
        <w:trPr>
          <w:trHeight w:val="311"/>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Rate (as defined in the Notes Due 2020) plus 10 basis points. In each case described in this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paragraph, the Redemption Price will include accrued and unpaid interest thereon to the date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of redemption, and in each case described in this paragraph, subject to the further description</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in the Prospectus Supplement dated October 2, 2018.</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Notes Due 2020 need not be issued at the same time and the series may be reopened for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issuance of an unlimited principal amount of additional Notes Due 2020 under this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series. Additional Notes Due 2020 of this series may be consolidated with, and form a single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series with, Notes Due 2020 then outstanding, including for purposes of determining whether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holders; provided that if such additional Notes Due 2020 are not fungible with the Notes Due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2020 then outstanding for U.S. federal income tax purposes, such additional Notes Due 2020</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Notes Due 2020 shall include such other terms as are set forth in the Form of</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Note Due 2020 attached hereto as </w:t>
            </w:r>
            <w:r>
              <w:rPr>
                <w:rFonts w:ascii="Arial" w:cs="Arial" w:eastAsia="Arial" w:hAnsi="Arial"/>
                <w:sz w:val="18"/>
                <w:szCs w:val="18"/>
                <w:b w:val="1"/>
                <w:bCs w:val="1"/>
                <w:color w:val="auto"/>
              </w:rPr>
              <w:t>Exhibit B-1</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450%</w:t>
            </w:r>
            <w:r>
              <w:rPr>
                <w:rFonts w:ascii="Arial" w:cs="Arial" w:eastAsia="Arial" w:hAnsi="Arial"/>
                <w:sz w:val="18"/>
                <w:szCs w:val="18"/>
                <w:b w:val="1"/>
                <w:bCs w:val="1"/>
                <w:color w:val="auto"/>
                <w:w w:val="89"/>
              </w:rPr>
              <w:t xml:space="preserve"> Notes Due 2021</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3.450% Notes Due 2021</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$2,000,000,000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 2021</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3.450%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The Company may at its option redeem the Notes Due 2021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prior notice delivered electronically or mailed to the registered</w:t>
            </w:r>
          </w:p>
        </w:tc>
      </w:tr>
      <w:tr>
        <w:trPr>
          <w:trHeight w:val="311"/>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4"/>
              </w:rPr>
              <w:t>address of each holder of the Notes Due 2021, at the “Redemption Price.” The Company will</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calculate the Redemption Price in connection with any redemption hereunder. The</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6"/>
              </w:rPr>
              <w:t>Redemption Price is the greater of (i) 100% of the principal amount of the Notes Due 2021,</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2"/>
              </w:rPr>
              <w:t>and (ii) the sum of the present values of the principal amount of such notes and the scheduled</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6"/>
              </w:rPr>
              <w:t>payments of interest thereon (exclusive of interest accrued to the date of redemption) from</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3"/>
              </w:rPr>
              <w:t>the redemption date to October 1, 2021, in each case discounted to the redemption date on a</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semiannual basis (assuming a 360-day year consisting of twelve 30-day months) at the</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1"/>
              </w:rPr>
              <w:t>Treasury Rate (as defined in the Notes Due 2021) plus 10 basis points. In each case described</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6"/>
              </w:rPr>
              <w:t>in this paragraph, the Redemption Price will include accrued and unpaid interest thereon to</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6"/>
              </w:rPr>
              <w:t>the date of redemption, and in each case described in this paragraph, subject to the further</w:t>
            </w:r>
          </w:p>
        </w:tc>
      </w:tr>
      <w:tr>
        <w:trPr>
          <w:trHeight w:val="230"/>
        </w:trPr>
        <w:tc>
          <w:tcPr>
            <w:tcW w:w="3020" w:type="dxa"/>
            <w:vAlign w:val="bottom"/>
          </w:tcPr>
          <w:p>
            <w:pPr>
              <w:spacing w:after="0"/>
              <w:rPr>
                <w:sz w:val="20"/>
                <w:szCs w:val="20"/>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description in the Prospectus Supplement dated October 2, 2018.</w:t>
            </w:r>
          </w:p>
        </w:tc>
      </w:tr>
      <w:tr>
        <w:trPr>
          <w:trHeight w:val="418"/>
        </w:trPr>
        <w:tc>
          <w:tcPr>
            <w:tcW w:w="30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2"/>
              </w:rPr>
              <w:t>The Notes Due 2021 need not be issued at the same time and the series may be reopened for</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issuance of an unlimited principal amount of additional Notes Due 2021 under this</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4"/>
              </w:rPr>
              <w:t>series. Additional Notes Due 2021 of this series may be consolidated with, and form a single</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4"/>
              </w:rPr>
              <w:t>series with, Notes Due 2021 then outstanding, including for purposes of determining whether</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4"/>
              </w:rPr>
              <w:t>holders; provided that if such additional Notes Due 2021 are not fungible with the Notes Due</w:t>
            </w:r>
          </w:p>
        </w:tc>
      </w:tr>
      <w:tr>
        <w:trPr>
          <w:trHeight w:val="216"/>
        </w:trPr>
        <w:tc>
          <w:tcPr>
            <w:tcW w:w="3020" w:type="dxa"/>
            <w:vAlign w:val="bottom"/>
          </w:tcPr>
          <w:p>
            <w:pPr>
              <w:spacing w:after="0"/>
              <w:rPr>
                <w:sz w:val="18"/>
                <w:szCs w:val="18"/>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4"/>
              </w:rPr>
              <w:t>2021 then outstanding for U.S. federal income tax purposes, such additional Notes due 2021</w:t>
            </w:r>
          </w:p>
        </w:tc>
      </w:tr>
      <w:tr>
        <w:trPr>
          <w:trHeight w:val="230"/>
        </w:trPr>
        <w:tc>
          <w:tcPr>
            <w:tcW w:w="3020" w:type="dxa"/>
            <w:vAlign w:val="bottom"/>
          </w:tcPr>
          <w:p>
            <w:pPr>
              <w:spacing w:after="0"/>
              <w:rPr>
                <w:sz w:val="20"/>
                <w:szCs w:val="20"/>
                <w:color w:val="auto"/>
              </w:rPr>
            </w:pP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None</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None</w:t>
            </w:r>
          </w:p>
        </w:tc>
      </w:tr>
      <w:tr>
        <w:trPr>
          <w:trHeight w:val="414"/>
        </w:trPr>
        <w:tc>
          <w:tcPr>
            <w:tcW w:w="30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w w:val="92"/>
              </w:rPr>
              <w:t>The terms of the Notes Due 2021 shall include such other terms as are set forth in the Form of</w:t>
            </w:r>
          </w:p>
        </w:tc>
      </w:tr>
      <w:tr>
        <w:trPr>
          <w:trHeight w:val="194"/>
        </w:trPr>
        <w:tc>
          <w:tcPr>
            <w:tcW w:w="3020" w:type="dxa"/>
            <w:vAlign w:val="bottom"/>
          </w:tcPr>
          <w:p>
            <w:pPr>
              <w:spacing w:after="0"/>
              <w:rPr>
                <w:sz w:val="16"/>
                <w:szCs w:val="16"/>
                <w:color w:val="auto"/>
              </w:rPr>
            </w:pPr>
          </w:p>
        </w:tc>
        <w:tc>
          <w:tcPr>
            <w:tcW w:w="8400" w:type="dxa"/>
            <w:vAlign w:val="bottom"/>
            <w:gridSpan w:val="5"/>
          </w:tcPr>
          <w:p>
            <w:pPr>
              <w:ind w:left="1440"/>
              <w:spacing w:after="0" w:line="194" w:lineRule="exact"/>
              <w:rPr>
                <w:sz w:val="20"/>
                <w:szCs w:val="20"/>
                <w:color w:val="auto"/>
              </w:rPr>
            </w:pPr>
            <w:r>
              <w:rPr>
                <w:rFonts w:ascii="Arial" w:cs="Arial" w:eastAsia="Arial" w:hAnsi="Arial"/>
                <w:sz w:val="18"/>
                <w:szCs w:val="18"/>
                <w:color w:val="auto"/>
              </w:rPr>
              <w:t xml:space="preserve">Note Due 2021 attached hereto as </w:t>
            </w:r>
            <w:r>
              <w:rPr>
                <w:rFonts w:ascii="Arial" w:cs="Arial" w:eastAsia="Arial" w:hAnsi="Arial"/>
                <w:sz w:val="18"/>
                <w:szCs w:val="18"/>
                <w:b w:val="1"/>
                <w:bCs w:val="1"/>
                <w:color w:val="auto"/>
              </w:rPr>
              <w:t>Exhibit B-2</w:t>
            </w:r>
            <w:r>
              <w:rPr>
                <w:rFonts w:ascii="Arial" w:cs="Arial" w:eastAsia="Arial" w:hAnsi="Arial"/>
                <w:sz w:val="18"/>
                <w:szCs w:val="18"/>
                <w:color w:val="auto"/>
              </w:rPr>
              <w:t>.</w:t>
            </w:r>
          </w:p>
        </w:tc>
      </w:tr>
      <w:tr>
        <w:trPr>
          <w:trHeight w:val="412"/>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700%</w:t>
            </w:r>
            <w:r>
              <w:rPr>
                <w:rFonts w:ascii="Arial" w:cs="Arial" w:eastAsia="Arial" w:hAnsi="Arial"/>
                <w:sz w:val="18"/>
                <w:szCs w:val="18"/>
                <w:b w:val="1"/>
                <w:bCs w:val="1"/>
                <w:color w:val="auto"/>
                <w:w w:val="89"/>
              </w:rPr>
              <w:t xml:space="preserve"> Notes Due 2024</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0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400" w:type="dxa"/>
            <w:vAlign w:val="bottom"/>
            <w:gridSpan w:val="5"/>
          </w:tcPr>
          <w:p>
            <w:pPr>
              <w:ind w:left="1440"/>
              <w:spacing w:after="0"/>
              <w:rPr>
                <w:sz w:val="20"/>
                <w:szCs w:val="20"/>
                <w:color w:val="auto"/>
              </w:rPr>
            </w:pPr>
            <w:r>
              <w:rPr>
                <w:rFonts w:ascii="Arial" w:cs="Arial" w:eastAsia="Arial" w:hAnsi="Arial"/>
                <w:sz w:val="18"/>
                <w:szCs w:val="18"/>
                <w:color w:val="auto"/>
              </w:rPr>
              <w:t>3.700% Notes Due 2024</w:t>
            </w:r>
          </w:p>
        </w:tc>
      </w:tr>
      <w:tr>
        <w:trPr>
          <w:trHeight w:val="527"/>
        </w:trPr>
        <w:tc>
          <w:tcPr>
            <w:tcW w:w="30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680" w:type="dxa"/>
            <w:vAlign w:val="bottom"/>
          </w:tcPr>
          <w:p>
            <w:pPr>
              <w:ind w:left="720"/>
              <w:spacing w:after="0"/>
              <w:rPr>
                <w:sz w:val="20"/>
                <w:szCs w:val="20"/>
                <w:color w:val="auto"/>
              </w:rPr>
            </w:pPr>
            <w:r>
              <w:rPr>
                <w:rFonts w:ascii="Arial" w:cs="Arial" w:eastAsia="Arial" w:hAnsi="Arial"/>
                <w:sz w:val="18"/>
                <w:szCs w:val="18"/>
                <w:color w:val="auto"/>
              </w:rPr>
              <w:t>$2,500,000,000</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tcPr>
          <w:p>
            <w:pPr>
              <w:ind w:left="720"/>
              <w:spacing w:after="0"/>
              <w:rPr>
                <w:sz w:val="20"/>
                <w:szCs w:val="20"/>
                <w:color w:val="auto"/>
              </w:rPr>
            </w:pPr>
            <w:r>
              <w:rPr>
                <w:rFonts w:ascii="Arial" w:cs="Arial" w:eastAsia="Arial" w:hAnsi="Arial"/>
                <w:sz w:val="18"/>
                <w:szCs w:val="18"/>
                <w:color w:val="auto"/>
              </w:rPr>
              <w:t>April 15, 2024</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7680" w:type="dxa"/>
            <w:vAlign w:val="bottom"/>
          </w:tcPr>
          <w:p>
            <w:pPr>
              <w:ind w:left="720"/>
              <w:spacing w:after="0"/>
              <w:rPr>
                <w:sz w:val="20"/>
                <w:szCs w:val="20"/>
                <w:color w:val="auto"/>
              </w:rPr>
            </w:pPr>
            <w:r>
              <w:rPr>
                <w:rFonts w:ascii="Arial" w:cs="Arial" w:eastAsia="Arial" w:hAnsi="Arial"/>
                <w:sz w:val="18"/>
                <w:szCs w:val="18"/>
                <w:color w:val="auto"/>
              </w:rPr>
              <w:t>3.700%</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tcPr>
          <w:p>
            <w:pPr>
              <w:ind w:left="720"/>
              <w:spacing w:after="0"/>
              <w:rPr>
                <w:sz w:val="20"/>
                <w:szCs w:val="20"/>
                <w:color w:val="auto"/>
              </w:rPr>
            </w:pPr>
            <w:r>
              <w:rPr>
                <w:rFonts w:ascii="Arial" w:cs="Arial" w:eastAsia="Arial" w:hAnsi="Arial"/>
                <w:sz w:val="18"/>
                <w:szCs w:val="18"/>
                <w:color w:val="auto"/>
                <w:w w:val="95"/>
              </w:rPr>
              <w:t>The Company may at its option redeem the Notes Due 2024 in whole or in part, at any time</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8"/>
              </w:rPr>
              <w:t>Notes Due 2024, at the “Redemption Price.” The Company will calculate the Redemption</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Price in connection with any redemption hereunder. Prior to March 15, 2024 (one month prior</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6"/>
              </w:rPr>
              <w:t>to the maturity of the Notes Due 2024) (the “2024 Par Call Date”), the Redemption Price is</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the greater of (i) 100% of the principal amount of the Notes Due 2024, and (ii) the sum of the</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present values of the principal amount of such notes and the scheduled payments of interest</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thereon (exclusive of interest accrued to the date of redemption) from the redemption date to</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1"/>
              </w:rPr>
              <w:t>the 2024 Par Call Date, in each case discounted to the redemption date on a semiannual basis</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9"/>
              </w:rPr>
              <w:t>(assuming a 360-day year consisting of twelve 30-day months) at the Treasury Rate (as</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defined in the Notes due 2024) plus 15 basis points. On and after the 2024 Par Call Date, the</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Redemption Price will equal 100% of the principal amount of such notes. In each case</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6"/>
              </w:rPr>
              <w:t>described in this paragraph, the Redemption Price will include accrued and unpaid interest</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2"/>
              </w:rPr>
              <w:t>thereon to the date of redemption, and in each case described in this paragraph, subject to the</w:t>
            </w:r>
          </w:p>
        </w:tc>
      </w:tr>
      <w:tr>
        <w:trPr>
          <w:trHeight w:val="230"/>
        </w:trPr>
        <w:tc>
          <w:tcPr>
            <w:tcW w:w="3740" w:type="dxa"/>
            <w:vAlign w:val="bottom"/>
          </w:tcPr>
          <w:p>
            <w:pPr>
              <w:spacing w:after="0"/>
              <w:rPr>
                <w:sz w:val="20"/>
                <w:szCs w:val="20"/>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further description in the Prospectus Supplement dated October 2, 2018.</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tcPr>
          <w:p>
            <w:pPr>
              <w:ind w:left="720"/>
              <w:spacing w:after="0"/>
              <w:rPr>
                <w:sz w:val="20"/>
                <w:szCs w:val="20"/>
                <w:color w:val="auto"/>
              </w:rPr>
            </w:pPr>
            <w:r>
              <w:rPr>
                <w:rFonts w:ascii="Arial" w:cs="Arial" w:eastAsia="Arial" w:hAnsi="Arial"/>
                <w:sz w:val="18"/>
                <w:szCs w:val="18"/>
                <w:color w:val="auto"/>
                <w:w w:val="92"/>
              </w:rPr>
              <w:t>The Notes Due 2024 need not be issued at the same time and the series may be reopened for</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issuance of an unlimited principal amount of additional Notes Due 2024 under this</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series. Additional Notes Due 2024 of this series may be consolidated with, and form a single</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w w:val="94"/>
              </w:rPr>
              <w:t>series with, Notes Due 2024 then outstanding, including for purposes of determining whether</w:t>
            </w:r>
          </w:p>
        </w:tc>
      </w:tr>
      <w:tr>
        <w:trPr>
          <w:trHeight w:val="216"/>
        </w:trPr>
        <w:tc>
          <w:tcPr>
            <w:tcW w:w="3740" w:type="dxa"/>
            <w:vAlign w:val="bottom"/>
          </w:tcPr>
          <w:p>
            <w:pPr>
              <w:spacing w:after="0"/>
              <w:rPr>
                <w:sz w:val="18"/>
                <w:szCs w:val="18"/>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30"/>
        </w:trPr>
        <w:tc>
          <w:tcPr>
            <w:tcW w:w="3740" w:type="dxa"/>
            <w:vAlign w:val="bottom"/>
          </w:tcPr>
          <w:p>
            <w:pPr>
              <w:spacing w:after="0"/>
              <w:rPr>
                <w:sz w:val="20"/>
                <w:szCs w:val="20"/>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amendment or waiver or joined in directing the</w:t>
            </w:r>
          </w:p>
        </w:tc>
      </w:tr>
      <w:tr>
        <w:trPr>
          <w:trHeight w:val="311"/>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Trustee to take certain actions on behalf of all holders; provided that if such additional Notes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Due 2024 are not fungible with the Notes Due 2024 then outstanding for U.S. federal income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tax purposes, such additional Notes Due 2024 will have one or more separate CUSIP</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Notes Due 2024 shall include such other terms as are set forth in the Form of</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Note Due 2024 attached hereto as </w:t>
            </w:r>
            <w:r>
              <w:rPr>
                <w:rFonts w:ascii="Arial" w:cs="Arial" w:eastAsia="Arial" w:hAnsi="Arial"/>
                <w:sz w:val="18"/>
                <w:szCs w:val="18"/>
                <w:b w:val="1"/>
                <w:bCs w:val="1"/>
                <w:color w:val="auto"/>
              </w:rPr>
              <w:t>Exhibit B-3</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950%</w:t>
            </w:r>
            <w:r>
              <w:rPr>
                <w:rFonts w:ascii="Arial" w:cs="Arial" w:eastAsia="Arial" w:hAnsi="Arial"/>
                <w:sz w:val="18"/>
                <w:szCs w:val="18"/>
                <w:b w:val="1"/>
                <w:bCs w:val="1"/>
                <w:color w:val="auto"/>
                <w:w w:val="89"/>
              </w:rPr>
              <w:t xml:space="preserve"> Notes Due 2025</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3.950% Notes Due 2025</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$3,000,000,000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15, 2025</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3.950%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The Company may at its option redeem the Notes Due 2025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Notes Due 2025, at the “Redemption Price.” The Company will calculate the Redemption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Price in connection with any redemption hereunder. Prior to August 15, 2015 (two months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9"/>
              </w:rPr>
              <w:t>prior to the maturity of the Notes Due 2025) (the “2025 Par Call Date”), the Redemption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Price is the greater of (i) 100% of the principal amount of the Notes Due 2025, and (ii)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sum of the present values of the principal amount of such notes and the scheduled payments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of interest thereon (exclusive of interest accrued to the date of redemption) from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redemption date to the 2025 Par Call Date, in each case discounted to the redemption date on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a semiannual basis (assuming a 360-day year consisting of twelve 30-day months) at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Treasury Rate (as defined in the Notes due 2025) plus 15 basis points. On and after the 2025</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Par Call Date, the Redemption Price will equal 100% of the principal amount of such notes.</w:t>
            </w:r>
          </w:p>
        </w:tc>
      </w:tr>
      <w:tr>
        <w:trPr>
          <w:trHeight w:val="311"/>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In each case described in this paragraph, the Redemption Price will include accrued and</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unpaid interest thereon to the date of redemption, and in each case described in this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paragraph, subject to the further description in the Prospectus Supplement dated October 2,</w:t>
            </w:r>
          </w:p>
        </w:tc>
      </w:tr>
      <w:tr>
        <w:trPr>
          <w:trHeight w:val="230"/>
        </w:trPr>
        <w:tc>
          <w:tcPr>
            <w:tcW w:w="3740" w:type="dxa"/>
            <w:vAlign w:val="bottom"/>
          </w:tcPr>
          <w:p>
            <w:pPr>
              <w:spacing w:after="0"/>
              <w:rPr>
                <w:sz w:val="20"/>
                <w:szCs w:val="20"/>
                <w:color w:val="auto"/>
              </w:rPr>
            </w:pP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Notes Due 2025 need not be issued at the same time and the series may be reopened for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issuance of an unlimited principal amount of additional Notes Due 2025 under this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series. Additional Notes Due 2025 of this series may be consolidated with, and form a single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series with, Notes Due 2025 then outstanding, including for purposes of determining whether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holders; provided that if such additional Notes Due 2025 are not fungible with the Notes Due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2025 then outstanding for U.S. federal income tax purposes, such additional Notes Due 2025</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Notes Due 2025 shall include such other terms as are set forth in the Form of</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Note Due 2025 attached hereto as </w:t>
            </w:r>
            <w:r>
              <w:rPr>
                <w:rFonts w:ascii="Arial" w:cs="Arial" w:eastAsia="Arial" w:hAnsi="Arial"/>
                <w:sz w:val="18"/>
                <w:szCs w:val="18"/>
                <w:b w:val="1"/>
                <w:bCs w:val="1"/>
                <w:color w:val="auto"/>
              </w:rPr>
              <w:t>Exhibit B-4</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18"/>
                <w:szCs w:val="18"/>
                <w:b w:val="1"/>
                <w:bCs w:val="1"/>
                <w:u w:val="single" w:color="auto"/>
                <w:color w:val="auto"/>
                <w:w w:val="89"/>
              </w:rPr>
              <w:t>150%</w:t>
            </w:r>
            <w:r>
              <w:rPr>
                <w:rFonts w:ascii="Arial" w:cs="Arial" w:eastAsia="Arial" w:hAnsi="Arial"/>
                <w:sz w:val="18"/>
                <w:szCs w:val="18"/>
                <w:b w:val="1"/>
                <w:bCs w:val="1"/>
                <w:color w:val="auto"/>
                <w:w w:val="89"/>
              </w:rPr>
              <w:t xml:space="preserve"> Notes Due 2028</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4.150% Notes Due 2028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$4,000,000,000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15, 2028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4.150%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The Company may at its option redeem the Notes Due 2028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Notes Due 2028, at the “Redemption Price.” The Company will</w:t>
            </w:r>
          </w:p>
        </w:tc>
      </w:tr>
      <w:tr>
        <w:trPr>
          <w:trHeight w:val="311"/>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6"/>
              </w:rPr>
              <w:t>calculate the Redemption Price in connection with any redemption hereunder. Prior to July</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15, 2028 (three months prior to the maturity of the Notes Due 2028) (the “2028 Par Call</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5"/>
              </w:rPr>
              <w:t>Date”), the Redemption Price is the greater of (i) 100% of the principal amount of the Notes</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2"/>
              </w:rPr>
              <w:t>Due 2028, and (ii) the sum of the present values of the principal amount of such notes and the</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scheduled payments of interest thereon (exclusive of interest accrued to the date of</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4"/>
              </w:rPr>
              <w:t>redemption) from the redemption date to the 2028 Par Call Date, in each case discounted to</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2"/>
              </w:rPr>
              <w:t>the redemption date on a semiannual basis (assuming a 360-day year consisting of twelve 30-</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2"/>
              </w:rPr>
              <w:t>day months) at the Treasury Rate (as defined in the Notes Due 2028) plus 20 basis points. On</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and after the 2028 Par Call Date, the Redemption Price will equal 100% of the principal</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6"/>
              </w:rPr>
              <w:t>amount of such notes. In each case described in this paragraph, the Redemption Price will</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8"/>
              </w:rPr>
              <w:t>include accrued and unpaid interest thereon to the date of redemption, and in each case</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5"/>
              </w:rPr>
              <w:t>described in this paragraph, subject to the further description in the Prospectus Supplement</w:t>
            </w:r>
          </w:p>
        </w:tc>
      </w:tr>
      <w:tr>
        <w:trPr>
          <w:trHeight w:val="230"/>
        </w:trPr>
        <w:tc>
          <w:tcPr>
            <w:tcW w:w="3020" w:type="dxa"/>
            <w:vAlign w:val="bottom"/>
          </w:tcPr>
          <w:p>
            <w:pPr>
              <w:spacing w:after="0"/>
              <w:rPr>
                <w:sz w:val="20"/>
                <w:szCs w:val="20"/>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dated October 2, 2018.</w:t>
            </w:r>
          </w:p>
        </w:tc>
      </w:tr>
      <w:tr>
        <w:trPr>
          <w:trHeight w:val="418"/>
        </w:trPr>
        <w:tc>
          <w:tcPr>
            <w:tcW w:w="30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2"/>
              </w:rPr>
              <w:t>The Notes Due 2028 need not be issued at the same time and the series may be reopened for</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issuance of an unlimited principal amount of additional Notes Due 2028 under this</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4"/>
              </w:rPr>
              <w:t>series. Additional Notes Due 2028 of this series may be consolidated with, and form a single</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4"/>
              </w:rPr>
              <w:t>series with, Notes Due 2028 then outstanding, including for purposes of determining whether</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4"/>
              </w:rPr>
              <w:t>holders; provided that if such additional Notes Due 2028 are not fungible with the Notes Due</w:t>
            </w:r>
          </w:p>
        </w:tc>
      </w:tr>
      <w:tr>
        <w:trPr>
          <w:trHeight w:val="216"/>
        </w:trPr>
        <w:tc>
          <w:tcPr>
            <w:tcW w:w="3020" w:type="dxa"/>
            <w:vAlign w:val="bottom"/>
          </w:tcPr>
          <w:p>
            <w:pPr>
              <w:spacing w:after="0"/>
              <w:rPr>
                <w:sz w:val="18"/>
                <w:szCs w:val="18"/>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3"/>
              </w:rPr>
              <w:t>2028 then outstanding for U.S. federal income tax purposes, such additional Notes Due 2028</w:t>
            </w:r>
          </w:p>
        </w:tc>
      </w:tr>
      <w:tr>
        <w:trPr>
          <w:trHeight w:val="230"/>
        </w:trPr>
        <w:tc>
          <w:tcPr>
            <w:tcW w:w="3020" w:type="dxa"/>
            <w:vAlign w:val="bottom"/>
          </w:tcPr>
          <w:p>
            <w:pPr>
              <w:spacing w:after="0"/>
              <w:rPr>
                <w:sz w:val="20"/>
                <w:szCs w:val="20"/>
                <w:color w:val="auto"/>
              </w:rPr>
            </w:pP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414"/>
        </w:trPr>
        <w:tc>
          <w:tcPr>
            <w:tcW w:w="30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400" w:type="dxa"/>
            <w:vAlign w:val="bottom"/>
            <w:gridSpan w:val="3"/>
          </w:tcPr>
          <w:p>
            <w:pPr>
              <w:ind w:left="1440"/>
              <w:spacing w:after="0"/>
              <w:rPr>
                <w:sz w:val="20"/>
                <w:szCs w:val="20"/>
                <w:color w:val="auto"/>
              </w:rPr>
            </w:pPr>
            <w:r>
              <w:rPr>
                <w:rFonts w:ascii="Arial" w:cs="Arial" w:eastAsia="Arial" w:hAnsi="Arial"/>
                <w:sz w:val="18"/>
                <w:szCs w:val="18"/>
                <w:color w:val="auto"/>
                <w:w w:val="92"/>
              </w:rPr>
              <w:t>The terms of the Notes Due 2028 shall include such other terms as are set forth in the Form of</w:t>
            </w:r>
          </w:p>
        </w:tc>
      </w:tr>
      <w:tr>
        <w:trPr>
          <w:trHeight w:val="194"/>
        </w:trPr>
        <w:tc>
          <w:tcPr>
            <w:tcW w:w="3020" w:type="dxa"/>
            <w:vAlign w:val="bottom"/>
          </w:tcPr>
          <w:p>
            <w:pPr>
              <w:spacing w:after="0"/>
              <w:rPr>
                <w:sz w:val="16"/>
                <w:szCs w:val="16"/>
                <w:color w:val="auto"/>
              </w:rPr>
            </w:pPr>
          </w:p>
        </w:tc>
        <w:tc>
          <w:tcPr>
            <w:tcW w:w="8400" w:type="dxa"/>
            <w:vAlign w:val="bottom"/>
            <w:gridSpan w:val="3"/>
          </w:tcPr>
          <w:p>
            <w:pPr>
              <w:ind w:left="1440"/>
              <w:spacing w:after="0" w:line="194" w:lineRule="exact"/>
              <w:rPr>
                <w:sz w:val="20"/>
                <w:szCs w:val="20"/>
                <w:color w:val="auto"/>
              </w:rPr>
            </w:pPr>
            <w:r>
              <w:rPr>
                <w:rFonts w:ascii="Arial" w:cs="Arial" w:eastAsia="Arial" w:hAnsi="Arial"/>
                <w:sz w:val="18"/>
                <w:szCs w:val="18"/>
                <w:color w:val="auto"/>
              </w:rPr>
              <w:t xml:space="preserve">Note Due 2028 attached hereto as </w:t>
            </w:r>
            <w:r>
              <w:rPr>
                <w:rFonts w:ascii="Arial" w:cs="Arial" w:eastAsia="Arial" w:hAnsi="Arial"/>
                <w:sz w:val="18"/>
                <w:szCs w:val="18"/>
                <w:b w:val="1"/>
                <w:bCs w:val="1"/>
                <w:color w:val="auto"/>
              </w:rPr>
              <w:t>Exhibit B-5</w:t>
            </w:r>
            <w:r>
              <w:rPr>
                <w:rFonts w:ascii="Arial" w:cs="Arial" w:eastAsia="Arial" w:hAnsi="Arial"/>
                <w:sz w:val="18"/>
                <w:szCs w:val="18"/>
                <w:color w:val="auto"/>
              </w:rPr>
              <w:t>.</w:t>
            </w:r>
          </w:p>
        </w:tc>
      </w:tr>
      <w:tr>
        <w:trPr>
          <w:trHeight w:val="331"/>
        </w:trPr>
        <w:tc>
          <w:tcPr>
            <w:tcW w:w="30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18"/>
                <w:szCs w:val="18"/>
                <w:b w:val="1"/>
                <w:bCs w:val="1"/>
                <w:u w:val="single" w:color="auto"/>
                <w:color w:val="auto"/>
                <w:w w:val="89"/>
              </w:rPr>
              <w:t>250%</w:t>
            </w:r>
            <w:r>
              <w:rPr>
                <w:rFonts w:ascii="Arial" w:cs="Arial" w:eastAsia="Arial" w:hAnsi="Arial"/>
                <w:sz w:val="18"/>
                <w:szCs w:val="18"/>
                <w:b w:val="1"/>
                <w:bCs w:val="1"/>
                <w:color w:val="auto"/>
                <w:w w:val="89"/>
              </w:rPr>
              <w:t xml:space="preserve"> Notes Due 2030</w:t>
            </w:r>
          </w:p>
        </w:tc>
        <w:tc>
          <w:tcPr>
            <w:tcW w:w="4880" w:type="dxa"/>
            <w:vAlign w:val="bottom"/>
          </w:tcPr>
          <w:p>
            <w:pPr>
              <w:spacing w:after="0"/>
              <w:rPr>
                <w:sz w:val="17"/>
                <w:szCs w:val="17"/>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4.250% Notes Due 2030</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$1,500,000,000</w:t>
            </w:r>
          </w:p>
        </w:tc>
        <w:tc>
          <w:tcPr>
            <w:tcW w:w="488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October 15, 2030</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4.250%</w:t>
            </w:r>
          </w:p>
        </w:tc>
        <w:tc>
          <w:tcPr>
            <w:tcW w:w="488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5"/>
              </w:rPr>
              <w:t>The Company may at its option redeem the Notes Due 2030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8"/>
              </w:rPr>
              <w:t>Notes Due 2030, at the “Redemption Price.” The Company will calculate the Redemption</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3"/>
              </w:rPr>
              <w:t>Price in connection with any redemption hereunder. Prior to July 15, 2030 (three months prior</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7"/>
              </w:rPr>
              <w:t>to the maturity of the Notes due 2030) (the “2030 Par Call Date”), the Redemption Price is</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4"/>
              </w:rPr>
              <w:t>the greater of (i) 100% of the principal amount of the Notes Due 2030, and (ii) the sum of the</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4"/>
              </w:rPr>
              <w:t>present values of the principal amount of such notes and the scheduled payments of interest</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4"/>
              </w:rPr>
              <w:t>thereon (exclusive of interest accrued to the date of redemption) from the redemption date to</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1"/>
              </w:rPr>
              <w:t>the 2030 Par Call Date, in each case discounted to the redemption date on a semiannual basis</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9"/>
              </w:rPr>
              <w:t>(assuming a 360-day year consisting of twelve 30-day months) at the Treasury Rate (as</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3"/>
              </w:rPr>
              <w:t>defined in the Notes due 2030) plus 20 basis points. On and after the 2030 Par Call Date, the</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Redemption Price will equal 100% of the principal amount of such notes. In each case</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6"/>
              </w:rPr>
              <w:t>described in this paragraph, the Redemption Price will include accrued and unpaid interest</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2"/>
              </w:rPr>
              <w:t>thereon to the date of redemption, and in each case described in this paragraph, subject to the</w:t>
            </w:r>
          </w:p>
        </w:tc>
      </w:tr>
      <w:tr>
        <w:trPr>
          <w:trHeight w:val="230"/>
        </w:trPr>
        <w:tc>
          <w:tcPr>
            <w:tcW w:w="3740" w:type="dxa"/>
            <w:vAlign w:val="bottom"/>
          </w:tcPr>
          <w:p>
            <w:pPr>
              <w:spacing w:after="0"/>
              <w:rPr>
                <w:sz w:val="20"/>
                <w:szCs w:val="20"/>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further description in the Prospectus Supplement dated October 2, 2018.</w:t>
            </w: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w w:val="92"/>
              </w:rPr>
              <w:t>The Notes Due 2030 need not be issued at the same time and the series may be reopened for</w:t>
            </w:r>
          </w:p>
        </w:tc>
      </w:tr>
      <w:tr>
        <w:trPr>
          <w:trHeight w:val="216"/>
        </w:trPr>
        <w:tc>
          <w:tcPr>
            <w:tcW w:w="3740" w:type="dxa"/>
            <w:vAlign w:val="bottom"/>
          </w:tcPr>
          <w:p>
            <w:pPr>
              <w:spacing w:after="0"/>
              <w:rPr>
                <w:sz w:val="18"/>
                <w:szCs w:val="18"/>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issuance of an unlimited principal amount of additional Notes Due 2030 under this</w:t>
            </w:r>
          </w:p>
        </w:tc>
      </w:tr>
      <w:tr>
        <w:trPr>
          <w:trHeight w:val="230"/>
        </w:trPr>
        <w:tc>
          <w:tcPr>
            <w:tcW w:w="3740" w:type="dxa"/>
            <w:vAlign w:val="bottom"/>
          </w:tcPr>
          <w:p>
            <w:pPr>
              <w:spacing w:after="0"/>
              <w:rPr>
                <w:sz w:val="20"/>
                <w:szCs w:val="20"/>
                <w:color w:val="auto"/>
              </w:rPr>
            </w:pPr>
          </w:p>
        </w:tc>
        <w:tc>
          <w:tcPr>
            <w:tcW w:w="7680" w:type="dxa"/>
            <w:vAlign w:val="bottom"/>
            <w:gridSpan w:val="3"/>
          </w:tcPr>
          <w:p>
            <w:pPr>
              <w:ind w:left="720"/>
              <w:spacing w:after="0"/>
              <w:rPr>
                <w:sz w:val="20"/>
                <w:szCs w:val="20"/>
                <w:color w:val="auto"/>
              </w:rPr>
            </w:pPr>
            <w:r>
              <w:rPr>
                <w:rFonts w:ascii="Arial" w:cs="Arial" w:eastAsia="Arial" w:hAnsi="Arial"/>
                <w:sz w:val="18"/>
                <w:szCs w:val="18"/>
                <w:color w:val="auto"/>
              </w:rPr>
              <w:t>series. Additional Notes Due 2030 of this series may be consolidated with, and</w:t>
            </w:r>
          </w:p>
        </w:tc>
      </w:tr>
      <w:tr>
        <w:trPr>
          <w:trHeight w:val="311"/>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form a single series with, Notes Due 2030 then outstanding, including for purposes of</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determining whether the required percentage of the holders of record has given approval 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consent to an amendment or waiver or joined in directing the Trustee to take certain actions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9"/>
              </w:rPr>
              <w:t>on behalf of all holders; provided that if such additional Notes Due 2030 are not fungible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with the Notes Due 2030 then outstanding for U.S. federal income tax purposes, such</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additional Notes Due 2030 will 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Notes Due 2030 shall include such other terms as are set forth in the Form of</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Note Due 2030 attached hereto as </w:t>
            </w:r>
            <w:r>
              <w:rPr>
                <w:rFonts w:ascii="Arial" w:cs="Arial" w:eastAsia="Arial" w:hAnsi="Arial"/>
                <w:sz w:val="18"/>
                <w:szCs w:val="18"/>
                <w:b w:val="1"/>
                <w:bCs w:val="1"/>
                <w:color w:val="auto"/>
              </w:rPr>
              <w:t>Exhibit B-6</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18"/>
                <w:szCs w:val="18"/>
                <w:b w:val="1"/>
                <w:bCs w:val="1"/>
                <w:u w:val="single" w:color="auto"/>
                <w:color w:val="auto"/>
                <w:w w:val="89"/>
              </w:rPr>
              <w:t>600%</w:t>
            </w:r>
            <w:r>
              <w:rPr>
                <w:rFonts w:ascii="Arial" w:cs="Arial" w:eastAsia="Arial" w:hAnsi="Arial"/>
                <w:sz w:val="18"/>
                <w:szCs w:val="18"/>
                <w:b w:val="1"/>
                <w:bCs w:val="1"/>
                <w:color w:val="auto"/>
                <w:w w:val="89"/>
              </w:rPr>
              <w:t xml:space="preserve"> Notes Due 2038</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4.600% Notes Due 2038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$3,000,000,000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15, 2038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4.600%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The Company may at its option redeem the Notes Due 2038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Notes Due 2038, at the “Redemption Price.” The Company will calculate the Redemption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Price in connection with any redemption hereunder. Prior to April 15, 2038 (six months prior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to the maturity of the Notes due 2038) (the “2038 Par Call Date”), the Redemption Price 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the greater of (i) 100% of the principal amount of the Notes due 2038, and (ii) the sum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present values of the principal amount of such notes and the scheduled payments of interest</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thereon (exclusive of interest accrued to the date of redemption) from the redemption date to</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the 2038 Par Call Date, in each case discounted to the</w:t>
            </w:r>
          </w:p>
        </w:tc>
      </w:tr>
      <w:tr>
        <w:trPr>
          <w:trHeight w:val="311"/>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redemption date on a semiannual basis (assuming a 360-day year consisting of twelve 30-day</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months) at the Treasury Rate (as defined in the Notes due 2038) plus 25 basis points. On and</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after the 2038 Par Call Date, the Redemption Price will equal 100% of the principal amount</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6"/>
              </w:rPr>
              <w:t>of such notes. In each case described in this paragraph, the Redemption Price will include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accrued and unpaid interest thereon to the date of redemption, and in each case described in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this paragraph, subject to the further description in the Prospectus Supplement dated October</w:t>
            </w:r>
          </w:p>
        </w:tc>
      </w:tr>
      <w:tr>
        <w:trPr>
          <w:trHeight w:val="230"/>
        </w:trPr>
        <w:tc>
          <w:tcPr>
            <w:tcW w:w="3740" w:type="dxa"/>
            <w:vAlign w:val="bottom"/>
          </w:tcPr>
          <w:p>
            <w:pPr>
              <w:spacing w:after="0"/>
              <w:rPr>
                <w:sz w:val="20"/>
                <w:szCs w:val="20"/>
                <w:color w:val="auto"/>
              </w:rPr>
            </w:pP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2, 2018.</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Notes Due 2038 need not be issued at the same time and the series may be reopened for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issuance of an unlimited principal amount of additional Notes Due 2038 under this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series. Additional Notes Due 2038 of this series may be consolidated with, and form a single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series with, Notes Due 2038 then outstanding, including for purposes of determining whether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holders; provided that if such additional Notes Due 2038 are not fungible with the Notes Due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2038 then outstanding for U.S. federal income tax purposes, such additional Notes due 2038</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Notes Due 2038 shall include such other terms as are set forth in the Form of</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Note Due 2038 attached hereto as </w:t>
            </w:r>
            <w:r>
              <w:rPr>
                <w:rFonts w:ascii="Arial" w:cs="Arial" w:eastAsia="Arial" w:hAnsi="Arial"/>
                <w:sz w:val="18"/>
                <w:szCs w:val="18"/>
                <w:b w:val="1"/>
                <w:bCs w:val="1"/>
                <w:color w:val="auto"/>
              </w:rPr>
              <w:t>Exhibit B-7</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18"/>
                <w:szCs w:val="18"/>
                <w:b w:val="1"/>
                <w:bCs w:val="1"/>
                <w:u w:val="single" w:color="auto"/>
                <w:color w:val="auto"/>
                <w:w w:val="89"/>
              </w:rPr>
              <w:t>700%</w:t>
            </w:r>
            <w:r>
              <w:rPr>
                <w:rFonts w:ascii="Arial" w:cs="Arial" w:eastAsia="Arial" w:hAnsi="Arial"/>
                <w:sz w:val="18"/>
                <w:szCs w:val="18"/>
                <w:b w:val="1"/>
                <w:bCs w:val="1"/>
                <w:color w:val="auto"/>
                <w:w w:val="89"/>
              </w:rPr>
              <w:t xml:space="preserve"> Notes Due 2048</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4.700% Notes Due 2048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$4,000,000,000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15, 2048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4.700%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27"/>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400" w:type="dxa"/>
            <w:vAlign w:val="bottom"/>
          </w:tcPr>
          <w:p>
            <w:pPr>
              <w:ind w:left="1440"/>
              <w:spacing w:after="0"/>
              <w:rPr>
                <w:sz w:val="20"/>
                <w:szCs w:val="20"/>
                <w:color w:val="auto"/>
              </w:rPr>
            </w:pPr>
            <w:r>
              <w:rPr>
                <w:rFonts w:ascii="Arial" w:cs="Arial" w:eastAsia="Arial" w:hAnsi="Arial"/>
                <w:sz w:val="18"/>
                <w:szCs w:val="18"/>
                <w:color w:val="auto"/>
                <w:w w:val="95"/>
              </w:rPr>
              <w:t>The Company may at its option redeem the Notes Due 2048 in whole or in part, at any time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8"/>
              </w:rPr>
              <w:t>Notes Due 2048, at the “Redemption Price.” The Company will calculate the Redemption</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5"/>
              </w:rPr>
              <w:t>Price in connection with any redemption hereunder. Prior to April 15, 2048 (six months prior</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7"/>
              </w:rPr>
              <w:t>to the maturity of the Notes due 2048) (the “2048 Par Call Date”), the Redemption Price is</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the greater of (i) 100% of the principal amount of the Notes Due 2048, and (ii) the sum of the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present values of the principal amount of such notes and the scheduled payments of interest</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thereon (exclusive of interest accrued to the date of redemption) from the redemption date to</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1"/>
              </w:rPr>
              <w:t>the 2048 Par Call Date, in each case discounted to the redemption date on a semiannual basis</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9"/>
              </w:rPr>
              <w:t>(assuming a 360-day year consisting of twelve 30-day months) at the Treasury Rate (as</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3"/>
              </w:rPr>
              <w:t>defined in the Notes due 2048) plus 25 basis points. On and after the 2048 Par Call Date, the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rPr>
              <w:t>Redemption Price will equal 100% of the principal amount of such notes. In each case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6"/>
              </w:rPr>
              <w:t>described in this paragraph, the Redemption Price will include accrued and unpaid interest</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2"/>
              </w:rPr>
              <w:t>thereon to the date of redemption, and in each case described in this paragraph, subject to the</w:t>
            </w:r>
          </w:p>
        </w:tc>
      </w:tr>
      <w:tr>
        <w:trPr>
          <w:trHeight w:val="230"/>
        </w:trPr>
        <w:tc>
          <w:tcPr>
            <w:tcW w:w="3020" w:type="dxa"/>
            <w:vAlign w:val="bottom"/>
          </w:tcPr>
          <w:p>
            <w:pPr>
              <w:spacing w:after="0"/>
              <w:rPr>
                <w:sz w:val="20"/>
                <w:szCs w:val="20"/>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rPr>
              <w:t>further description in the Prospectus Supplement dated October 2, 2018.</w:t>
            </w:r>
          </w:p>
        </w:tc>
      </w:tr>
      <w:tr>
        <w:trPr>
          <w:trHeight w:val="418"/>
        </w:trPr>
        <w:tc>
          <w:tcPr>
            <w:tcW w:w="30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400" w:type="dxa"/>
            <w:vAlign w:val="bottom"/>
          </w:tcPr>
          <w:p>
            <w:pPr>
              <w:ind w:left="1440"/>
              <w:spacing w:after="0"/>
              <w:rPr>
                <w:sz w:val="20"/>
                <w:szCs w:val="20"/>
                <w:color w:val="auto"/>
              </w:rPr>
            </w:pPr>
            <w:r>
              <w:rPr>
                <w:rFonts w:ascii="Arial" w:cs="Arial" w:eastAsia="Arial" w:hAnsi="Arial"/>
                <w:sz w:val="18"/>
                <w:szCs w:val="18"/>
                <w:color w:val="auto"/>
                <w:w w:val="92"/>
              </w:rPr>
              <w:t>The Notes Due 2048 need not be issued at the same time and the series may be reopened for</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rPr>
              <w:t>issuance of an unlimited principal amount of additional Notes Due 2048 under this</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series. Additional Notes Due 2048 of this series may be consolidated with, and form a single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series with, Notes Due 2048 then outstanding, including for purposes of determining whether</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4"/>
              </w:rPr>
              <w:t>holders; provided that if such additional Notes Due 2048 are not fungible with the Notes Due</w:t>
            </w:r>
          </w:p>
        </w:tc>
      </w:tr>
      <w:tr>
        <w:trPr>
          <w:trHeight w:val="216"/>
        </w:trPr>
        <w:tc>
          <w:tcPr>
            <w:tcW w:w="3020" w:type="dxa"/>
            <w:vAlign w:val="bottom"/>
          </w:tcPr>
          <w:p>
            <w:pPr>
              <w:spacing w:after="0"/>
              <w:rPr>
                <w:sz w:val="18"/>
                <w:szCs w:val="18"/>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w w:val="93"/>
              </w:rPr>
              <w:t>2048 then outstanding for U.S. federal income tax purposes, such additional Notes Due 2048</w:t>
            </w:r>
          </w:p>
        </w:tc>
      </w:tr>
      <w:tr>
        <w:trPr>
          <w:trHeight w:val="230"/>
        </w:trPr>
        <w:tc>
          <w:tcPr>
            <w:tcW w:w="3020" w:type="dxa"/>
            <w:vAlign w:val="bottom"/>
          </w:tcPr>
          <w:p>
            <w:pPr>
              <w:spacing w:after="0"/>
              <w:rPr>
                <w:sz w:val="20"/>
                <w:szCs w:val="20"/>
                <w:color w:val="auto"/>
              </w:rPr>
            </w:pPr>
          </w:p>
        </w:tc>
        <w:tc>
          <w:tcPr>
            <w:tcW w:w="8400" w:type="dxa"/>
            <w:vAlign w:val="bottom"/>
          </w:tcPr>
          <w:p>
            <w:pPr>
              <w:ind w:left="144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400" w:type="dxa"/>
            <w:vAlign w:val="bottom"/>
          </w:tcPr>
          <w:p>
            <w:pPr>
              <w:ind w:left="1440"/>
              <w:spacing w:after="0"/>
              <w:rPr>
                <w:sz w:val="20"/>
                <w:szCs w:val="20"/>
                <w:color w:val="auto"/>
              </w:rPr>
            </w:pPr>
            <w:r>
              <w:rPr>
                <w:rFonts w:ascii="Arial" w:cs="Arial" w:eastAsia="Arial" w:hAnsi="Arial"/>
                <w:sz w:val="18"/>
                <w:szCs w:val="18"/>
                <w:color w:val="auto"/>
              </w:rPr>
              <w:t>None</w:t>
            </w:r>
          </w:p>
        </w:tc>
      </w:tr>
      <w:tr>
        <w:trPr>
          <w:trHeight w:val="527"/>
        </w:trPr>
        <w:tc>
          <w:tcPr>
            <w:tcW w:w="30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37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 terms of the Notes Due 2048 shall include such other terms as are set forth in the Form of</w:t>
            </w:r>
          </w:p>
        </w:tc>
      </w:tr>
      <w:tr>
        <w:trPr>
          <w:trHeight w:val="194"/>
        </w:trPr>
        <w:tc>
          <w:tcPr>
            <w:tcW w:w="3740" w:type="dxa"/>
            <w:vAlign w:val="bottom"/>
          </w:tcPr>
          <w:p>
            <w:pPr>
              <w:spacing w:after="0"/>
              <w:rPr>
                <w:sz w:val="16"/>
                <w:szCs w:val="16"/>
                <w:color w:val="auto"/>
              </w:rPr>
            </w:pPr>
          </w:p>
        </w:tc>
        <w:tc>
          <w:tcPr>
            <w:tcW w:w="7680" w:type="dxa"/>
            <w:vAlign w:val="bottom"/>
            <w:gridSpan w:val="5"/>
          </w:tcPr>
          <w:p>
            <w:pPr>
              <w:ind w:left="720"/>
              <w:spacing w:after="0" w:line="194" w:lineRule="exact"/>
              <w:rPr>
                <w:sz w:val="20"/>
                <w:szCs w:val="20"/>
                <w:color w:val="auto"/>
              </w:rPr>
            </w:pPr>
            <w:r>
              <w:rPr>
                <w:rFonts w:ascii="Arial" w:cs="Arial" w:eastAsia="Arial" w:hAnsi="Arial"/>
                <w:sz w:val="18"/>
                <w:szCs w:val="18"/>
                <w:color w:val="auto"/>
              </w:rPr>
              <w:t xml:space="preserve">Note Due 2048 attached hereto as </w:t>
            </w:r>
            <w:r>
              <w:rPr>
                <w:rFonts w:ascii="Arial" w:cs="Arial" w:eastAsia="Arial" w:hAnsi="Arial"/>
                <w:sz w:val="18"/>
                <w:szCs w:val="18"/>
                <w:b w:val="1"/>
                <w:bCs w:val="1"/>
                <w:color w:val="auto"/>
              </w:rPr>
              <w:t>Exhibit B-8</w:t>
            </w:r>
            <w:r>
              <w:rPr>
                <w:rFonts w:ascii="Arial" w:cs="Arial" w:eastAsia="Arial" w:hAnsi="Arial"/>
                <w:sz w:val="18"/>
                <w:szCs w:val="18"/>
                <w:color w:val="auto"/>
              </w:rPr>
              <w:t>.</w:t>
            </w:r>
          </w:p>
        </w:tc>
      </w:tr>
      <w:tr>
        <w:trPr>
          <w:trHeight w:val="412"/>
        </w:trPr>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18"/>
                <w:szCs w:val="18"/>
                <w:b w:val="1"/>
                <w:bCs w:val="1"/>
                <w:u w:val="single" w:color="auto"/>
                <w:color w:val="auto"/>
                <w:w w:val="89"/>
              </w:rPr>
              <w:t>950%</w:t>
            </w:r>
            <w:r>
              <w:rPr>
                <w:rFonts w:ascii="Arial" w:cs="Arial" w:eastAsia="Arial" w:hAnsi="Arial"/>
                <w:sz w:val="18"/>
                <w:szCs w:val="18"/>
                <w:b w:val="1"/>
                <w:bCs w:val="1"/>
                <w:color w:val="auto"/>
                <w:w w:val="89"/>
              </w:rPr>
              <w:t xml:space="preserve"> Notes Due 2058</w:t>
            </w: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7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4.950% Notes Due 2058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$2,500,000,000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October 15, 2058</w:t>
            </w:r>
          </w:p>
        </w:tc>
      </w:tr>
      <w:tr>
        <w:trPr>
          <w:trHeight w:val="432"/>
        </w:trPr>
        <w:tc>
          <w:tcPr>
            <w:tcW w:w="37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720"/>
              <w:spacing w:after="0"/>
              <w:rPr>
                <w:sz w:val="20"/>
                <w:szCs w:val="20"/>
                <w:color w:val="auto"/>
              </w:rPr>
            </w:pPr>
            <w:r>
              <w:rPr>
                <w:rFonts w:ascii="Arial" w:cs="Arial" w:eastAsia="Arial" w:hAnsi="Arial"/>
                <w:sz w:val="18"/>
                <w:szCs w:val="18"/>
                <w:color w:val="auto"/>
              </w:rPr>
              <w:t>4.950%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The Company may at its option redeem the Notes Due 2058 in whole or in part, at any time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7"/>
              </w:rPr>
              <w:t>or from time to time prior to their maturity, on at least 15 days, but not more than 30 days,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prior notice delivered electronically or mailed to the registered address of each holder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8"/>
              </w:rPr>
              <w:t>Notes Due 2058, at the “Redemption Price.” The Company will calculate the Redemption</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5"/>
              </w:rPr>
              <w:t>Price in connection with any redemption hereunder. Prior to April 15, 2058 (six months prior</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6"/>
              </w:rPr>
              <w:t>to the maturity of the Notes Due 2058) (the “2058 Par Call Date”), the Redemption Price 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the greater of (i) 100% of the principal amount of the Notes Due 2058, and (ii) the sum of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present values of the principal amount of such notes and the scheduled payments of interest</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4"/>
              </w:rPr>
              <w:t>thereon (exclusive of interest accrued to the date of redemption) from the redemption date to</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1"/>
              </w:rPr>
              <w:t>the 2058 Par Call Date, in each case discounted to the redemption date on a semiannual basis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9"/>
              </w:rPr>
              <w:t>(assuming a 360-day year consisting of twelve 30-day months) at the Treasury Rate (as</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3"/>
              </w:rPr>
              <w:t>defined in the Notes due 2058) plus 30 basis points. On and after the 2058 Par Call Date, the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Redemption Price will equal 100% of the principal amount of such notes. In each case</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6"/>
              </w:rPr>
              <w:t>described in this paragraph, the Redemption Price will include accrued and unpaid interest</w:t>
            </w:r>
          </w:p>
        </w:tc>
      </w:tr>
      <w:tr>
        <w:trPr>
          <w:trHeight w:val="216"/>
        </w:trPr>
        <w:tc>
          <w:tcPr>
            <w:tcW w:w="3740" w:type="dxa"/>
            <w:vAlign w:val="bottom"/>
          </w:tcPr>
          <w:p>
            <w:pPr>
              <w:spacing w:after="0"/>
              <w:rPr>
                <w:sz w:val="18"/>
                <w:szCs w:val="18"/>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w w:val="92"/>
              </w:rPr>
              <w:t>thereon to the date of redemption, and in each case described in this paragraph, subject to the</w:t>
            </w:r>
          </w:p>
        </w:tc>
      </w:tr>
      <w:tr>
        <w:trPr>
          <w:trHeight w:val="230"/>
        </w:trPr>
        <w:tc>
          <w:tcPr>
            <w:tcW w:w="3740" w:type="dxa"/>
            <w:vAlign w:val="bottom"/>
          </w:tcPr>
          <w:p>
            <w:pPr>
              <w:spacing w:after="0"/>
              <w:rPr>
                <w:sz w:val="20"/>
                <w:szCs w:val="20"/>
                <w:color w:val="auto"/>
              </w:rPr>
            </w:pPr>
          </w:p>
        </w:tc>
        <w:tc>
          <w:tcPr>
            <w:tcW w:w="7680" w:type="dxa"/>
            <w:vAlign w:val="bottom"/>
            <w:gridSpan w:val="5"/>
          </w:tcPr>
          <w:p>
            <w:pPr>
              <w:ind w:left="720"/>
              <w:spacing w:after="0"/>
              <w:rPr>
                <w:sz w:val="20"/>
                <w:szCs w:val="20"/>
                <w:color w:val="auto"/>
              </w:rPr>
            </w:pPr>
            <w:r>
              <w:rPr>
                <w:rFonts w:ascii="Arial" w:cs="Arial" w:eastAsia="Arial" w:hAnsi="Arial"/>
                <w:sz w:val="18"/>
                <w:szCs w:val="18"/>
                <w:color w:val="auto"/>
              </w:rPr>
              <w:t>further description in the Prospectus Supplement dated October 2, 2018.</w:t>
            </w:r>
          </w:p>
        </w:tc>
      </w:tr>
      <w:tr>
        <w:trPr>
          <w:trHeight w:val="527"/>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0"/>
              </w:rPr>
              <w:t>The Notes Due 2058 need not be issued at the same time and the series may be reopened for</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rPr>
              <w:t>issuance of an unlimited principal amount of additional Notes Due 2058 under this</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2"/>
              </w:rPr>
              <w:t>series. Additional Notes Due 2058 of this series may be consolidated with, and form a single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1"/>
              </w:rPr>
              <w:t>series with, Notes Due 2058 then outstanding, including for purposes of determining whether</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rPr>
              <w:t>the required percentage of the holders of record has given approval or consent to an</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1"/>
              </w:rPr>
              <w:t>amendment or waiver or joined in directing the Trustee to take certain actions on behalf of all</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2"/>
              </w:rPr>
              <w:t>holders; provided that if such additional Notes due 2058 are not fungible with the Notes Due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1"/>
              </w:rPr>
              <w:t>2058 then outstanding for U.S. federal income tax purposes, such additional Notes Due 2058</w:t>
            </w:r>
          </w:p>
        </w:tc>
      </w:tr>
      <w:tr>
        <w:trPr>
          <w:trHeight w:val="230"/>
        </w:trPr>
        <w:tc>
          <w:tcPr>
            <w:tcW w:w="3020" w:type="dxa"/>
            <w:vAlign w:val="bottom"/>
          </w:tcPr>
          <w:p>
            <w:pPr>
              <w:spacing w:after="0"/>
              <w:rPr>
                <w:sz w:val="20"/>
                <w:szCs w:val="20"/>
                <w:color w:val="auto"/>
              </w:rPr>
            </w:pP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rPr>
              <w:t>will have one or more separate CUSIP numbers.</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432"/>
        </w:trPr>
        <w:tc>
          <w:tcPr>
            <w:tcW w:w="30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414"/>
        </w:trPr>
        <w:tc>
          <w:tcPr>
            <w:tcW w:w="30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220" w:type="dxa"/>
            <w:vAlign w:val="bottom"/>
            <w:gridSpan w:val="3"/>
          </w:tcPr>
          <w:p>
            <w:pPr>
              <w:ind w:left="1440"/>
              <w:spacing w:after="0"/>
              <w:rPr>
                <w:sz w:val="20"/>
                <w:szCs w:val="20"/>
                <w:color w:val="auto"/>
              </w:rPr>
            </w:pPr>
            <w:r>
              <w:rPr>
                <w:rFonts w:ascii="Arial" w:cs="Arial" w:eastAsia="Arial" w:hAnsi="Arial"/>
                <w:sz w:val="18"/>
                <w:szCs w:val="18"/>
                <w:color w:val="auto"/>
                <w:w w:val="90"/>
              </w:rPr>
              <w:t>The terms of the Notes Due 2058 shall include such other terms as are set forth in the Form of</w:t>
            </w:r>
          </w:p>
        </w:tc>
      </w:tr>
      <w:tr>
        <w:trPr>
          <w:trHeight w:val="194"/>
        </w:trPr>
        <w:tc>
          <w:tcPr>
            <w:tcW w:w="3020" w:type="dxa"/>
            <w:vAlign w:val="bottom"/>
          </w:tcPr>
          <w:p>
            <w:pPr>
              <w:spacing w:after="0"/>
              <w:rPr>
                <w:sz w:val="16"/>
                <w:szCs w:val="16"/>
                <w:color w:val="auto"/>
              </w:rPr>
            </w:pPr>
          </w:p>
        </w:tc>
        <w:tc>
          <w:tcPr>
            <w:tcW w:w="8220" w:type="dxa"/>
            <w:vAlign w:val="bottom"/>
            <w:gridSpan w:val="3"/>
          </w:tcPr>
          <w:p>
            <w:pPr>
              <w:ind w:left="1440"/>
              <w:spacing w:after="0" w:line="194" w:lineRule="exact"/>
              <w:rPr>
                <w:sz w:val="20"/>
                <w:szCs w:val="20"/>
                <w:color w:val="auto"/>
              </w:rPr>
            </w:pPr>
            <w:r>
              <w:rPr>
                <w:rFonts w:ascii="Arial" w:cs="Arial" w:eastAsia="Arial" w:hAnsi="Arial"/>
                <w:sz w:val="18"/>
                <w:szCs w:val="18"/>
                <w:color w:val="auto"/>
              </w:rPr>
              <w:t xml:space="preserve">Note Due 2058 attached hereto as </w:t>
            </w:r>
            <w:r>
              <w:rPr>
                <w:rFonts w:ascii="Arial" w:cs="Arial" w:eastAsia="Arial" w:hAnsi="Arial"/>
                <w:sz w:val="18"/>
                <w:szCs w:val="18"/>
                <w:b w:val="1"/>
                <w:bCs w:val="1"/>
                <w:color w:val="auto"/>
              </w:rPr>
              <w:t>Exhibit B-9</w:t>
            </w: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IN WITNESS WHEREOF, the undersigned officers of the Company have duly executed this certificate as of the date first set forth above.</w:t>
      </w:r>
    </w:p>
    <w:p>
      <w:pPr>
        <w:sectPr>
          <w:pgSz w:w="11900" w:h="16838" w:orient="portrait"/>
          <w:cols w:equalWidth="0" w:num="1">
            <w:col w:w="9940"/>
          </w:cols>
          <w:pgMar w:left="900" w:top="584" w:right="10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-130810</wp:posOffset>
            </wp:positionV>
            <wp:extent cx="2752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900" w:val="left"/>
        </w:tabs>
        <w:rPr>
          <w:sz w:val="20"/>
          <w:szCs w:val="20"/>
          <w:color w:val="auto"/>
        </w:rPr>
      </w:pPr>
      <w:r>
        <w:rPr>
          <w:rFonts w:ascii="Arial" w:cs="Arial" w:eastAsia="Arial" w:hAnsi="Arial"/>
          <w:sz w:val="18"/>
          <w:szCs w:val="18"/>
          <w:color w:val="auto"/>
        </w:rPr>
        <w:t>Title:</w:t>
        <w:tab/>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-130810</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both"/>
        <w:ind w:left="5300"/>
        <w:spacing w:after="0"/>
        <w:tabs>
          <w:tab w:leader="none" w:pos="586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Officers’ Certificate Pursuant to the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363855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40"/>
          </w:cols>
          <w:pgMar w:left="900" w:top="584" w:right="105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auto"/>
        </w:rPr>
        <w:t>EXHIBIT A-1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FLOATING RATE NOTE DUE 2020]</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Floating Rate Note Due 2020</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CV1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US20030NCV10</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220"/>
            <w:col w:w="8100" w:space="720"/>
            <w:col w:w="2000"/>
          </w:cols>
          <w:pgMar w:left="240" w:top="904" w:right="239" w:bottom="1440" w:gutter="0" w:footer="0" w:header="0"/>
          <w:type w:val="continuous"/>
        </w:sectPr>
      </w:pP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promises to pay to CEDE &amp; CO. or registered assigns, the principal sum of $[ ] ([ ] Million Dollars) on October 1, 2020 (the “</w:t>
      </w:r>
      <w:r>
        <w:rPr>
          <w:rFonts w:ascii="Arial" w:cs="Arial" w:eastAsia="Arial" w:hAnsi="Arial"/>
          <w:sz w:val="18"/>
          <w:szCs w:val="18"/>
          <w:b w:val="1"/>
          <w:bCs w:val="1"/>
          <w:color w:val="auto"/>
        </w:rPr>
        <w:t>Maturity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Dates: January 1, April 1, July 1 and October 1 (each, an “</w:t>
      </w:r>
      <w:r>
        <w:rPr>
          <w:rFonts w:ascii="Arial" w:cs="Arial" w:eastAsia="Arial" w:hAnsi="Arial"/>
          <w:sz w:val="17"/>
          <w:szCs w:val="17"/>
          <w:b w:val="1"/>
          <w:bCs w:val="1"/>
          <w:color w:val="auto"/>
        </w:rPr>
        <w:t>Interest Payment Date</w:t>
      </w:r>
      <w:r>
        <w:rPr>
          <w:rFonts w:ascii="Arial" w:cs="Arial" w:eastAsia="Arial" w:hAnsi="Arial"/>
          <w:sz w:val="17"/>
          <w:szCs w:val="17"/>
          <w:color w:val="auto"/>
        </w:rPr>
        <w:t>”), commencing on January 1, 2019.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December 15, March 15, June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If the Maturity Date is not a Business Day (defined below), the payment due on such day shall be made on the next succeeding Business Day with the same force and effect as if made on the due date and no additional interest shall accrue for the period from and after the Maturity Date to such next succeeding Business Day. If an Interest Payment Date, other than the Maturity Date, is not a Business Day, the interest payment due on such day shall be made on the next succeeding Business Day, except that if such succeeding Business Day is in the next succeeding calendar month, the interest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1" w:name="page22"/>
    <w:bookmarkEnd w:id="21"/>
    <w:p>
      <w:pPr>
        <w:spacing w:after="0" w:line="261" w:lineRule="auto"/>
        <w:rPr>
          <w:sz w:val="20"/>
          <w:szCs w:val="20"/>
          <w:color w:val="auto"/>
        </w:rPr>
      </w:pPr>
      <w:r>
        <w:rPr>
          <w:rFonts w:ascii="Arial" w:cs="Arial" w:eastAsia="Arial" w:hAnsi="Arial"/>
          <w:sz w:val="18"/>
          <w:szCs w:val="18"/>
          <w:color w:val="auto"/>
        </w:rPr>
        <w:t>due on such day shall be made on the immediately preceding Business Day. “</w:t>
      </w:r>
      <w:r>
        <w:rPr>
          <w:rFonts w:ascii="Arial" w:cs="Arial" w:eastAsia="Arial" w:hAnsi="Arial"/>
          <w:sz w:val="18"/>
          <w:szCs w:val="18"/>
          <w:b w:val="1"/>
          <w:bCs w:val="1"/>
          <w:color w:val="auto"/>
        </w:rPr>
        <w:t>Business Day</w:t>
      </w:r>
      <w:r>
        <w:rPr>
          <w:rFonts w:ascii="Arial" w:cs="Arial" w:eastAsia="Arial" w:hAnsi="Arial"/>
          <w:sz w:val="18"/>
          <w:szCs w:val="18"/>
          <w:color w:val="auto"/>
        </w:rPr>
        <w:t>” means any Monday, Tuesday, Wednesday, Thursday or Friday that is not a day on which banking institutions in the City of New York are authorized or obligated by law or executive order to close, provided that such day is also a London Banking Day. “</w:t>
      </w:r>
      <w:r>
        <w:rPr>
          <w:rFonts w:ascii="Arial" w:cs="Arial" w:eastAsia="Arial" w:hAnsi="Arial"/>
          <w:sz w:val="18"/>
          <w:szCs w:val="18"/>
          <w:b w:val="1"/>
          <w:bCs w:val="1"/>
          <w:color w:val="auto"/>
        </w:rPr>
        <w:t>London Banking Day</w:t>
      </w:r>
      <w:r>
        <w:rPr>
          <w:rFonts w:ascii="Arial" w:cs="Arial" w:eastAsia="Arial" w:hAnsi="Arial"/>
          <w:sz w:val="18"/>
          <w:szCs w:val="18"/>
          <w:color w:val="auto"/>
        </w:rPr>
        <w:t>” means any day on which dealings in United States dollars are transacted in the London interbank 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Floating Rate Note Due 2020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Floating Rate Note Due 2020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Floating Rate Note Due 2020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Note Due 2020</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equal to LIBOR (defined below), as determined on the applicable Interest Determination Date (defined below) by the Calculation Agent (defined below), plus 0.330%. The interest rate per annum will be reset quarterly effective the first day of each Interest Period (defined below) (the date on which each such reset occurs, an “</w:t>
      </w:r>
      <w:r>
        <w:rPr>
          <w:rFonts w:ascii="Arial" w:cs="Arial" w:eastAsia="Arial" w:hAnsi="Arial"/>
          <w:sz w:val="16"/>
          <w:szCs w:val="16"/>
          <w:b w:val="1"/>
          <w:bCs w:val="1"/>
          <w:color w:val="auto"/>
        </w:rPr>
        <w:t>Interest Reset Date</w:t>
      </w:r>
      <w:r>
        <w:rPr>
          <w:rFonts w:ascii="Arial" w:cs="Arial" w:eastAsia="Arial" w:hAnsi="Arial"/>
          <w:sz w:val="16"/>
          <w:szCs w:val="16"/>
          <w:color w:val="auto"/>
        </w:rPr>
        <w:t>”). The interest rate will in no event be higher than the maximum rate permitted by New York law as the same may be modified by United States law of general application. Additionally, the interest rate on the Securities will in no event be lower than zero.</w:t>
      </w:r>
    </w:p>
    <w:p>
      <w:pPr>
        <w:spacing w:after="0" w:line="15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The amount of interest for each day the Securities are outstanding (the “</w:t>
      </w:r>
      <w:r>
        <w:rPr>
          <w:rFonts w:ascii="Arial" w:cs="Arial" w:eastAsia="Arial" w:hAnsi="Arial"/>
          <w:sz w:val="18"/>
          <w:szCs w:val="18"/>
          <w:b w:val="1"/>
          <w:bCs w:val="1"/>
          <w:color w:val="auto"/>
        </w:rPr>
        <w:t>Daily Interest Amount</w:t>
      </w:r>
      <w:r>
        <w:rPr>
          <w:rFonts w:ascii="Arial" w:cs="Arial" w:eastAsia="Arial" w:hAnsi="Arial"/>
          <w:sz w:val="18"/>
          <w:szCs w:val="18"/>
          <w:color w:val="auto"/>
        </w:rPr>
        <w:t>”) will be calculated by dividing the interest rate in effect for that day by 360 and multiplying the result by the principal amount of the Securities. The amount of interest to be paid on the Securities for each Interest Period will be calculated by adding the Daily Interest Amounts for each day in the Interest Period.</w:t>
      </w:r>
    </w:p>
    <w:p>
      <w:pPr>
        <w:spacing w:after="0" w:line="1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Except as described below for the first Interest Period, on each Interest Payment Date, interest will be paid for the period commencing on and including the immediately preceding Interest Payment Date and ending on and including the next day preceding that Interest Payment Date. This period is referred to as an “</w:t>
      </w:r>
      <w:r>
        <w:rPr>
          <w:rFonts w:ascii="Arial" w:cs="Arial" w:eastAsia="Arial" w:hAnsi="Arial"/>
          <w:sz w:val="17"/>
          <w:szCs w:val="17"/>
          <w:b w:val="1"/>
          <w:bCs w:val="1"/>
          <w:color w:val="auto"/>
        </w:rPr>
        <w:t>Interest Period</w:t>
      </w:r>
      <w:r>
        <w:rPr>
          <w:rFonts w:ascii="Arial" w:cs="Arial" w:eastAsia="Arial" w:hAnsi="Arial"/>
          <w:sz w:val="17"/>
          <w:szCs w:val="17"/>
          <w:color w:val="auto"/>
        </w:rPr>
        <w:t>”. “</w:t>
      </w:r>
      <w:r>
        <w:rPr>
          <w:rFonts w:ascii="Arial" w:cs="Arial" w:eastAsia="Arial" w:hAnsi="Arial"/>
          <w:sz w:val="17"/>
          <w:szCs w:val="17"/>
          <w:b w:val="1"/>
          <w:bCs w:val="1"/>
          <w:color w:val="auto"/>
        </w:rPr>
        <w:t>Interest Determination Date</w:t>
      </w:r>
      <w:r>
        <w:rPr>
          <w:rFonts w:ascii="Arial" w:cs="Arial" w:eastAsia="Arial" w:hAnsi="Arial"/>
          <w:sz w:val="17"/>
          <w:szCs w:val="17"/>
          <w:color w:val="auto"/>
        </w:rPr>
        <w:t>” with respect to an Interest Period (other than the first Interest Period) will be the second Business Day preceding the first day of the Interest Period. The first Interest Period will begin on and include October 5, 2018 and will end on but exclude January 1, 2019. With respect to the first Interest Period, LIBOR shall be equal to 2.40825%.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will be determined by the Calculation Agent in accordance with the following provisions:</w:t>
      </w:r>
    </w:p>
    <w:p>
      <w:pPr>
        <w:spacing w:after="0" w:line="229" w:lineRule="exact"/>
        <w:rPr>
          <w:sz w:val="20"/>
          <w:szCs w:val="20"/>
          <w:color w:val="auto"/>
        </w:rPr>
      </w:pPr>
    </w:p>
    <w:p>
      <w:pPr>
        <w:ind w:right="40" w:firstLine="656"/>
        <w:spacing w:after="0" w:line="276" w:lineRule="auto"/>
        <w:tabs>
          <w:tab w:leader="none" w:pos="1583" w:val="left"/>
        </w:tabs>
        <w:numPr>
          <w:ilvl w:val="0"/>
          <w:numId w:val="3"/>
        </w:numPr>
        <w:rPr>
          <w:rFonts w:ascii="Arial" w:cs="Arial" w:eastAsia="Arial" w:hAnsi="Arial"/>
          <w:sz w:val="17"/>
          <w:szCs w:val="17"/>
          <w:color w:val="auto"/>
        </w:rPr>
      </w:pPr>
      <w:r>
        <w:rPr>
          <w:rFonts w:ascii="Arial" w:cs="Arial" w:eastAsia="Arial" w:hAnsi="Arial"/>
          <w:sz w:val="17"/>
          <w:szCs w:val="17"/>
          <w:color w:val="auto"/>
        </w:rPr>
        <w:t>With respect to any Interest Determination Date, LIBOR will be the rate for deposits in United States dollars having a maturity of three months commencing on the first day of the applicable Interest Period that appears on Bloomberg L.P.’s page “BBAM” (as defined below) as of 11:00 a.m., London time, on that Interest Determination Date. If no rate appears on Bloomberg L.P.’s page “BBAM”, the Calculation Agent will obtain such rate from Reuters Screen LIBOR01 Page (as defined below). In no rate appears on Bloomberg L.P.’s page “BBAM” or Reuters Screen LIBOR01 Page, then LIBOR, in respect of that Interest Determination Date, will be determined in accordance with the provisions described in (ii) and (iii)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ind w:right="40" w:firstLine="656"/>
        <w:spacing w:after="0" w:line="287" w:lineRule="auto"/>
        <w:tabs>
          <w:tab w:leader="none" w:pos="1543"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Bloomberg L.P.’s page “BBAM” or Reuters Screen LIBOR01 Page, except as provided in clause (iii) below, as specified in (i) above, the Issuer will request the principal London offices of each of four major reference banks in the London interbank market, as selected by the Issuer, to provide the Calculation Agent with its offered quotation for deposits in United States dollars for the period of three months, commencing on the first day of the applicable Interest Period, to prime banks in the London interbank market at approximately 11:00 a.m., London time, on that Interest Determination Date and in a principal amount that is representative for a single transaction in United States dollars in that market at that time. If at least two quotations are provided, then LIBOR on that Interest Determination Date will be the arithmetic average of those quotations. If fewer than two quotations are provided, the Issuer will select three major banks in the City of New York and shall request each of them to provide to the Calculation Agent a quotation of the rate offered by them at approximately 11:00 a.m., in the City of New York, on the Interest Determination Date for loans in United States dollars to leading European banks, having a three-month maturity and in a principal amount that is representative for a single transaction in United States dollars in that market at that time. If three quotations are provided, LIBOR will be the arithmetic average of the quotations provided; provided, however, that if the banks selected by the Issuer are not providing quotations in the manner described by this sentence, LIBOR will be the same as the rate determined for the immediately preceding Interest Reset Date.</w:t>
      </w:r>
    </w:p>
    <w:p>
      <w:pPr>
        <w:spacing w:after="0" w:line="168" w:lineRule="exact"/>
        <w:rPr>
          <w:rFonts w:ascii="Arial" w:cs="Arial" w:eastAsia="Arial" w:hAnsi="Arial"/>
          <w:sz w:val="16"/>
          <w:szCs w:val="16"/>
          <w:color w:val="auto"/>
        </w:rPr>
      </w:pPr>
    </w:p>
    <w:p>
      <w:pPr>
        <w:ind w:right="20" w:firstLine="656"/>
        <w:spacing w:after="0" w:line="289" w:lineRule="auto"/>
        <w:tabs>
          <w:tab w:leader="none" w:pos="1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Notwithstanding clause (ii) above, if the Issuer determines that LIBOR has been permanently discontinued, the calculation agent will use, as directed by the Issuer, as a substitute for LIBOR and for each future Interest Determination Date, the Alternative Rate (as defined below). As part of such substitution, the Calculation Agent will, as directed by the Issuer, make such adjustments (“</w:t>
      </w:r>
      <w:r>
        <w:rPr>
          <w:rFonts w:ascii="Arial" w:cs="Arial" w:eastAsia="Arial" w:hAnsi="Arial"/>
          <w:sz w:val="16"/>
          <w:szCs w:val="16"/>
          <w:b w:val="1"/>
          <w:bCs w:val="1"/>
          <w:color w:val="auto"/>
        </w:rPr>
        <w:t>Adjustments</w:t>
      </w:r>
      <w:r>
        <w:rPr>
          <w:rFonts w:ascii="Arial" w:cs="Arial" w:eastAsia="Arial" w:hAnsi="Arial"/>
          <w:sz w:val="16"/>
          <w:szCs w:val="16"/>
          <w:color w:val="auto"/>
        </w:rPr>
        <w:t>”) to the Alternative Rate or the spread thereon, as well as the business day convention, Interest Determination Dates and related provisions and definitions, in each case that are consistent with accepted market practice for the use of such Alternative Rate for debt obligations such as the Securities; provided, however, that if the Issuer determines that there is no Alternative Rate that is consistent with accepted market practice regarding a substitute for LIBOR, the Issuer will appoint in its sole discretion an independent financial advisor (“</w:t>
      </w:r>
      <w:r>
        <w:rPr>
          <w:rFonts w:ascii="Arial" w:cs="Arial" w:eastAsia="Arial" w:hAnsi="Arial"/>
          <w:sz w:val="16"/>
          <w:szCs w:val="16"/>
          <w:b w:val="1"/>
          <w:bCs w:val="1"/>
          <w:color w:val="auto"/>
        </w:rPr>
        <w:t>IFA</w:t>
      </w:r>
      <w:r>
        <w:rPr>
          <w:rFonts w:ascii="Arial" w:cs="Arial" w:eastAsia="Arial" w:hAnsi="Arial"/>
          <w:sz w:val="16"/>
          <w:szCs w:val="16"/>
          <w:color w:val="auto"/>
        </w:rPr>
        <w:t>”) to determine the Alternative Rate and make any Adjustments thereon, and whose determinations will be binding on the Issuer, the Trustee and Holders of the Securities. If, however, the Issuer determines that LIBOR has been discontinued, but for any reason an Alternative Rate has not been determined, LIBOR will be equal to the rate on the rate of LIBOR for the current Interest Period.</w:t>
      </w:r>
    </w:p>
    <w:p>
      <w:pPr>
        <w:spacing w:after="0" w:line="16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Rate</w:t>
      </w:r>
      <w:r>
        <w:rPr>
          <w:rFonts w:ascii="Arial" w:cs="Arial" w:eastAsia="Arial" w:hAnsi="Arial"/>
          <w:sz w:val="18"/>
          <w:szCs w:val="18"/>
          <w:color w:val="auto"/>
        </w:rPr>
        <w:t>” means the reference rate selected by the central bank, reserve bank, monetary authority or any similar institution (including any committee or working group thereof) that is consistent with accepted market practice.</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 L.P.’s page “BBAM”</w:t>
      </w:r>
      <w:r>
        <w:rPr>
          <w:rFonts w:ascii="Arial" w:cs="Arial" w:eastAsia="Arial" w:hAnsi="Arial"/>
          <w:sz w:val="16"/>
          <w:szCs w:val="16"/>
          <w:color w:val="auto"/>
        </w:rPr>
        <w:t>” means the display designated as Bloomberg L.P.’s page “BBAM” (or such other page as may replace page BBAM on that service or any successor service for the purpose of displaying London interbank offered rates for United States dollar deposits of major banks).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Reuters Screen LIBOR01 Page</w:t>
      </w:r>
      <w:r>
        <w:rPr>
          <w:rFonts w:ascii="Arial" w:cs="Arial" w:eastAsia="Arial" w:hAnsi="Arial"/>
          <w:sz w:val="16"/>
          <w:szCs w:val="16"/>
          <w:color w:val="auto"/>
        </w:rPr>
        <w:t>” means the display designated on page “LIBOR01” on Reuters (or such other page as may replace the LIBOR01 page on that service or any successor service for the purpose of displaying London interbank offered rates for U.S. dollar deposits of major banks).</w:t>
      </w:r>
    </w:p>
    <w:p>
      <w:pPr>
        <w:spacing w:after="0" w:line="12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principal amount of the Securities surrendered.</w:t>
      </w:r>
    </w:p>
    <w:p>
      <w:pPr>
        <w:spacing w:after="0" w:line="16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Paying Agent; Calculation Agent.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Initially, the Trustee will act as Paying Agent and Calculation Agent. The Issuer may change any Paying Agent or the Calculation Agent without notice to the 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Calculation Agent will, upon the request of the Holder of this Security, provide the interest rate then in effect with respect to the Securities.</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calculations made by the Calculation Agent for purposes of calculating interest on the Securities shall be conclusive and binding on the Holders, the Trustee and the Issuer, absent manifest error.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7" w:name="page28"/>
    <w:bookmarkEnd w:id="27"/>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Each Guarantor has irrevocably, fully and unconditionally guaranteed, jointly and severally, on an unsecured basis, the full and punctual payment (whether at maturity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6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w:t>
      </w:r>
    </w:p>
    <w:p>
      <w:pPr>
        <w:spacing w:after="0" w:line="1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may not redeem the Securities prior to maturity.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t>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0" w:name="page31"/>
    <w:bookmarkEnd w:id="30"/>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A-2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FLOATING RATE NOTE DUE 2021]</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right"/>
        <w:ind w:right="458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right"/>
        <w:ind w:right="4600"/>
        <w:spacing w:after="0"/>
        <w:rPr>
          <w:sz w:val="20"/>
          <w:szCs w:val="20"/>
          <w:color w:val="auto"/>
        </w:rPr>
      </w:pPr>
      <w:r>
        <w:rPr>
          <w:rFonts w:ascii="Arial" w:cs="Arial" w:eastAsia="Arial" w:hAnsi="Arial"/>
          <w:sz w:val="18"/>
          <w:szCs w:val="18"/>
          <w:b w:val="1"/>
          <w:bCs w:val="1"/>
          <w:color w:val="auto"/>
        </w:rPr>
        <w:t>Floating Rate Note Due 2021</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CW9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US20030NCW92</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260"/>
            <w:col w:w="8020" w:space="720"/>
            <w:col w:w="2040"/>
          </w:cols>
          <w:pgMar w:left="240" w:top="580" w:right="239" w:bottom="1440" w:gutter="0" w:footer="0" w:header="0"/>
          <w:type w:val="continuous"/>
        </w:sectPr>
      </w:pP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promises to pay to CEDE &amp; CO. or registered assigns, the principal sum of $[ ] ([ ] Million Dollars) on October 1, 2021 (the “</w:t>
      </w:r>
      <w:r>
        <w:rPr>
          <w:rFonts w:ascii="Arial" w:cs="Arial" w:eastAsia="Arial" w:hAnsi="Arial"/>
          <w:sz w:val="18"/>
          <w:szCs w:val="18"/>
          <w:b w:val="1"/>
          <w:bCs w:val="1"/>
          <w:color w:val="auto"/>
        </w:rPr>
        <w:t>Maturity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Dates: January 1, April 1, July 1 and October 1 (each, an “</w:t>
      </w:r>
      <w:r>
        <w:rPr>
          <w:rFonts w:ascii="Arial" w:cs="Arial" w:eastAsia="Arial" w:hAnsi="Arial"/>
          <w:sz w:val="17"/>
          <w:szCs w:val="17"/>
          <w:b w:val="1"/>
          <w:bCs w:val="1"/>
          <w:color w:val="auto"/>
        </w:rPr>
        <w:t>Interest Payment Date</w:t>
      </w:r>
      <w:r>
        <w:rPr>
          <w:rFonts w:ascii="Arial" w:cs="Arial" w:eastAsia="Arial" w:hAnsi="Arial"/>
          <w:sz w:val="17"/>
          <w:szCs w:val="17"/>
          <w:color w:val="auto"/>
        </w:rPr>
        <w:t>”), commencing on January 1, 2019.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December 15, March 15, June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If the Maturity Date is not a Business Day (defined below), the payment due on such day shall be made on the next succeeding Business Day with the same force and effect as if made on the due date and no additional interest shall accrue for the period from and after the Maturity Date to such next succeeding Business Day. If an Interest Payment Date, other than the Maturity Date, is not a Business Day, the interest payment due on such day shall be made on the next succeeding Business Day, except that if such succeeding Business Day is in the next succeeding calendar month, the interest payment due on such day shall be made on the immediately preceding Business Day. “</w:t>
      </w:r>
      <w:r>
        <w:rPr>
          <w:rFonts w:ascii="Arial" w:cs="Arial" w:eastAsia="Arial" w:hAnsi="Arial"/>
          <w:sz w:val="17"/>
          <w:szCs w:val="17"/>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2" w:name="page33"/>
    <w:bookmarkEnd w:id="32"/>
    <w:p>
      <w:pPr>
        <w:spacing w:after="0" w:line="266" w:lineRule="auto"/>
        <w:rPr>
          <w:sz w:val="20"/>
          <w:szCs w:val="20"/>
          <w:color w:val="auto"/>
        </w:rPr>
      </w:pPr>
      <w:r>
        <w:rPr>
          <w:rFonts w:ascii="Arial" w:cs="Arial" w:eastAsia="Arial" w:hAnsi="Arial"/>
          <w:sz w:val="18"/>
          <w:szCs w:val="18"/>
          <w:b w:val="1"/>
          <w:bCs w:val="1"/>
          <w:color w:val="auto"/>
        </w:rPr>
        <w:t>Day</w:t>
      </w:r>
      <w:r>
        <w:rPr>
          <w:rFonts w:ascii="Arial" w:cs="Arial" w:eastAsia="Arial" w:hAnsi="Arial"/>
          <w:sz w:val="18"/>
          <w:szCs w:val="18"/>
          <w:color w:val="auto"/>
        </w:rPr>
        <w:t>” means any Monday, Tuesday, Wednesday, Thursday or Friday that is not a day on which banking institutions in the City of New York are authorized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by law or executive order to close, provided that such day is also a London Banking Day. “</w:t>
      </w:r>
      <w:r>
        <w:rPr>
          <w:rFonts w:ascii="Arial" w:cs="Arial" w:eastAsia="Arial" w:hAnsi="Arial"/>
          <w:sz w:val="18"/>
          <w:szCs w:val="18"/>
          <w:b w:val="1"/>
          <w:bCs w:val="1"/>
          <w:color w:val="auto"/>
        </w:rPr>
        <w:t>London Banking Day</w:t>
      </w:r>
      <w:r>
        <w:rPr>
          <w:rFonts w:ascii="Arial" w:cs="Arial" w:eastAsia="Arial" w:hAnsi="Arial"/>
          <w:sz w:val="18"/>
          <w:szCs w:val="18"/>
          <w:color w:val="auto"/>
        </w:rPr>
        <w:t>” means any day on which dealings in United States dollars are transacted in the London interbank market.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Note Due 2021</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equal to LIBOR (defined below), as determined on the applicable Interest Determination Date (defined below) by the Calculation Agent (defined below), plus 0.440%. The interest rate per annum will be reset quarterly effective the first day of each Interest Period (defined below) (the date on which each such reset occurs, an “</w:t>
      </w:r>
      <w:r>
        <w:rPr>
          <w:rFonts w:ascii="Arial" w:cs="Arial" w:eastAsia="Arial" w:hAnsi="Arial"/>
          <w:sz w:val="16"/>
          <w:szCs w:val="16"/>
          <w:b w:val="1"/>
          <w:bCs w:val="1"/>
          <w:color w:val="auto"/>
        </w:rPr>
        <w:t>Interest Reset Date</w:t>
      </w:r>
      <w:r>
        <w:rPr>
          <w:rFonts w:ascii="Arial" w:cs="Arial" w:eastAsia="Arial" w:hAnsi="Arial"/>
          <w:sz w:val="16"/>
          <w:szCs w:val="16"/>
          <w:color w:val="auto"/>
        </w:rPr>
        <w:t>”). The interest rate will in no event be higher than the maximum rate permitted by New York law as the same may be modified by United States law of general application. Additionally, the interest rate on the Securities will in no event be lower than zero.</w:t>
      </w:r>
    </w:p>
    <w:p>
      <w:pPr>
        <w:spacing w:after="0" w:line="15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The amount of interest for each day the Securities are outstanding (the “</w:t>
      </w:r>
      <w:r>
        <w:rPr>
          <w:rFonts w:ascii="Arial" w:cs="Arial" w:eastAsia="Arial" w:hAnsi="Arial"/>
          <w:sz w:val="18"/>
          <w:szCs w:val="18"/>
          <w:b w:val="1"/>
          <w:bCs w:val="1"/>
          <w:color w:val="auto"/>
        </w:rPr>
        <w:t>Daily Interest Amount</w:t>
      </w:r>
      <w:r>
        <w:rPr>
          <w:rFonts w:ascii="Arial" w:cs="Arial" w:eastAsia="Arial" w:hAnsi="Arial"/>
          <w:sz w:val="18"/>
          <w:szCs w:val="18"/>
          <w:color w:val="auto"/>
        </w:rPr>
        <w:t>”) will be calculated by dividing the interest rate in effect for that day by 360 and multiplying the result by the principal amount of the Securities. The amount of interest to be paid on the Securities for each Interest Period will be calculated by adding the Daily Interest Amounts for each day in the Interest Period.</w:t>
      </w:r>
    </w:p>
    <w:p>
      <w:pPr>
        <w:spacing w:after="0" w:line="1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Except as described below for the first Interest Period, on each Interest Payment Date, interest will be paid for the period commencing on and including the immediately preceding Interest Payment Date and ending on and including the next day preceding that Interest Payment Date. This period is referred to as an “</w:t>
      </w:r>
      <w:r>
        <w:rPr>
          <w:rFonts w:ascii="Arial" w:cs="Arial" w:eastAsia="Arial" w:hAnsi="Arial"/>
          <w:sz w:val="17"/>
          <w:szCs w:val="17"/>
          <w:b w:val="1"/>
          <w:bCs w:val="1"/>
          <w:color w:val="auto"/>
        </w:rPr>
        <w:t>Interest Period</w:t>
      </w:r>
      <w:r>
        <w:rPr>
          <w:rFonts w:ascii="Arial" w:cs="Arial" w:eastAsia="Arial" w:hAnsi="Arial"/>
          <w:sz w:val="17"/>
          <w:szCs w:val="17"/>
          <w:color w:val="auto"/>
        </w:rPr>
        <w:t>”. “</w:t>
      </w:r>
      <w:r>
        <w:rPr>
          <w:rFonts w:ascii="Arial" w:cs="Arial" w:eastAsia="Arial" w:hAnsi="Arial"/>
          <w:sz w:val="17"/>
          <w:szCs w:val="17"/>
          <w:b w:val="1"/>
          <w:bCs w:val="1"/>
          <w:color w:val="auto"/>
        </w:rPr>
        <w:t>Interest Determination Date</w:t>
      </w:r>
      <w:r>
        <w:rPr>
          <w:rFonts w:ascii="Arial" w:cs="Arial" w:eastAsia="Arial" w:hAnsi="Arial"/>
          <w:sz w:val="17"/>
          <w:szCs w:val="17"/>
          <w:color w:val="auto"/>
        </w:rPr>
        <w:t>” with respect to an Interest Period (other than the first Interest Period) will be the second Business Day preceding the first day of the Interest Period. The first Interest Period will begin on and include October 5, 2018 and will end on but exclude January 1, 2019. With respect to the first Interest Period, LIBOR shall be equal to 2.40825%.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will be determined by the Calculation Agent in accordance with the following provisions:</w:t>
      </w:r>
    </w:p>
    <w:p>
      <w:pPr>
        <w:spacing w:after="0" w:line="229" w:lineRule="exact"/>
        <w:rPr>
          <w:sz w:val="20"/>
          <w:szCs w:val="20"/>
          <w:color w:val="auto"/>
        </w:rPr>
      </w:pPr>
    </w:p>
    <w:p>
      <w:pPr>
        <w:ind w:right="40" w:firstLine="656"/>
        <w:spacing w:after="0" w:line="276" w:lineRule="auto"/>
        <w:tabs>
          <w:tab w:leader="none" w:pos="15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any Interest Determination Date, LIBOR will be the rate for deposits in United States dollars having a maturity of three months commencing on the first day of the applicable Interest Period that appears on Bloomberg L.P.’s page “BBAM” (as defined below) as of 11:00 a.m., London time, on that Interest Determination Date. If no rate appears on Bloomberg L.P.’s page “BBAM”, the Calculation Agent will obtain such rate from Reuters Screen LIBOR01 Page (as defined below). In no rate appears on Bloomberg L.P.’s page “BBAM” or Reuters Screen LIBOR01 Page, then LIBOR, in respect of that Interest Determination Date, will be determined in accordance with the provisions described in (ii) and (iii) below.</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 w:name="page37"/>
    <w:bookmarkEnd w:id="36"/>
    <w:p>
      <w:pPr>
        <w:ind w:right="40" w:firstLine="656"/>
        <w:spacing w:after="0" w:line="287" w:lineRule="auto"/>
        <w:tabs>
          <w:tab w:leader="none" w:pos="15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Bloomberg L.P.’s page “BBAM” or Reuters Screen LIBOR01 Page, except as provided in clause (iii) below, as specified in (i) above, the Issuer will request the principal London offices of each of four major reference banks in the London interbank market, as selected by the Issuer, to provide the Calculation Agent with its offered quotation for deposits in United States dollars for the period of three months, commencing on the first day of the applicable Interest Period, to prime banks in the London interbank market at approximately 11:00 a.m., London time, on that Interest Determination Date and in a principal amount that is representative for a single transaction in United States dollars in that market at that time. If at least two quotations are provided, then LIBOR on that Interest Determination Date will be the arithmetic average of those quotations. If fewer than two quotations are provided, the Issuer will select three major banks in the City of New York and shall request each of them to provide to the Calculation Agent a quotation of the rate offered by them at approximately 11:00 a.m., in the City of New York, on the Interest Determination Date for loans in United States dollars to leading European banks, having a three-month maturity and in a principal amount that is representative for a single transaction in United States dollars in that market at that time. If three quotations are provided, LIBOR will be the arithmetic average of the quotations provided; provided, however, that if the banks selected by the Issuer are not providing quotations in the manner described by this sentence, LIBOR will be the same as the rate determined for the immediately preceding Interest Reset Date.</w:t>
      </w:r>
    </w:p>
    <w:p>
      <w:pPr>
        <w:spacing w:after="0" w:line="168" w:lineRule="exact"/>
        <w:rPr>
          <w:rFonts w:ascii="Arial" w:cs="Arial" w:eastAsia="Arial" w:hAnsi="Arial"/>
          <w:sz w:val="16"/>
          <w:szCs w:val="16"/>
          <w:color w:val="auto"/>
        </w:rPr>
      </w:pPr>
    </w:p>
    <w:p>
      <w:pPr>
        <w:ind w:right="20" w:firstLine="656"/>
        <w:spacing w:after="0" w:line="289" w:lineRule="auto"/>
        <w:tabs>
          <w:tab w:leader="none" w:pos="15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Notwithstanding clause (ii) above, if the Issuer determines that LIBOR has been permanently discontinued, the calculation agent will use, as directed by the Issuer, as a substitute for LIBOR and for each future Interest Determination Date, the Alternative Rate (as defined below). As part of such substitution, the Calculation Agent will, as directed by the Issuer, make such adjustments (“</w:t>
      </w:r>
      <w:r>
        <w:rPr>
          <w:rFonts w:ascii="Arial" w:cs="Arial" w:eastAsia="Arial" w:hAnsi="Arial"/>
          <w:sz w:val="16"/>
          <w:szCs w:val="16"/>
          <w:b w:val="1"/>
          <w:bCs w:val="1"/>
          <w:color w:val="auto"/>
        </w:rPr>
        <w:t>Adjustments</w:t>
      </w:r>
      <w:r>
        <w:rPr>
          <w:rFonts w:ascii="Arial" w:cs="Arial" w:eastAsia="Arial" w:hAnsi="Arial"/>
          <w:sz w:val="16"/>
          <w:szCs w:val="16"/>
          <w:color w:val="auto"/>
        </w:rPr>
        <w:t>”) to the Alternative Rate or the spread thereon, as well as the business day convention, Interest Determination Dates and related provisions and definitions, in each case that are consistent with accepted market practice for the use of such Alternative Rate for debt obligations such as the Securities; provided, however, that if the Issuer determines that there is no Alternative Rate that is consistent with accepted market practice regarding a substitute for LIBOR, the Issuer will appoint in its sole discretion an independent financial advisor (“</w:t>
      </w:r>
      <w:r>
        <w:rPr>
          <w:rFonts w:ascii="Arial" w:cs="Arial" w:eastAsia="Arial" w:hAnsi="Arial"/>
          <w:sz w:val="16"/>
          <w:szCs w:val="16"/>
          <w:b w:val="1"/>
          <w:bCs w:val="1"/>
          <w:color w:val="auto"/>
        </w:rPr>
        <w:t>IFA</w:t>
      </w:r>
      <w:r>
        <w:rPr>
          <w:rFonts w:ascii="Arial" w:cs="Arial" w:eastAsia="Arial" w:hAnsi="Arial"/>
          <w:sz w:val="16"/>
          <w:szCs w:val="16"/>
          <w:color w:val="auto"/>
        </w:rPr>
        <w:t>”) to determine the Alternative Rate and make any Adjustments thereon, and whose determinations will be binding on the Issuer, the Trustee and Holders of the Securities. If, however, the Issuer determines that LIBOR has been discontinued, but for any reason an Alternative Rate has not been determined, LIBOR will be equal to the rate on the rate of LIBOR for the current Interest Period.</w:t>
      </w:r>
    </w:p>
    <w:p>
      <w:pPr>
        <w:spacing w:after="0" w:line="16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Rate</w:t>
      </w:r>
      <w:r>
        <w:rPr>
          <w:rFonts w:ascii="Arial" w:cs="Arial" w:eastAsia="Arial" w:hAnsi="Arial"/>
          <w:sz w:val="18"/>
          <w:szCs w:val="18"/>
          <w:color w:val="auto"/>
        </w:rPr>
        <w:t>” means the reference rate selected by the central bank, reserve bank, monetary authority or any similar institution (including any committee or working group thereof) that is consistent with accepted market practice.</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 L.P.’s page “BBAM”</w:t>
      </w:r>
      <w:r>
        <w:rPr>
          <w:rFonts w:ascii="Arial" w:cs="Arial" w:eastAsia="Arial" w:hAnsi="Arial"/>
          <w:sz w:val="16"/>
          <w:szCs w:val="16"/>
          <w:color w:val="auto"/>
        </w:rPr>
        <w:t>” means the display designated as Bloomberg L.P.’s page “BBAM” (or such other page as may replace page BBAM on that service or any successor service for the purpose of displaying London interbank offered rates for United States dollar deposits of major banks).</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Reuters Screen LIBOR01 Page</w:t>
      </w:r>
      <w:r>
        <w:rPr>
          <w:rFonts w:ascii="Arial" w:cs="Arial" w:eastAsia="Arial" w:hAnsi="Arial"/>
          <w:sz w:val="16"/>
          <w:szCs w:val="16"/>
          <w:color w:val="auto"/>
        </w:rPr>
        <w:t>” means the display designated on page “LIBOR01” on Reuters (or such other page as may replace the LIBOR01 page on that service or any successor service for the purpose of displaying London interbank offered rates for U.S. dollar deposits of major banks).</w:t>
      </w:r>
    </w:p>
    <w:p>
      <w:pPr>
        <w:spacing w:after="0" w:line="12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principal amount of the Securities surrendered.</w:t>
      </w:r>
    </w:p>
    <w:p>
      <w:pPr>
        <w:spacing w:after="0" w:line="16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Paying Agent; Calculation Agent.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Initially, the Trustee will act as Paying Agent and Calculation Agent. The Issuer may change any Paying Agent or the Calculation Agent without notice to the 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Calculation Agent will, upon the request of the Holder of this Security, provide the interest rate then in effect with respect to the Securities.</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calculations made by the Calculation Agent for purposes of calculating interest on the Securities shall be conclusive and binding on the Holders, the Trustee and the Issuer, absent manifest error.</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8" w:name="page39"/>
    <w:bookmarkEnd w:id="38"/>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Each Guarantor has irrevocably, fully and unconditionally guaranteed, jointly and severally, on an unsecured basis, the full and punctual payment (whether at maturity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66"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w:t>
      </w:r>
    </w:p>
    <w:p>
      <w:pPr>
        <w:spacing w:after="0" w:line="18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may not redeem the Securities prior to maturity.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0" w:name="page41"/>
    <w:bookmarkEnd w:id="40"/>
    <w:p>
      <w:pPr>
        <w:ind w:right="20"/>
        <w:spacing w:after="0" w:line="259" w:lineRule="auto"/>
        <w:rPr>
          <w:sz w:val="20"/>
          <w:szCs w:val="20"/>
          <w:color w:val="auto"/>
        </w:rPr>
      </w:pPr>
      <w:r>
        <w:rPr>
          <w:rFonts w:ascii="Arial" w:cs="Arial" w:eastAsia="Arial" w:hAnsi="Arial"/>
          <w:sz w:val="18"/>
          <w:szCs w:val="18"/>
          <w:color w:val="auto"/>
        </w:rPr>
        <w:t>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1" w:name="page42"/>
    <w:bookmarkEnd w:id="41"/>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r>
        <w:trPr>
          <w:trHeight w:val="864"/>
        </w:trPr>
        <w:tc>
          <w:tcPr>
            <w:tcW w:w="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A-3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FLOATING RATE NOTE DUE 2024]</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right"/>
        <w:ind w:right="458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right"/>
        <w:ind w:right="4600"/>
        <w:spacing w:after="0"/>
        <w:rPr>
          <w:sz w:val="20"/>
          <w:szCs w:val="20"/>
          <w:color w:val="auto"/>
        </w:rPr>
      </w:pPr>
      <w:r>
        <w:rPr>
          <w:rFonts w:ascii="Arial" w:cs="Arial" w:eastAsia="Arial" w:hAnsi="Arial"/>
          <w:sz w:val="18"/>
          <w:szCs w:val="18"/>
          <w:b w:val="1"/>
          <w:bCs w:val="1"/>
          <w:color w:val="auto"/>
        </w:rPr>
        <w:t>Floating Rate Note Due 2024</w:t>
      </w:r>
    </w:p>
    <w:p>
      <w:pPr>
        <w:sectPr>
          <w:pgSz w:w="11900" w:h="16838" w:orient="portrait"/>
          <w:cols w:equalWidth="0" w:num="1">
            <w:col w:w="11420"/>
          </w:cols>
          <w:pgMar w:left="240" w:top="796"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 [ ] CUSIP No.: 20030N CX7</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US20030NCX75</w:t>
      </w:r>
    </w:p>
    <w:p>
      <w:pPr>
        <w:spacing w:after="0" w:line="9"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260"/>
            <w:col w:w="7660" w:space="720"/>
            <w:col w:w="2400"/>
          </w:cols>
          <w:pgMar w:left="240" w:top="796"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promises to pay to CEDE &amp; CO. or registered assigns, the principal sum of $[ ] ([ ] Million Dollars) on April 15, 2024 (the “</w:t>
      </w:r>
      <w:r>
        <w:rPr>
          <w:rFonts w:ascii="Arial" w:cs="Arial" w:eastAsia="Arial" w:hAnsi="Arial"/>
          <w:sz w:val="18"/>
          <w:szCs w:val="18"/>
          <w:b w:val="1"/>
          <w:bCs w:val="1"/>
          <w:color w:val="auto"/>
        </w:rPr>
        <w:t>Maturity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Payment Dates: January 15, April 15, July 15 and October 15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January 15, 2019.</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January 1, April 1, July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If the Maturity Date is not a Business Day (defined below), the payment due on such day shall be made on the next succeeding Business Day with the same force and effect as if made on the due date and no additional interest shall accrue for the period from and after the Maturity Date to such next succeeding Business Day. If an Interest Payment Date, other than the Maturity Date, is not a Business Day, the interest payment due on such day shall be made on the next succeeding Business Day, except that if such succeeding Business Day is in the next succeeding calendar month, the interest payment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43" w:name="page44"/>
    <w:bookmarkEnd w:id="43"/>
    <w:p>
      <w:pPr>
        <w:spacing w:after="0" w:line="261" w:lineRule="auto"/>
        <w:rPr>
          <w:sz w:val="20"/>
          <w:szCs w:val="20"/>
          <w:color w:val="auto"/>
        </w:rPr>
      </w:pPr>
      <w:r>
        <w:rPr>
          <w:rFonts w:ascii="Arial" w:cs="Arial" w:eastAsia="Arial" w:hAnsi="Arial"/>
          <w:sz w:val="18"/>
          <w:szCs w:val="18"/>
          <w:color w:val="auto"/>
        </w:rPr>
        <w:t>due on such day shall be made on the immediately preceding Business Day. “</w:t>
      </w:r>
      <w:r>
        <w:rPr>
          <w:rFonts w:ascii="Arial" w:cs="Arial" w:eastAsia="Arial" w:hAnsi="Arial"/>
          <w:sz w:val="18"/>
          <w:szCs w:val="18"/>
          <w:b w:val="1"/>
          <w:bCs w:val="1"/>
          <w:color w:val="auto"/>
        </w:rPr>
        <w:t>Business Day</w:t>
      </w:r>
      <w:r>
        <w:rPr>
          <w:rFonts w:ascii="Arial" w:cs="Arial" w:eastAsia="Arial" w:hAnsi="Arial"/>
          <w:sz w:val="18"/>
          <w:szCs w:val="18"/>
          <w:color w:val="auto"/>
        </w:rPr>
        <w:t>” means any Monday, Tuesday, Wednesday, Thursday or Friday that is not a day on which banking institutions in the City of New York are authorized or obligated by law or executive order to close, provided that such day is also a London Banking Day. “</w:t>
      </w:r>
      <w:r>
        <w:rPr>
          <w:rFonts w:ascii="Arial" w:cs="Arial" w:eastAsia="Arial" w:hAnsi="Arial"/>
          <w:sz w:val="18"/>
          <w:szCs w:val="18"/>
          <w:b w:val="1"/>
          <w:bCs w:val="1"/>
          <w:color w:val="auto"/>
        </w:rPr>
        <w:t>London Banking Day</w:t>
      </w:r>
      <w:r>
        <w:rPr>
          <w:rFonts w:ascii="Arial" w:cs="Arial" w:eastAsia="Arial" w:hAnsi="Arial"/>
          <w:sz w:val="18"/>
          <w:szCs w:val="18"/>
          <w:color w:val="auto"/>
        </w:rPr>
        <w:t>” means any day on which dealings in United States dollars are transacted in the London interbank 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Floating Rate Note Due 2024</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equal to LIBOR (defined below), as determined on the applicable Interest Determination Date (defined below) by the Calculation Agent (defined below), plus 0.630%. The interest rate per annum will be reset quarterly effective the first day of each Interest Period (defined below) (the date on which each such reset occurs, an “</w:t>
      </w:r>
      <w:r>
        <w:rPr>
          <w:rFonts w:ascii="Arial" w:cs="Arial" w:eastAsia="Arial" w:hAnsi="Arial"/>
          <w:sz w:val="16"/>
          <w:szCs w:val="16"/>
          <w:b w:val="1"/>
          <w:bCs w:val="1"/>
          <w:color w:val="auto"/>
        </w:rPr>
        <w:t>Interest Reset Date</w:t>
      </w:r>
      <w:r>
        <w:rPr>
          <w:rFonts w:ascii="Arial" w:cs="Arial" w:eastAsia="Arial" w:hAnsi="Arial"/>
          <w:sz w:val="16"/>
          <w:szCs w:val="16"/>
          <w:color w:val="auto"/>
        </w:rPr>
        <w:t>”). The interest rate will in no event be higher than the maximum rate permitted by New York law as the same may be modified by United States law of general application. Additionally, the interest rate on the Securities will in no event be lower than zero.</w:t>
      </w:r>
    </w:p>
    <w:p>
      <w:pPr>
        <w:spacing w:after="0" w:line="15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The amount of interest for each day the Securities are outstanding (the “</w:t>
      </w:r>
      <w:r>
        <w:rPr>
          <w:rFonts w:ascii="Arial" w:cs="Arial" w:eastAsia="Arial" w:hAnsi="Arial"/>
          <w:sz w:val="18"/>
          <w:szCs w:val="18"/>
          <w:b w:val="1"/>
          <w:bCs w:val="1"/>
          <w:color w:val="auto"/>
        </w:rPr>
        <w:t>Daily Interest Amount</w:t>
      </w:r>
      <w:r>
        <w:rPr>
          <w:rFonts w:ascii="Arial" w:cs="Arial" w:eastAsia="Arial" w:hAnsi="Arial"/>
          <w:sz w:val="18"/>
          <w:szCs w:val="18"/>
          <w:color w:val="auto"/>
        </w:rPr>
        <w:t>”) will be calculated by dividing the interest rate in effect for that day by 360 and multiplying the result by the principal amount of the Securities. The amount of interest to be paid on the Securities for each Interest Period will be calculated by adding the Daily Interest Amounts for each day in the Interest Period.</w:t>
      </w:r>
    </w:p>
    <w:p>
      <w:pPr>
        <w:spacing w:after="0" w:line="1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Except as described below for the first Interest Period, on each Interest Payment Date, interest will be paid for the period commencing on and including the immediately preceding Interest Payment Date and ending on and including the next day preceding that Interest Payment Date. This period is referred to as an “</w:t>
      </w:r>
      <w:r>
        <w:rPr>
          <w:rFonts w:ascii="Arial" w:cs="Arial" w:eastAsia="Arial" w:hAnsi="Arial"/>
          <w:sz w:val="17"/>
          <w:szCs w:val="17"/>
          <w:b w:val="1"/>
          <w:bCs w:val="1"/>
          <w:color w:val="auto"/>
        </w:rPr>
        <w:t>Interest Period</w:t>
      </w:r>
      <w:r>
        <w:rPr>
          <w:rFonts w:ascii="Arial" w:cs="Arial" w:eastAsia="Arial" w:hAnsi="Arial"/>
          <w:sz w:val="17"/>
          <w:szCs w:val="17"/>
          <w:color w:val="auto"/>
        </w:rPr>
        <w:t>”. “</w:t>
      </w:r>
      <w:r>
        <w:rPr>
          <w:rFonts w:ascii="Arial" w:cs="Arial" w:eastAsia="Arial" w:hAnsi="Arial"/>
          <w:sz w:val="17"/>
          <w:szCs w:val="17"/>
          <w:b w:val="1"/>
          <w:bCs w:val="1"/>
          <w:color w:val="auto"/>
        </w:rPr>
        <w:t>Interest Determination Date</w:t>
      </w:r>
      <w:r>
        <w:rPr>
          <w:rFonts w:ascii="Arial" w:cs="Arial" w:eastAsia="Arial" w:hAnsi="Arial"/>
          <w:sz w:val="17"/>
          <w:szCs w:val="17"/>
          <w:color w:val="auto"/>
        </w:rPr>
        <w:t>” with respect to an Interest Period (other than the first Interest Period) will be the second Business Day preceding the first day of the Interest Period. The first Interest Period will begin on and include October 5, 2018 and will end on but exclude January 15, 2019. With respect to the first Interest Period, LIBOR shall be equal to 2.40825%.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will be determined by the Calculation Agent in accordance with the following provisions:</w:t>
      </w:r>
    </w:p>
    <w:p>
      <w:pPr>
        <w:spacing w:after="0" w:line="229" w:lineRule="exact"/>
        <w:rPr>
          <w:sz w:val="20"/>
          <w:szCs w:val="20"/>
          <w:color w:val="auto"/>
        </w:rPr>
      </w:pPr>
    </w:p>
    <w:p>
      <w:pPr>
        <w:ind w:right="40" w:firstLine="656"/>
        <w:spacing w:after="0" w:line="276" w:lineRule="auto"/>
        <w:tabs>
          <w:tab w:leader="none" w:pos="15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any Interest Determination Date, LIBOR will be the rate for deposits in United States dollars having a maturity of three months commencing on the first day of the applicable Interest Period that appears on Bloomberg L.P.’s page “BBAM” (as defined below) as of 11:00 a.m., London time, on that Interest Determination Date. If no rate appears on Bloomberg L.P.’s page “BBAM”, the Calculation Agent will obtain such rate from Reuters Screen LIBOR01 Page (as defined below). In no rate appears on Bloomberg L.P.’s page “BBAM” or Reuters Screen LIBOR01 Page, then LIBOR, in respect of that Interest Determination Date, will be determined in accordance with the provisions described in (ii) and (iii)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7" w:name="page48"/>
    <w:bookmarkEnd w:id="47"/>
    <w:p>
      <w:pPr>
        <w:ind w:right="40" w:firstLine="656"/>
        <w:spacing w:after="0" w:line="287" w:lineRule="auto"/>
        <w:tabs>
          <w:tab w:leader="none" w:pos="15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Bloomberg L.P.’s page “BBAM” or Reuters Screen LIBOR01 Page, except as provided in clause (iii) below, as specified in (i) above, the Issuer will request the principal London offices of each of four major reference banks in the London interbank market, as selected by the Issuer, to provide the Calculation Agent with its offered quotation for deposits in United States dollars for the period of three months, commencing on the first day of the applicable Interest Period, to prime banks in the London interbank market at approximately 11:00 a.m., London time, on that Interest Determination Date and in a principal amount that is representative for a single transaction in United States dollars in that market at that time. If at least two quotations are provided, then LIBOR on that Interest Determination Date will be the arithmetic average of those quotations. If fewer than two quotations are provided, the Issuer will select three major banks in the City of New York and shall request each of them to provide to the Calculation Agent a quotation of the rate offered by them at approximately 11:00 a.m., in the City of New York, on the Interest Determination Date for loans in United States dollars to leading European banks, having a three-month maturity and in a principal amount that is representative for a single transaction in United States dollars in that market at that time. If three quotations are provided, LIBOR will be the arithmetic average of the quotations provided; provided, however, that if the banks selected by the Issuer are not providing quotations in the manner described by this sentence, LIBOR will be the same as the rate determined for the immediately preceding Interest Reset Date.</w:t>
      </w:r>
    </w:p>
    <w:p>
      <w:pPr>
        <w:spacing w:after="0" w:line="168" w:lineRule="exact"/>
        <w:rPr>
          <w:rFonts w:ascii="Arial" w:cs="Arial" w:eastAsia="Arial" w:hAnsi="Arial"/>
          <w:sz w:val="16"/>
          <w:szCs w:val="16"/>
          <w:color w:val="auto"/>
        </w:rPr>
      </w:pPr>
    </w:p>
    <w:p>
      <w:pPr>
        <w:ind w:right="20" w:firstLine="656"/>
        <w:spacing w:after="0" w:line="289" w:lineRule="auto"/>
        <w:tabs>
          <w:tab w:leader="none" w:pos="15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Notwithstanding clause (ii) above, if the Issuer determines that LIBOR has been permanently discontinued, the calculation agent will use, as directed by the Issuer, as a substitute for LIBOR and for each future Interest Determination Date, the Alternative Rate (as defined below). As part of such substitution, the Calculation Agent will, as directed by the Issuer, make such adjustments (“</w:t>
      </w:r>
      <w:r>
        <w:rPr>
          <w:rFonts w:ascii="Arial" w:cs="Arial" w:eastAsia="Arial" w:hAnsi="Arial"/>
          <w:sz w:val="16"/>
          <w:szCs w:val="16"/>
          <w:b w:val="1"/>
          <w:bCs w:val="1"/>
          <w:color w:val="auto"/>
        </w:rPr>
        <w:t>Adjustments</w:t>
      </w:r>
      <w:r>
        <w:rPr>
          <w:rFonts w:ascii="Arial" w:cs="Arial" w:eastAsia="Arial" w:hAnsi="Arial"/>
          <w:sz w:val="16"/>
          <w:szCs w:val="16"/>
          <w:color w:val="auto"/>
        </w:rPr>
        <w:t>”) to the Alternative Rate or the spread thereon, as well as the business day convention, Interest Determination Dates and related provisions and definitions, in each case that are consistent with accepted market practice for the use of such Alternative Rate for debt obligations such as the Securities; provided, however, that if the Issuer determines that there is no Alternative Rate that is consistent with accepted market practice regarding a substitute for LIBOR, the Issuer will appoint in its sole discretion an independent financial advisor (“</w:t>
      </w:r>
      <w:r>
        <w:rPr>
          <w:rFonts w:ascii="Arial" w:cs="Arial" w:eastAsia="Arial" w:hAnsi="Arial"/>
          <w:sz w:val="16"/>
          <w:szCs w:val="16"/>
          <w:b w:val="1"/>
          <w:bCs w:val="1"/>
          <w:color w:val="auto"/>
        </w:rPr>
        <w:t>IFA</w:t>
      </w:r>
      <w:r>
        <w:rPr>
          <w:rFonts w:ascii="Arial" w:cs="Arial" w:eastAsia="Arial" w:hAnsi="Arial"/>
          <w:sz w:val="16"/>
          <w:szCs w:val="16"/>
          <w:color w:val="auto"/>
        </w:rPr>
        <w:t>”) to determine the Alternative Rate and make any Adjustments thereon, and whose determinations will be binding on the Issuer, the Trustee and Holders of the Securities. If, however, the Issuer determines that LIBOR has been discontinued, but for any reason an Alternative Rate has not been determined, LIBOR will be equal to the rate on the rate of LIBOR for the current Interest Period.</w:t>
      </w:r>
    </w:p>
    <w:p>
      <w:pPr>
        <w:spacing w:after="0" w:line="16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Rate</w:t>
      </w:r>
      <w:r>
        <w:rPr>
          <w:rFonts w:ascii="Arial" w:cs="Arial" w:eastAsia="Arial" w:hAnsi="Arial"/>
          <w:sz w:val="18"/>
          <w:szCs w:val="18"/>
          <w:color w:val="auto"/>
        </w:rPr>
        <w:t>” means the reference rate selected by the central bank, reserve bank, monetary authority or any similar institution (including any committee or working group thereof) that is consistent with accepted market practice.</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 L.P.’s page “BBAM”</w:t>
      </w:r>
      <w:r>
        <w:rPr>
          <w:rFonts w:ascii="Arial" w:cs="Arial" w:eastAsia="Arial" w:hAnsi="Arial"/>
          <w:sz w:val="16"/>
          <w:szCs w:val="16"/>
          <w:color w:val="auto"/>
        </w:rPr>
        <w:t>” means the display designated as Bloomberg L.P.’s page “BBAM” (or such other page as may replace page BBAM on that service or any successor service for the purpose of displaying London interbank offered rates for United States dollar deposits of major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Reuters Screen LIBOR01 Page</w:t>
      </w:r>
      <w:r>
        <w:rPr>
          <w:rFonts w:ascii="Arial" w:cs="Arial" w:eastAsia="Arial" w:hAnsi="Arial"/>
          <w:sz w:val="16"/>
          <w:szCs w:val="16"/>
          <w:color w:val="auto"/>
        </w:rPr>
        <w:t>” means the display designated on page “LIBOR01” on Reuters (or such other page as may replace the LIBOR01 page on that service or any successor service for the purpose of displaying London interbank offered rates for U.S. dollar deposits of major banks).</w:t>
      </w:r>
    </w:p>
    <w:p>
      <w:pPr>
        <w:spacing w:after="0" w:line="12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principal amount of the Securities surrendered.</w:t>
      </w:r>
    </w:p>
    <w:p>
      <w:pPr>
        <w:spacing w:after="0" w:line="169"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Paying Agent; Calculation Agent.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Initially, the Trustee will act as Paying Agent and Calculation Agent. The Issuer may change any Paying Agent or the Calculation Agent without notice to the 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Calculation Agent will, upon the request of the Holder of this Security, provide the interest rate then in effect with respect to the Securities.</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calculations made by the Calculation Agent for purposes of calculating interest on the Securities shall be conclusive and binding on the Holders, the Trustee and the Issuer,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9" w:name="page50"/>
    <w:bookmarkEnd w:id="49"/>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Each Guarantor has irrevocably, fully and unconditionally guaranteed, jointly and severally, on an unsecured basis, the full and punctual payment (whether at maturity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6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w:t>
      </w:r>
    </w:p>
    <w:p>
      <w:pPr>
        <w:spacing w:after="0" w:line="18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may not redeem the Securities prior to maturity.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ind w:right="500"/>
        <w:spacing w:after="0" w:line="264" w:lineRule="auto"/>
        <w:rPr>
          <w:sz w:val="20"/>
          <w:szCs w:val="20"/>
          <w:color w:val="auto"/>
        </w:rPr>
      </w:pPr>
      <w:r>
        <w:rPr>
          <w:rFonts w:ascii="Arial" w:cs="Arial" w:eastAsia="Arial" w:hAnsi="Arial"/>
          <w:sz w:val="18"/>
          <w:szCs w:val="18"/>
          <w:color w:val="auto"/>
        </w:rPr>
        <w:t>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2" w:name="page53"/>
    <w:bookmarkEnd w:id="5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r>
        <w:trPr>
          <w:trHeight w:val="959"/>
        </w:trPr>
        <w:tc>
          <w:tcPr>
            <w:tcW w:w="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B-1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2020]</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3.300% Note Due 2020</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CP4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US20030NCP42</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220"/>
            <w:col w:w="8140" w:space="720"/>
            <w:col w:w="196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 2020.</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54" w:name="page55"/>
    <w:bookmarkEnd w:id="5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3.300% Note Due 2020</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7" w:name="page58"/>
    <w:bookmarkEnd w:id="57"/>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at any time, the greater of (i) 100% of the principal amount of such Securities and (ii) the sum of the present values of the principal amount of such Securities and the scheduled payments of interest thereon (exclusive of interest accrued to the date of redemption) from the redemption date to October 1, 2020, in each</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9" w:name="page60"/>
    <w:bookmarkEnd w:id="59"/>
    <w:p>
      <w:pPr>
        <w:ind w:right="360"/>
        <w:spacing w:after="0" w:line="277" w:lineRule="auto"/>
        <w:rPr>
          <w:sz w:val="20"/>
          <w:szCs w:val="20"/>
          <w:color w:val="auto"/>
        </w:rPr>
      </w:pPr>
      <w:r>
        <w:rPr>
          <w:rFonts w:ascii="Arial" w:cs="Arial" w:eastAsia="Arial" w:hAnsi="Arial"/>
          <w:sz w:val="18"/>
          <w:szCs w:val="18"/>
          <w:color w:val="auto"/>
        </w:rPr>
        <w:t>case discounted to the redemption date on a semiannual basis (assuming a 360-day year consisting of twelve 30-day months) at the Treasury Rate plus 10 basis points; plus accrued and unpaid interest thereon to the date of redemption.</w:t>
      </w:r>
    </w:p>
    <w:p>
      <w:pPr>
        <w:spacing w:after="0" w:line="16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(the “Remaining Life”) that would be utilized, at the time of selection and in accordance with customary financial practice, in pricing new issues of corporate debt securities of comparable maturity to the Remaining Life of such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Securities represented by a Global Security will be selected for redemption by the Depositary in accordance with its standard procedures therefor).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62" w:name="page63"/>
    <w:bookmarkEnd w:id="6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u w:val="single" w:color="auto"/>
          <w:color w:val="auto"/>
        </w:rPr>
        <w:t>EXHIBIT B-2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2021]</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3.450% Note Due 2021</w:t>
      </w:r>
    </w:p>
    <w:p>
      <w:pPr>
        <w:sectPr>
          <w:pgSz w:w="11900" w:h="16838" w:orient="portrait"/>
          <w:cols w:equalWidth="0" w:num="1">
            <w:col w:w="11420"/>
          </w:cols>
          <w:pgMar w:left="240" w:top="796"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CQ2</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US20030NCQ25</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796"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 2021.</w:t>
      </w:r>
    </w:p>
    <w:p>
      <w:pPr>
        <w:sectPr>
          <w:pgSz w:w="11900" w:h="16838" w:orient="portrait"/>
          <w:cols w:equalWidth="0" w:num="1">
            <w:col w:w="11420"/>
          </w:cols>
          <w:pgMar w:left="240" w:top="796"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4" w:name="page65"/>
    <w:bookmarkEnd w:id="6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3.450% Note Due 2021</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7" w:name="page68"/>
    <w:bookmarkEnd w:id="67"/>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at any time, the greater of (i) 100% of the principal amount of such Securities and (ii) the sum of the present values of the principal amount of such Securities and the scheduled payments of interest thereon (exclusive of interest accrued to the date of redemption) from the redemption date to October 1, 2021, in each</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9" w:name="page70"/>
    <w:bookmarkEnd w:id="69"/>
    <w:p>
      <w:pPr>
        <w:ind w:right="360"/>
        <w:spacing w:after="0" w:line="277" w:lineRule="auto"/>
        <w:rPr>
          <w:sz w:val="20"/>
          <w:szCs w:val="20"/>
          <w:color w:val="auto"/>
        </w:rPr>
      </w:pPr>
      <w:r>
        <w:rPr>
          <w:rFonts w:ascii="Arial" w:cs="Arial" w:eastAsia="Arial" w:hAnsi="Arial"/>
          <w:sz w:val="18"/>
          <w:szCs w:val="18"/>
          <w:color w:val="auto"/>
        </w:rPr>
        <w:t>case discounted to the redemption date on a semiannual basis (assuming a 360-day year consisting of twelve 30-day months) at the Treasury Rate plus 10 basis points; plus accrued and unpaid interest thereon to the date of redemption.</w:t>
      </w:r>
    </w:p>
    <w:p>
      <w:pPr>
        <w:spacing w:after="0" w:line="16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(the “Remaining Life”) that would be utilized, at the time of selection and in accordance with customary financial practice, in pricing new issues of corporate debt securities of comparable maturity to the Remaining Life of such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Securities represented by a Global Security will be selected for redemption by the Depositary in accordance with its standard procedures therefor).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2" w:name="page73"/>
    <w:bookmarkEnd w:id="7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ind w:left="10340"/>
        <w:spacing w:after="0"/>
        <w:rPr>
          <w:sz w:val="20"/>
          <w:szCs w:val="20"/>
          <w:color w:val="auto"/>
        </w:rPr>
      </w:pPr>
      <w:r>
        <w:rPr>
          <w:rFonts w:ascii="Arial" w:cs="Arial" w:eastAsia="Arial" w:hAnsi="Arial"/>
          <w:sz w:val="18"/>
          <w:szCs w:val="18"/>
          <w:b w:val="1"/>
          <w:bCs w:val="1"/>
          <w:u w:val="single" w:color="auto"/>
          <w:color w:val="auto"/>
        </w:rPr>
        <w:t>EXHIBIT B-3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2024]</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3.700% Note Due 2024</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CR0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US20030NCR08</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April 15, 2024.</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74" w:name="page75"/>
    <w:bookmarkEnd w:id="7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3.700% Note Due 2024</w:t>
      </w:r>
    </w:p>
    <w:p>
      <w:pPr>
        <w:spacing w:after="0" w:line="22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7" w:name="page78"/>
    <w:bookmarkEnd w:id="77"/>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March 15, 2024 (one month prior to the maturity of the Securities) (the “</w:t>
      </w:r>
      <w:r>
        <w:rPr>
          <w:rFonts w:ascii="Arial" w:cs="Arial" w:eastAsia="Arial" w:hAnsi="Arial"/>
          <w:sz w:val="18"/>
          <w:szCs w:val="18"/>
          <w:b w:val="1"/>
          <w:bCs w:val="1"/>
          <w:color w:val="auto"/>
        </w:rPr>
        <w:t>Par Call Date</w:t>
      </w:r>
      <w:r>
        <w:rPr>
          <w:rFonts w:ascii="Arial" w:cs="Arial" w:eastAsia="Arial" w:hAnsi="Arial"/>
          <w:sz w:val="18"/>
          <w:szCs w:val="18"/>
          <w:color w:val="auto"/>
        </w:rPr>
        <w:t>”), the greater of (i) 100% of the principal amount of such Securities and (ii) the sum of the present values of the principal amount of such Securities and the scheduled payments of interest thereon</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9" w:name="page80"/>
    <w:bookmarkEnd w:id="79"/>
    <w:p>
      <w:pPr>
        <w:ind w:right="60"/>
        <w:spacing w:after="0" w:line="259" w:lineRule="auto"/>
        <w:rPr>
          <w:sz w:val="20"/>
          <w:szCs w:val="20"/>
          <w:color w:val="auto"/>
        </w:rPr>
      </w:pPr>
      <w:r>
        <w:rPr>
          <w:rFonts w:ascii="Arial" w:cs="Arial" w:eastAsia="Arial" w:hAnsi="Arial"/>
          <w:sz w:val="18"/>
          <w:szCs w:val="18"/>
          <w:color w:val="auto"/>
        </w:rPr>
        <w:t>(exclusive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8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0" w:name="page81"/>
    <w:bookmarkEnd w:id="8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82" w:name="page83"/>
    <w:bookmarkEnd w:id="8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left="10340"/>
        <w:spacing w:after="0"/>
        <w:rPr>
          <w:sz w:val="20"/>
          <w:szCs w:val="20"/>
          <w:color w:val="auto"/>
        </w:rPr>
      </w:pPr>
      <w:r>
        <w:rPr>
          <w:rFonts w:ascii="Arial" w:cs="Arial" w:eastAsia="Arial" w:hAnsi="Arial"/>
          <w:sz w:val="18"/>
          <w:szCs w:val="18"/>
          <w:b w:val="1"/>
          <w:bCs w:val="1"/>
          <w:u w:val="single" w:color="auto"/>
          <w:color w:val="auto"/>
        </w:rPr>
        <w:t>EXHIBIT B-4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2025]</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3.950% Note Due 2025</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CS8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US20030NCS80</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80" w:space="720"/>
            <w:col w:w="196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15, 2025.</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4" w:name="page85"/>
    <w:bookmarkEnd w:id="8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3.950% Note Due 2025</w:t>
      </w:r>
    </w:p>
    <w:p>
      <w:pPr>
        <w:spacing w:after="0" w:line="225"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7" w:name="page88"/>
    <w:bookmarkEnd w:id="87"/>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August 15, 2025 (two months prior to the maturity of the Securities) (the “Par Call Date”), the greater of (i) 100% of the principal amount of such Securities and (ii) the sum of the present values of the principal amount of such Securities and the scheduled payments of interest thereon</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9" w:name="page90"/>
    <w:bookmarkEnd w:id="89"/>
    <w:p>
      <w:pPr>
        <w:ind w:right="60"/>
        <w:spacing w:after="0" w:line="259" w:lineRule="auto"/>
        <w:rPr>
          <w:sz w:val="20"/>
          <w:szCs w:val="20"/>
          <w:color w:val="auto"/>
        </w:rPr>
      </w:pPr>
      <w:r>
        <w:rPr>
          <w:rFonts w:ascii="Arial" w:cs="Arial" w:eastAsia="Arial" w:hAnsi="Arial"/>
          <w:sz w:val="18"/>
          <w:szCs w:val="18"/>
          <w:color w:val="auto"/>
        </w:rPr>
        <w:t>(exclusive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8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0" w:name="page91"/>
    <w:bookmarkEnd w:id="9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92" w:name="page93"/>
    <w:bookmarkEnd w:id="9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ind w:left="10340"/>
        <w:spacing w:after="0"/>
        <w:rPr>
          <w:sz w:val="20"/>
          <w:szCs w:val="20"/>
          <w:color w:val="auto"/>
        </w:rPr>
      </w:pPr>
      <w:r>
        <w:rPr>
          <w:rFonts w:ascii="Arial" w:cs="Arial" w:eastAsia="Arial" w:hAnsi="Arial"/>
          <w:sz w:val="18"/>
          <w:szCs w:val="18"/>
          <w:b w:val="1"/>
          <w:bCs w:val="1"/>
          <w:u w:val="single" w:color="auto"/>
          <w:color w:val="auto"/>
        </w:rPr>
        <w:t>EXHIBIT B-5</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2028]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4.150% Note Due 2028</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CT6</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US20030NCT63</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15, 2028.</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94" w:name="page95"/>
    <w:bookmarkEnd w:id="9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4.150% Note Due 2028</w:t>
      </w:r>
    </w:p>
    <w:p>
      <w:pPr>
        <w:spacing w:after="0" w:line="225"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7" w:name="page98"/>
    <w:bookmarkEnd w:id="97"/>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July 15, 2028 (three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9" w:name="page100"/>
    <w:bookmarkEnd w:id="99"/>
    <w:p>
      <w:pPr>
        <w:jc w:val="both"/>
        <w:ind w:right="320"/>
        <w:spacing w:after="0" w:line="312" w:lineRule="auto"/>
        <w:rPr>
          <w:sz w:val="20"/>
          <w:szCs w:val="20"/>
          <w:color w:val="auto"/>
        </w:rPr>
      </w:pPr>
      <w:r>
        <w:rPr>
          <w:rFonts w:ascii="Arial" w:cs="Arial" w:eastAsia="Arial" w:hAnsi="Arial"/>
          <w:sz w:val="16"/>
          <w:szCs w:val="16"/>
          <w:color w:val="auto"/>
        </w:rPr>
        <w:t>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0" w:name="page101"/>
    <w:bookmarkEnd w:id="10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02" w:name="page103"/>
    <w:bookmarkEnd w:id="10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auto"/>
        </w:rPr>
        <w:t>EXHIBIT B-6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2030]</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4.250% Note Due 2030</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CU3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US20030NCU37</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15, 2030.</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04" w:name="page105"/>
    <w:bookmarkEnd w:id="10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4.250% Note Due 2030</w:t>
      </w:r>
    </w:p>
    <w:p>
      <w:pPr>
        <w:spacing w:after="0" w:line="225"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7" w:name="page108"/>
    <w:bookmarkEnd w:id="107"/>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July 15, 2030 (three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9" w:name="page110"/>
    <w:bookmarkEnd w:id="109"/>
    <w:p>
      <w:pPr>
        <w:jc w:val="both"/>
        <w:ind w:right="320"/>
        <w:spacing w:after="0" w:line="312" w:lineRule="auto"/>
        <w:rPr>
          <w:sz w:val="20"/>
          <w:szCs w:val="20"/>
          <w:color w:val="auto"/>
        </w:rPr>
      </w:pPr>
      <w:r>
        <w:rPr>
          <w:rFonts w:ascii="Arial" w:cs="Arial" w:eastAsia="Arial" w:hAnsi="Arial"/>
          <w:sz w:val="16"/>
          <w:szCs w:val="16"/>
          <w:color w:val="auto"/>
        </w:rPr>
        <w:t>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0" w:name="page111"/>
    <w:bookmarkEnd w:id="11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12" w:name="page113"/>
    <w:bookmarkEnd w:id="11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t>EXHIBIT B-7</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2038]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4.600% Note Due 2038</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CL3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US20030NCL38</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15, 2038.</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14" w:name="page115"/>
    <w:bookmarkEnd w:id="11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4.600% Note Due 2038</w:t>
      </w:r>
    </w:p>
    <w:p>
      <w:pPr>
        <w:spacing w:after="0" w:line="225"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7" w:name="page118"/>
    <w:bookmarkEnd w:id="117"/>
    <w:p>
      <w:pPr>
        <w:ind w:left="980" w:hanging="324"/>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April 15, 2038 (six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9" w:name="page120"/>
    <w:bookmarkEnd w:id="119"/>
    <w:p>
      <w:pPr>
        <w:jc w:val="both"/>
        <w:ind w:right="320"/>
        <w:spacing w:after="0" w:line="312" w:lineRule="auto"/>
        <w:rPr>
          <w:sz w:val="20"/>
          <w:szCs w:val="20"/>
          <w:color w:val="auto"/>
        </w:rPr>
      </w:pPr>
      <w:r>
        <w:rPr>
          <w:rFonts w:ascii="Arial" w:cs="Arial" w:eastAsia="Arial" w:hAnsi="Arial"/>
          <w:sz w:val="16"/>
          <w:szCs w:val="16"/>
          <w:color w:val="auto"/>
        </w:rPr>
        <w:t>interest accrued to the date of redemption) from the redemption date to the Par Call Date, in each case discounted to the redemption date on a semiannual basis (assuming a 360-day year consisting of twelve 30-day months) at the Treasury Rate plus 25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0" w:name="page121"/>
    <w:bookmarkEnd w:id="12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22" w:name="page123"/>
    <w:bookmarkEnd w:id="12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t>EXHIBIT B-8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2048]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4.700% Note Due 2048</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CM1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US20030NCM11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20" w:space="720"/>
            <w:col w:w="202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15, 2048.</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24" w:name="page125"/>
    <w:bookmarkEnd w:id="12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4.700% Note Due 2048</w:t>
      </w:r>
    </w:p>
    <w:p>
      <w:pPr>
        <w:spacing w:after="0" w:line="225"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7" w:name="page128"/>
    <w:bookmarkEnd w:id="127"/>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April 15, 2048 (six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9" w:name="page130"/>
    <w:bookmarkEnd w:id="129"/>
    <w:p>
      <w:pPr>
        <w:jc w:val="both"/>
        <w:ind w:right="320"/>
        <w:spacing w:after="0" w:line="312" w:lineRule="auto"/>
        <w:rPr>
          <w:sz w:val="20"/>
          <w:szCs w:val="20"/>
          <w:color w:val="auto"/>
        </w:rPr>
      </w:pPr>
      <w:r>
        <w:rPr>
          <w:rFonts w:ascii="Arial" w:cs="Arial" w:eastAsia="Arial" w:hAnsi="Arial"/>
          <w:sz w:val="16"/>
          <w:szCs w:val="16"/>
          <w:color w:val="auto"/>
        </w:rPr>
        <w:t>interest accrued to the date of redemption) from the redemption date to the Par Call Date, in each case discounted to the redemption date on a semiannual basis (assuming a 360-day year consisting of twelve 30-day months) at the Treasury Rate plus 25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0" w:name="page131"/>
    <w:bookmarkEnd w:id="13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32" w:name="page133"/>
    <w:bookmarkEnd w:id="13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ind w:left="10340"/>
        <w:spacing w:after="0"/>
        <w:rPr>
          <w:sz w:val="20"/>
          <w:szCs w:val="20"/>
          <w:color w:val="auto"/>
        </w:rPr>
      </w:pPr>
      <w:r>
        <w:rPr>
          <w:rFonts w:ascii="Arial" w:cs="Arial" w:eastAsia="Arial" w:hAnsi="Arial"/>
          <w:sz w:val="18"/>
          <w:szCs w:val="18"/>
          <w:b w:val="1"/>
          <w:bCs w:val="1"/>
          <w:u w:val="single" w:color="auto"/>
          <w:color w:val="auto"/>
        </w:rPr>
        <w:t>EXHIBIT B-9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2058]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4.950% Note Due 2058</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CN9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US20030NCN93</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580"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October 15, 2058.</w:t>
      </w:r>
    </w:p>
    <w:p>
      <w:pPr>
        <w:sectPr>
          <w:pgSz w:w="11900" w:h="16838" w:orient="portrait"/>
          <w:cols w:equalWidth="0" w:num="1">
            <w:col w:w="11420"/>
          </w:cols>
          <w:pgMar w:left="240" w:top="580"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April 15,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 and October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34" w:name="page135"/>
    <w:bookmarkEnd w:id="134"/>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6350</wp:posOffset>
            </wp:positionV>
            <wp:extent cx="26073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4.950% Note Due 2058</w:t>
      </w:r>
    </w:p>
    <w:p>
      <w:pPr>
        <w:spacing w:after="0" w:line="225" w:lineRule="exact"/>
        <w:rPr>
          <w:sz w:val="20"/>
          <w:szCs w:val="20"/>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5, 2018. The Issuer will pay interest semi-annually in arrears on each Interest Payment Date, commencing April 15, 2019.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7" w:name="page138"/>
    <w:bookmarkEnd w:id="137"/>
    <w:p>
      <w:pPr>
        <w:ind w:left="980" w:hanging="324"/>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58"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April 15, 2058 (six months prior to the maturity of the Securities) (the “Par Call Date”), the greater of (i) 100% of the principal amount of such Securities and (ii) the sum of the present values of the principal amount of such Securities and the scheduled payments of interest thereon (exclusive of</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9" w:name="page140"/>
    <w:bookmarkEnd w:id="139"/>
    <w:p>
      <w:pPr>
        <w:jc w:val="both"/>
        <w:ind w:right="320"/>
        <w:spacing w:after="0" w:line="312" w:lineRule="auto"/>
        <w:rPr>
          <w:sz w:val="20"/>
          <w:szCs w:val="20"/>
          <w:color w:val="auto"/>
        </w:rPr>
      </w:pPr>
      <w:r>
        <w:rPr>
          <w:rFonts w:ascii="Arial" w:cs="Arial" w:eastAsia="Arial" w:hAnsi="Arial"/>
          <w:sz w:val="16"/>
          <w:szCs w:val="16"/>
          <w:color w:val="auto"/>
        </w:rPr>
        <w:t>interest accrued to the date of redemption) from the redemption date to the Par Call Date, in each case discounted to the redemption date on a semiannual basis (assuming a 360-day year consisting of twelve 30-day months) at the Treasury Rate plus 30 basis points and (b) if the Securities are redeemed on or after the Par Call Date, 100% of the principal amount of such Securities; plus, in each case, accrued and unpaid interest thereon to the date of redemption.</w:t>
      </w:r>
    </w:p>
    <w:p>
      <w:pPr>
        <w:spacing w:after="0" w:line="14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0" w:name="page141"/>
    <w:bookmarkEnd w:id="140"/>
    <w:p>
      <w:pPr>
        <w:ind w:right="60"/>
        <w:spacing w:after="0" w:line="259" w:lineRule="auto"/>
        <w:rPr>
          <w:sz w:val="20"/>
          <w:szCs w:val="20"/>
          <w:color w:val="auto"/>
        </w:rPr>
      </w:pPr>
      <w:r>
        <w:rPr>
          <w:rFonts w:ascii="Arial" w:cs="Arial" w:eastAsia="Arial" w:hAnsi="Arial"/>
          <w:sz w:val="18"/>
          <w:szCs w:val="18"/>
          <w:color w:val="auto"/>
        </w:rPr>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42" w:name="page143"/>
    <w:bookmarkEnd w:id="142"/>
    <w:p>
      <w:pPr>
        <w:ind w:left="518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720" w:type="dxa"/>
            <w:vAlign w:val="bottom"/>
          </w:tcPr>
          <w:p>
            <w:pPr>
              <w:spacing w:after="0"/>
              <w:rPr>
                <w:sz w:val="20"/>
                <w:szCs w:val="20"/>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Signed:</w:t>
            </w:r>
          </w:p>
        </w:tc>
      </w:tr>
      <w:tr>
        <w:trPr>
          <w:trHeight w:val="224"/>
        </w:trPr>
        <w:tc>
          <w:tcPr>
            <w:tcW w:w="8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 on the other side of this Security)</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780" w:type="dxa"/>
            <w:vAlign w:val="bottom"/>
            <w:gridSpan w:val="3"/>
          </w:tcPr>
          <w:p>
            <w:pPr>
              <w:spacing w:after="0" w:line="195" w:lineRule="exact"/>
              <w:rPr>
                <w:sz w:val="20"/>
                <w:szCs w:val="20"/>
                <w:color w:val="auto"/>
              </w:rPr>
            </w:pPr>
            <w:r>
              <w:rPr>
                <w:rFonts w:ascii="Arial" w:cs="Arial" w:eastAsia="Arial" w:hAnsi="Arial"/>
                <w:sz w:val="18"/>
                <w:szCs w:val="18"/>
                <w:color w:val="auto"/>
                <w:w w:val="93"/>
              </w:rPr>
              <w:t>Participant in a recognized Signature Guarantee Medallion Program (or other signature guarantor program reasonably</w:t>
            </w:r>
          </w:p>
        </w:tc>
      </w:tr>
      <w:tr>
        <w:trPr>
          <w:trHeight w:val="230"/>
        </w:trPr>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October 5,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am Executive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acted for the Company in connection with the issuance by the Company, pursuant to the Underwriting Agreement dated October 2, 2018 (the “</w:t>
      </w:r>
      <w:r>
        <w:rPr>
          <w:rFonts w:ascii="Arial" w:cs="Arial" w:eastAsia="Arial" w:hAnsi="Arial"/>
          <w:sz w:val="16"/>
          <w:szCs w:val="16"/>
          <w:b w:val="1"/>
          <w:bCs w:val="1"/>
          <w:color w:val="auto"/>
        </w:rPr>
        <w:t>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among the Company, the Guarantors (as defined below)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$1,250,000,000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its Floating Rate Notes due 2020, $1,000,000,000 aggregate principal amount of its Floating Rate Notes due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$500,000,000 aggregate principal amount of its Floating Rate Notes due 2024, $1,750,000,000 aggregate principal amount of its 3.300% Notes due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$2,000,000,000 aggregate principal amount of its 3.450% Notes due 2021, $2,500,000,000 aggregate principal amount of its 3.700% Notes due 2024,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$3,000,000,000 aggregate principal amount of its 3.950% Notes due 2025, $4,000,000,000 aggregate principal amount of its 4.150% Notes due 2028,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$1,500,000,000 aggregate principal amount of its 4.250% Notes due 2030, $3,000,000,000 aggregate principal amount of its 4.600% Notes due 2038,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$4,000,000,000 aggregate principal amount of its 4.700% Notes due 2048, and $2,500,000,000 aggregate principal amount of its 4.950% Notes due 2058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as amended by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on an unsecured and unsubordinated basis by the Guarantors.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tabs>
          <w:tab w:leader="none" w:pos="5720" w:val="left"/>
          <w:tab w:leader="none" w:pos="10240" w:val="left"/>
        </w:tabs>
        <w:rPr>
          <w:sz w:val="20"/>
          <w:szCs w:val="20"/>
          <w:color w:val="auto"/>
        </w:rPr>
      </w:pPr>
      <w:r>
        <w:rPr>
          <w:rFonts w:ascii="Arial" w:cs="Arial" w:eastAsia="Arial" w:hAnsi="Arial"/>
          <w:sz w:val="18"/>
          <w:szCs w:val="18"/>
          <w:color w:val="auto"/>
        </w:rPr>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October 5, 2018</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1600" w:hanging="944"/>
        <w:spacing w:after="0"/>
        <w:tabs>
          <w:tab w:leader="none" w:pos="1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28, 2016, as amended as of the date of the Underwriting Agreement (File No. 333-212719).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00" w:lineRule="exact"/>
        <w:rPr>
          <w:sz w:val="20"/>
          <w:szCs w:val="20"/>
          <w:color w:val="auto"/>
        </w:rPr>
      </w:pP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ind w:left="790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Northern California</w:t>
      </w:r>
    </w:p>
    <w:p>
      <w:pPr>
        <w:spacing w:after="0" w:line="1"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0"/>
          <w:szCs w:val="20"/>
          <w:color w:val="auto"/>
        </w:rPr>
      </w:pPr>
    </w:p>
    <w:p>
      <w:pPr>
        <w:sectPr>
          <w:pgSz w:w="11900" w:h="16838" w:orient="portrait"/>
          <w:cols w:equalWidth="0" w:num="2">
            <w:col w:w="9460" w:space="720"/>
            <w:col w:w="124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680" w:type="dxa"/>
            <w:vAlign w:val="bottom"/>
          </w:tcPr>
          <w:p>
            <w:pPr>
              <w:ind w:left="580"/>
              <w:spacing w:after="0"/>
              <w:rPr>
                <w:sz w:val="20"/>
                <w:szCs w:val="20"/>
                <w:color w:val="auto"/>
              </w:rPr>
            </w:pPr>
            <w:r>
              <w:rPr>
                <w:rFonts w:ascii="Arial" w:cs="Arial" w:eastAsia="Arial" w:hAnsi="Arial"/>
                <w:sz w:val="14"/>
                <w:szCs w:val="14"/>
                <w:color w:val="auto"/>
              </w:rPr>
              <w:t>650 752 2000 tel</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1600 El Camino Real</w:t>
            </w:r>
          </w:p>
        </w:tc>
        <w:tc>
          <w:tcPr>
            <w:tcW w:w="1680" w:type="dxa"/>
            <w:vAlign w:val="bottom"/>
          </w:tcPr>
          <w:p>
            <w:pPr>
              <w:ind w:left="580"/>
              <w:spacing w:after="0"/>
              <w:rPr>
                <w:sz w:val="20"/>
                <w:szCs w:val="20"/>
                <w:color w:val="auto"/>
              </w:rPr>
            </w:pPr>
            <w:r>
              <w:rPr>
                <w:rFonts w:ascii="Arial" w:cs="Arial" w:eastAsia="Arial" w:hAnsi="Arial"/>
                <w:sz w:val="14"/>
                <w:szCs w:val="14"/>
                <w:color w:val="auto"/>
                <w:w w:val="99"/>
              </w:rPr>
              <w:t>650 752 2111 fax</w:t>
            </w:r>
          </w:p>
        </w:tc>
      </w:tr>
      <w:tr>
        <w:trPr>
          <w:trHeight w:val="172"/>
        </w:trPr>
        <w:tc>
          <w:tcPr>
            <w:tcW w:w="2300" w:type="dxa"/>
            <w:vAlign w:val="bottom"/>
          </w:tcPr>
          <w:p>
            <w:pPr>
              <w:spacing w:after="0"/>
              <w:rPr>
                <w:sz w:val="20"/>
                <w:szCs w:val="20"/>
                <w:color w:val="auto"/>
              </w:rPr>
            </w:pPr>
            <w:r>
              <w:rPr>
                <w:rFonts w:ascii="Arial" w:cs="Arial" w:eastAsia="Arial" w:hAnsi="Arial"/>
                <w:sz w:val="14"/>
                <w:szCs w:val="14"/>
                <w:color w:val="auto"/>
              </w:rPr>
              <w:t>Menlo Park, CA 94025</w:t>
            </w:r>
          </w:p>
        </w:tc>
        <w:tc>
          <w:tcPr>
            <w:tcW w:w="16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October 5,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4" w:lineRule="auto"/>
        <w:rPr>
          <w:sz w:val="20"/>
          <w:szCs w:val="20"/>
          <w:color w:val="auto"/>
        </w:rPr>
      </w:pPr>
      <w:r>
        <w:rPr>
          <w:rFonts w:ascii="Arial" w:cs="Arial" w:eastAsia="Arial" w:hAnsi="Arial"/>
          <w:sz w:val="18"/>
          <w:szCs w:val="18"/>
          <w:color w:val="auto"/>
        </w:rPr>
        <w:t>One Comcast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We have acted as counsel to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issuance by the Company, pursuant to the Underwriting Agreement dated October 2, 2018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the Guarantors (as defined below) and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of $1,250,000,000 aggregate principal amount of its Floating Rate Notes due 2020, $1,000,000,000 aggregate principal amount of its Floating Rate Notes due 2021, $500,000,000 aggregate principal amount of its Floating Rate Notes due 2024, $1,750,000,000 aggregate principal amount of its 3.300% Notes due 2020, $2,000,000,000 aggregate principal amount of its 3.450% Notes due 2021, $2,500,000,000 aggregate principal amount of its 3.700% Notes due 2024, $3,000,000,000 aggregate principal amount of its 3.950% Notes due 2025, $4,000,000,000 aggregate principal amount of its</w:t>
      </w:r>
    </w:p>
    <w:p>
      <w:pPr>
        <w:spacing w:after="0" w:line="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4.150% Notes due 2028, $1,500,000,000 aggregate principal amount of its 4.250% Notes due 2030, $3,000,000,000 aggregate principal amount of its 4.600% Notes due 2038, $4,000,000,000 aggregate principal amount of its 4.700% Notes due 2048, and $2,500,000,000 aggregate principal amount of its 4.950% Notes due 2058 (collectively, the “</w:t>
      </w:r>
      <w:r>
        <w:rPr>
          <w:rFonts w:ascii="Arial" w:cs="Arial" w:eastAsia="Arial" w:hAnsi="Arial"/>
          <w:sz w:val="18"/>
          <w:szCs w:val="18"/>
          <w:b w:val="1"/>
          <w:bCs w:val="1"/>
          <w:color w:val="auto"/>
        </w:rPr>
        <w:t>Notes</w:t>
      </w:r>
      <w:r>
        <w:rPr>
          <w:rFonts w:ascii="Arial" w:cs="Arial" w:eastAsia="Arial" w:hAnsi="Arial"/>
          <w:sz w:val="18"/>
          <w:szCs w:val="18"/>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and unsubordinated basis by the Guarantors.</w:t>
      </w:r>
    </w:p>
    <w:p>
      <w:pPr>
        <w:spacing w:after="0" w:line="192"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46" w:name="page147"/>
    <w:bookmarkEnd w:id="146"/>
    <w:p>
      <w:pPr>
        <w:jc w:val="both"/>
        <w:ind w:left="5740"/>
        <w:spacing w:after="0"/>
        <w:tabs>
          <w:tab w:leader="none" w:pos="101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October 5, 2018</w:t>
      </w:r>
    </w:p>
    <w:p>
      <w:pPr>
        <w:spacing w:after="0" w:line="200" w:lineRule="exact"/>
        <w:rPr>
          <w:sz w:val="20"/>
          <w:szCs w:val="20"/>
          <w:color w:val="auto"/>
        </w:rPr>
      </w:pPr>
    </w:p>
    <w:p>
      <w:pPr>
        <w:spacing w:after="0" w:line="20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pacing w:after="0" w:line="198" w:lineRule="exact"/>
        <w:rPr>
          <w:sz w:val="20"/>
          <w:szCs w:val="20"/>
          <w:color w:val="auto"/>
        </w:rPr>
      </w:pPr>
    </w:p>
    <w:p>
      <w:pPr>
        <w:ind w:right="20" w:firstLine="8"/>
        <w:spacing w:after="0" w:line="236" w:lineRule="auto"/>
        <w:tabs>
          <w:tab w:leader="none" w:pos="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94" w:lineRule="exact"/>
        <w:rPr>
          <w:rFonts w:ascii="Arial" w:cs="Arial" w:eastAsia="Arial" w:hAnsi="Arial"/>
          <w:sz w:val="18"/>
          <w:szCs w:val="18"/>
          <w:color w:val="auto"/>
        </w:rPr>
      </w:pPr>
    </w:p>
    <w:p>
      <w:pPr>
        <w:ind w:right="40" w:firstLine="8"/>
        <w:spacing w:after="0" w:line="236" w:lineRule="auto"/>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“Documents”)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7" w:name="page148"/>
    <w:bookmarkEnd w:id="147"/>
    <w:p>
      <w:pPr>
        <w:jc w:val="both"/>
        <w:ind w:left="5740"/>
        <w:spacing w:after="0"/>
        <w:tabs>
          <w:tab w:leader="none" w:pos="101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October 5, 2018</w:t>
      </w:r>
    </w:p>
    <w:p>
      <w:pPr>
        <w:spacing w:after="0" w:line="200" w:lineRule="exact"/>
        <w:rPr>
          <w:sz w:val="20"/>
          <w:szCs w:val="20"/>
          <w:color w:val="auto"/>
        </w:rPr>
      </w:pPr>
    </w:p>
    <w:p>
      <w:pPr>
        <w:spacing w:after="0" w:line="20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are members of the Bar of the States of New York and California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hereby consent to the filing of this opinion as an exhibit to a report on Form 8-K filed by the Company on the date hereof and its incorporation by reference into the Company’s registration statement on Form S-3 filed on July 28, 2016, as amended as of the date of the Underwriting Agreement (File No. 333-212719).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3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1."/>
      <w:numFmt w:val="decimal"/>
      <w:start w:val="1"/>
    </w:lvl>
  </w:abstractNum>
  <w:abstractNum w:abstractNumId="2">
    <w:nsid w:val="741226BB"/>
    <w:multiLevelType w:val="hybridMultilevel"/>
    <w:lvl w:ilvl="0">
      <w:lvlJc w:val="left"/>
      <w:lvlText w:val="(%1)"/>
      <w:numFmt w:val="lowerRoman"/>
      <w:start w:val="1"/>
    </w:lvl>
  </w:abstractNum>
  <w:abstractNum w:abstractNumId="3">
    <w:nsid w:val="D34B6A8"/>
    <w:multiLevelType w:val="hybridMultilevel"/>
    <w:lvl w:ilvl="0">
      <w:lvlJc w:val="left"/>
      <w:lvlText w:val="(%1)"/>
      <w:numFmt w:val="lowerRoman"/>
      <w:start w:val="2"/>
    </w:lvl>
  </w:abstractNum>
  <w:abstractNum w:abstractNumId="4">
    <w:nsid w:val="10233C99"/>
    <w:multiLevelType w:val="hybridMultilevel"/>
    <w:lvl w:ilvl="0">
      <w:lvlJc w:val="left"/>
      <w:lvlText w:val="%1."/>
      <w:numFmt w:val="decimal"/>
      <w:start w:val="2"/>
    </w:lvl>
  </w:abstractNum>
  <w:abstractNum w:abstractNumId="5">
    <w:nsid w:val="3F6AB60F"/>
    <w:multiLevelType w:val="hybridMultilevel"/>
    <w:lvl w:ilvl="0">
      <w:lvlJc w:val="left"/>
      <w:lvlText w:val="%1."/>
      <w:numFmt w:val="decimal"/>
      <w:start w:val="3"/>
    </w:lvl>
  </w:abstractNum>
  <w:abstractNum w:abstractNumId="6">
    <w:nsid w:val="61574095"/>
    <w:multiLevelType w:val="hybridMultilevel"/>
    <w:lvl w:ilvl="0">
      <w:lvlJc w:val="left"/>
      <w:lvlText w:val="%1."/>
      <w:numFmt w:val="decimal"/>
      <w:start w:val="4"/>
    </w:lvl>
  </w:abstractNum>
  <w:abstractNum w:abstractNumId="7">
    <w:nsid w:val="7E0C57B1"/>
    <w:multiLevelType w:val="hybridMultilevel"/>
    <w:lvl w:ilvl="0">
      <w:lvlJc w:val="left"/>
      <w:lvlText w:val="%1."/>
      <w:numFmt w:val="decimal"/>
      <w:start w:val="5"/>
    </w:lvl>
  </w:abstractNum>
  <w:abstractNum w:abstractNumId="8">
    <w:nsid w:val="77AE35EB"/>
    <w:multiLevelType w:val="hybridMultilevel"/>
    <w:lvl w:ilvl="0">
      <w:lvlJc w:val="left"/>
      <w:lvlText w:val="%1."/>
      <w:numFmt w:val="decimal"/>
      <w:start w:val="6"/>
    </w:lvl>
  </w:abstractNum>
  <w:abstractNum w:abstractNumId="9">
    <w:nsid w:val="579BE4F1"/>
    <w:multiLevelType w:val="hybridMultilevel"/>
    <w:lvl w:ilvl="0">
      <w:lvlJc w:val="left"/>
      <w:lvlText w:val="%1."/>
      <w:numFmt w:val="decimal"/>
      <w:start w:val="7"/>
    </w:lvl>
  </w:abstractNum>
  <w:abstractNum w:abstractNumId="10">
    <w:nsid w:val="310C50B3"/>
    <w:multiLevelType w:val="hybridMultilevel"/>
    <w:lvl w:ilvl="0">
      <w:lvlJc w:val="left"/>
      <w:lvlText w:val="%1."/>
      <w:numFmt w:val="decimal"/>
      <w:start w:val="8"/>
    </w:lvl>
  </w:abstractNum>
  <w:abstractNum w:abstractNumId="11">
    <w:nsid w:val="5FF87E05"/>
    <w:multiLevelType w:val="hybridMultilevel"/>
    <w:lvl w:ilvl="0">
      <w:lvlJc w:val="left"/>
      <w:lvlText w:val="%1."/>
      <w:numFmt w:val="decimal"/>
      <w:start w:val="9"/>
    </w:lvl>
  </w:abstractNum>
  <w:abstractNum w:abstractNumId="12">
    <w:nsid w:val="2F305DEF"/>
    <w:multiLevelType w:val="hybridMultilevel"/>
    <w:lvl w:ilvl="0">
      <w:lvlJc w:val="left"/>
      <w:lvlText w:val="%1."/>
      <w:numFmt w:val="decimal"/>
      <w:start w:val="1"/>
    </w:lvl>
  </w:abstractNum>
  <w:abstractNum w:abstractNumId="13">
    <w:nsid w:val="25A70BF7"/>
    <w:multiLevelType w:val="hybridMultilevel"/>
    <w:lvl w:ilvl="0">
      <w:lvlJc w:val="left"/>
      <w:lvlText w:val="(%1)"/>
      <w:numFmt w:val="lowerRoman"/>
      <w:start w:val="1"/>
    </w:lvl>
  </w:abstractNum>
  <w:abstractNum w:abstractNumId="14">
    <w:nsid w:val="1DBABF00"/>
    <w:multiLevelType w:val="hybridMultilevel"/>
    <w:lvl w:ilvl="0">
      <w:lvlJc w:val="left"/>
      <w:lvlText w:val="(%1)"/>
      <w:numFmt w:val="lowerRoman"/>
      <w:start w:val="2"/>
    </w:lvl>
  </w:abstractNum>
  <w:abstractNum w:abstractNumId="15">
    <w:nsid w:val="4AD084E9"/>
    <w:multiLevelType w:val="hybridMultilevel"/>
    <w:lvl w:ilvl="0">
      <w:lvlJc w:val="left"/>
      <w:lvlText w:val="%1."/>
      <w:numFmt w:val="decimal"/>
      <w:start w:val="2"/>
    </w:lvl>
  </w:abstractNum>
  <w:abstractNum w:abstractNumId="16">
    <w:nsid w:val="1F48EAA1"/>
    <w:multiLevelType w:val="hybridMultilevel"/>
    <w:lvl w:ilvl="0">
      <w:lvlJc w:val="left"/>
      <w:lvlText w:val="%1."/>
      <w:numFmt w:val="decimal"/>
      <w:start w:val="3"/>
    </w:lvl>
  </w:abstractNum>
  <w:abstractNum w:abstractNumId="17">
    <w:nsid w:val="1381823A"/>
    <w:multiLevelType w:val="hybridMultilevel"/>
    <w:lvl w:ilvl="0">
      <w:lvlJc w:val="left"/>
      <w:lvlText w:val="%1."/>
      <w:numFmt w:val="decimal"/>
      <w:start w:val="4"/>
    </w:lvl>
  </w:abstractNum>
  <w:abstractNum w:abstractNumId="18">
    <w:nsid w:val="5DB70AE5"/>
    <w:multiLevelType w:val="hybridMultilevel"/>
    <w:lvl w:ilvl="0">
      <w:lvlJc w:val="left"/>
      <w:lvlText w:val="%1."/>
      <w:numFmt w:val="decimal"/>
      <w:start w:val="5"/>
    </w:lvl>
  </w:abstractNum>
  <w:abstractNum w:abstractNumId="19">
    <w:nsid w:val="100F8FCA"/>
    <w:multiLevelType w:val="hybridMultilevel"/>
    <w:lvl w:ilvl="0">
      <w:lvlJc w:val="left"/>
      <w:lvlText w:val="%1."/>
      <w:numFmt w:val="decimal"/>
      <w:start w:val="6"/>
    </w:lvl>
  </w:abstractNum>
  <w:abstractNum w:abstractNumId="20">
    <w:nsid w:val="6590700B"/>
    <w:multiLevelType w:val="hybridMultilevel"/>
    <w:lvl w:ilvl="0">
      <w:lvlJc w:val="left"/>
      <w:lvlText w:val="%1."/>
      <w:numFmt w:val="decimal"/>
      <w:start w:val="7"/>
    </w:lvl>
  </w:abstractNum>
  <w:abstractNum w:abstractNumId="21">
    <w:nsid w:val="15014ACB"/>
    <w:multiLevelType w:val="hybridMultilevel"/>
    <w:lvl w:ilvl="0">
      <w:lvlJc w:val="left"/>
      <w:lvlText w:val="%1."/>
      <w:numFmt w:val="decimal"/>
      <w:start w:val="8"/>
    </w:lvl>
  </w:abstractNum>
  <w:abstractNum w:abstractNumId="22">
    <w:nsid w:val="5F5E7FD0"/>
    <w:multiLevelType w:val="hybridMultilevel"/>
    <w:lvl w:ilvl="0">
      <w:lvlJc w:val="left"/>
      <w:lvlText w:val="%1."/>
      <w:numFmt w:val="decimal"/>
      <w:start w:val="9"/>
    </w:lvl>
  </w:abstractNum>
  <w:abstractNum w:abstractNumId="23">
    <w:nsid w:val="98A3148"/>
    <w:multiLevelType w:val="hybridMultilevel"/>
    <w:lvl w:ilvl="0">
      <w:lvlJc w:val="left"/>
      <w:lvlText w:val="%1."/>
      <w:numFmt w:val="decimal"/>
      <w:start w:val="1"/>
    </w:lvl>
  </w:abstractNum>
  <w:abstractNum w:abstractNumId="24">
    <w:nsid w:val="799D0247"/>
    <w:multiLevelType w:val="hybridMultilevel"/>
    <w:lvl w:ilvl="0">
      <w:lvlJc w:val="left"/>
      <w:lvlText w:val="(%1)"/>
      <w:numFmt w:val="lowerRoman"/>
      <w:start w:val="1"/>
    </w:lvl>
  </w:abstractNum>
  <w:abstractNum w:abstractNumId="25">
    <w:nsid w:val="6B94764"/>
    <w:multiLevelType w:val="hybridMultilevel"/>
    <w:lvl w:ilvl="0">
      <w:lvlJc w:val="left"/>
      <w:lvlText w:val="(%1)"/>
      <w:numFmt w:val="lowerRoman"/>
      <w:start w:val="2"/>
    </w:lvl>
  </w:abstractNum>
  <w:abstractNum w:abstractNumId="26">
    <w:nsid w:val="42C296BD"/>
    <w:multiLevelType w:val="hybridMultilevel"/>
    <w:lvl w:ilvl="0">
      <w:lvlJc w:val="left"/>
      <w:lvlText w:val="%1."/>
      <w:numFmt w:val="decimal"/>
      <w:start w:val="2"/>
    </w:lvl>
  </w:abstractNum>
  <w:abstractNum w:abstractNumId="27">
    <w:nsid w:val="168E121F"/>
    <w:multiLevelType w:val="hybridMultilevel"/>
    <w:lvl w:ilvl="0">
      <w:lvlJc w:val="left"/>
      <w:lvlText w:val="%1."/>
      <w:numFmt w:val="decimal"/>
      <w:start w:val="3"/>
    </w:lvl>
  </w:abstractNum>
  <w:abstractNum w:abstractNumId="28">
    <w:nsid w:val="1EBA5D23"/>
    <w:multiLevelType w:val="hybridMultilevel"/>
    <w:lvl w:ilvl="0">
      <w:lvlJc w:val="left"/>
      <w:lvlText w:val="%1."/>
      <w:numFmt w:val="decimal"/>
      <w:start w:val="4"/>
    </w:lvl>
  </w:abstractNum>
  <w:abstractNum w:abstractNumId="29">
    <w:nsid w:val="661E3F1E"/>
    <w:multiLevelType w:val="hybridMultilevel"/>
    <w:lvl w:ilvl="0">
      <w:lvlJc w:val="left"/>
      <w:lvlText w:val="%1."/>
      <w:numFmt w:val="decimal"/>
      <w:start w:val="5"/>
    </w:lvl>
  </w:abstractNum>
  <w:abstractNum w:abstractNumId="30">
    <w:nsid w:val="5DC79EA8"/>
    <w:multiLevelType w:val="hybridMultilevel"/>
    <w:lvl w:ilvl="0">
      <w:lvlJc w:val="left"/>
      <w:lvlText w:val="%1."/>
      <w:numFmt w:val="decimal"/>
      <w:start w:val="6"/>
    </w:lvl>
  </w:abstractNum>
  <w:abstractNum w:abstractNumId="31">
    <w:nsid w:val="540A471C"/>
    <w:multiLevelType w:val="hybridMultilevel"/>
    <w:lvl w:ilvl="0">
      <w:lvlJc w:val="left"/>
      <w:lvlText w:val="%1."/>
      <w:numFmt w:val="decimal"/>
      <w:start w:val="7"/>
    </w:lvl>
  </w:abstractNum>
  <w:abstractNum w:abstractNumId="32">
    <w:nsid w:val="7BD3EE7B"/>
    <w:multiLevelType w:val="hybridMultilevel"/>
    <w:lvl w:ilvl="0">
      <w:lvlJc w:val="left"/>
      <w:lvlText w:val="%1."/>
      <w:numFmt w:val="decimal"/>
      <w:start w:val="8"/>
    </w:lvl>
  </w:abstractNum>
  <w:abstractNum w:abstractNumId="33">
    <w:nsid w:val="51D9C564"/>
    <w:multiLevelType w:val="hybridMultilevel"/>
    <w:lvl w:ilvl="0">
      <w:lvlJc w:val="left"/>
      <w:lvlText w:val="%1."/>
      <w:numFmt w:val="decimal"/>
      <w:start w:val="9"/>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1."/>
      <w:numFmt w:val="decimal"/>
      <w:start w:val="2"/>
    </w:lvl>
  </w:abstractNum>
  <w:abstractNum w:abstractNumId="36">
    <w:nsid w:val="11447B73"/>
    <w:multiLevelType w:val="hybridMultilevel"/>
    <w:lvl w:ilvl="0">
      <w:lvlJc w:val="left"/>
      <w:lvlText w:val="%1."/>
      <w:numFmt w:val="decimal"/>
      <w:start w:val="3"/>
    </w:lvl>
  </w:abstractNum>
  <w:abstractNum w:abstractNumId="37">
    <w:nsid w:val="42963E5A"/>
    <w:multiLevelType w:val="hybridMultilevel"/>
    <w:lvl w:ilvl="0">
      <w:lvlJc w:val="left"/>
      <w:lvlText w:val="%1."/>
      <w:numFmt w:val="decimal"/>
      <w:start w:val="4"/>
    </w:lvl>
  </w:abstractNum>
  <w:abstractNum w:abstractNumId="38">
    <w:nsid w:val="A0382C5"/>
    <w:multiLevelType w:val="hybridMultilevel"/>
    <w:lvl w:ilvl="0">
      <w:lvlJc w:val="left"/>
      <w:lvlText w:val="%1."/>
      <w:numFmt w:val="decimal"/>
      <w:start w:val="5"/>
    </w:lvl>
  </w:abstractNum>
  <w:abstractNum w:abstractNumId="39">
    <w:nsid w:val="8F2B15E"/>
    <w:multiLevelType w:val="hybridMultilevel"/>
    <w:lvl w:ilvl="0">
      <w:lvlJc w:val="left"/>
      <w:lvlText w:val="%1."/>
      <w:numFmt w:val="decimal"/>
      <w:start w:val="6"/>
    </w:lvl>
  </w:abstractNum>
  <w:abstractNum w:abstractNumId="40">
    <w:nsid w:val="1A32234B"/>
    <w:multiLevelType w:val="hybridMultilevel"/>
    <w:lvl w:ilvl="0">
      <w:lvlJc w:val="left"/>
      <w:lvlText w:val="%1."/>
      <w:numFmt w:val="decimal"/>
      <w:start w:val="7"/>
    </w:lvl>
  </w:abstractNum>
  <w:abstractNum w:abstractNumId="41">
    <w:nsid w:val="3B0FD379"/>
    <w:multiLevelType w:val="hybridMultilevel"/>
    <w:lvl w:ilvl="0">
      <w:lvlJc w:val="left"/>
      <w:lvlText w:val="%1."/>
      <w:numFmt w:val="decimal"/>
      <w:start w:val="8"/>
    </w:lvl>
  </w:abstractNum>
  <w:abstractNum w:abstractNumId="42">
    <w:nsid w:val="68EB2F63"/>
    <w:multiLevelType w:val="hybridMultilevel"/>
    <w:lvl w:ilvl="0">
      <w:lvlJc w:val="left"/>
      <w:lvlText w:val="%1."/>
      <w:numFmt w:val="decimal"/>
      <w:start w:val="9"/>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1."/>
      <w:numFmt w:val="decimal"/>
      <w:start w:val="2"/>
    </w:lvl>
  </w:abstractNum>
  <w:abstractNum w:abstractNumId="45">
    <w:nsid w:val="6A5EE64"/>
    <w:multiLevelType w:val="hybridMultilevel"/>
    <w:lvl w:ilvl="0">
      <w:lvlJc w:val="left"/>
      <w:lvlText w:val="%1."/>
      <w:numFmt w:val="decimal"/>
      <w:start w:val="3"/>
    </w:lvl>
  </w:abstractNum>
  <w:abstractNum w:abstractNumId="46">
    <w:nsid w:val="14330624"/>
    <w:multiLevelType w:val="hybridMultilevel"/>
    <w:lvl w:ilvl="0">
      <w:lvlJc w:val="left"/>
      <w:lvlText w:val="%1."/>
      <w:numFmt w:val="decimal"/>
      <w:start w:val="4"/>
    </w:lvl>
  </w:abstractNum>
  <w:abstractNum w:abstractNumId="47">
    <w:nsid w:val="7FFFCA11"/>
    <w:multiLevelType w:val="hybridMultilevel"/>
    <w:lvl w:ilvl="0">
      <w:lvlJc w:val="left"/>
      <w:lvlText w:val="%1."/>
      <w:numFmt w:val="decimal"/>
      <w:start w:val="5"/>
    </w:lvl>
  </w:abstractNum>
  <w:abstractNum w:abstractNumId="48">
    <w:nsid w:val="1A27709E"/>
    <w:multiLevelType w:val="hybridMultilevel"/>
    <w:lvl w:ilvl="0">
      <w:lvlJc w:val="left"/>
      <w:lvlText w:val="%1."/>
      <w:numFmt w:val="decimal"/>
      <w:start w:val="6"/>
    </w:lvl>
  </w:abstractNum>
  <w:abstractNum w:abstractNumId="49">
    <w:nsid w:val="71EA1109"/>
    <w:multiLevelType w:val="hybridMultilevel"/>
    <w:lvl w:ilvl="0">
      <w:lvlJc w:val="left"/>
      <w:lvlText w:val="%1."/>
      <w:numFmt w:val="decimal"/>
      <w:start w:val="7"/>
    </w:lvl>
  </w:abstractNum>
  <w:abstractNum w:abstractNumId="50">
    <w:nsid w:val="100F59DC"/>
    <w:multiLevelType w:val="hybridMultilevel"/>
    <w:lvl w:ilvl="0">
      <w:lvlJc w:val="left"/>
      <w:lvlText w:val="%1."/>
      <w:numFmt w:val="decimal"/>
      <w:start w:val="8"/>
    </w:lvl>
  </w:abstractNum>
  <w:abstractNum w:abstractNumId="51">
    <w:nsid w:val="7FB7E0AA"/>
    <w:multiLevelType w:val="hybridMultilevel"/>
    <w:lvl w:ilvl="0">
      <w:lvlJc w:val="left"/>
      <w:lvlText w:val="%1."/>
      <w:numFmt w:val="decimal"/>
      <w:start w:val="9"/>
    </w:lvl>
  </w:abstractNum>
  <w:abstractNum w:abstractNumId="52">
    <w:nsid w:val="6EB5BD4"/>
    <w:multiLevelType w:val="hybridMultilevel"/>
    <w:lvl w:ilvl="0">
      <w:lvlJc w:val="left"/>
      <w:lvlText w:val="%1."/>
      <w:numFmt w:val="decimal"/>
      <w:start w:val="1"/>
    </w:lvl>
  </w:abstractNum>
  <w:abstractNum w:abstractNumId="53">
    <w:nsid w:val="6F6DD9AC"/>
    <w:multiLevelType w:val="hybridMultilevel"/>
    <w:lvl w:ilvl="0">
      <w:lvlJc w:val="left"/>
      <w:lvlText w:val="%1."/>
      <w:numFmt w:val="decimal"/>
      <w:start w:val="2"/>
    </w:lvl>
  </w:abstractNum>
  <w:abstractNum w:abstractNumId="54">
    <w:nsid w:val="94211F2"/>
    <w:multiLevelType w:val="hybridMultilevel"/>
    <w:lvl w:ilvl="0">
      <w:lvlJc w:val="left"/>
      <w:lvlText w:val="%1."/>
      <w:numFmt w:val="decimal"/>
      <w:start w:val="3"/>
    </w:lvl>
  </w:abstractNum>
  <w:abstractNum w:abstractNumId="55">
    <w:nsid w:val="885E1B"/>
    <w:multiLevelType w:val="hybridMultilevel"/>
    <w:lvl w:ilvl="0">
      <w:lvlJc w:val="left"/>
      <w:lvlText w:val="%1."/>
      <w:numFmt w:val="decimal"/>
      <w:start w:val="4"/>
    </w:lvl>
  </w:abstractNum>
  <w:abstractNum w:abstractNumId="56">
    <w:nsid w:val="76272110"/>
    <w:multiLevelType w:val="hybridMultilevel"/>
    <w:lvl w:ilvl="0">
      <w:lvlJc w:val="left"/>
      <w:lvlText w:val="%1."/>
      <w:numFmt w:val="decimal"/>
      <w:start w:val="5"/>
    </w:lvl>
  </w:abstractNum>
  <w:abstractNum w:abstractNumId="57">
    <w:nsid w:val="4C04A8AF"/>
    <w:multiLevelType w:val="hybridMultilevel"/>
    <w:lvl w:ilvl="0">
      <w:lvlJc w:val="left"/>
      <w:lvlText w:val="%1."/>
      <w:numFmt w:val="decimal"/>
      <w:start w:val="6"/>
    </w:lvl>
  </w:abstractNum>
  <w:abstractNum w:abstractNumId="58">
    <w:nsid w:val="1716703B"/>
    <w:multiLevelType w:val="hybridMultilevel"/>
    <w:lvl w:ilvl="0">
      <w:lvlJc w:val="left"/>
      <w:lvlText w:val="%1."/>
      <w:numFmt w:val="decimal"/>
      <w:start w:val="7"/>
    </w:lvl>
  </w:abstractNum>
  <w:abstractNum w:abstractNumId="59">
    <w:nsid w:val="14E17E33"/>
    <w:multiLevelType w:val="hybridMultilevel"/>
    <w:lvl w:ilvl="0">
      <w:lvlJc w:val="left"/>
      <w:lvlText w:val="%1."/>
      <w:numFmt w:val="decimal"/>
      <w:start w:val="8"/>
    </w:lvl>
  </w:abstractNum>
  <w:abstractNum w:abstractNumId="60">
    <w:nsid w:val="3222E7CD"/>
    <w:multiLevelType w:val="hybridMultilevel"/>
    <w:lvl w:ilvl="0">
      <w:lvlJc w:val="left"/>
      <w:lvlText w:val="%1."/>
      <w:numFmt w:val="decimal"/>
      <w:start w:val="9"/>
    </w:lvl>
  </w:abstractNum>
  <w:abstractNum w:abstractNumId="61">
    <w:nsid w:val="74DE0EE3"/>
    <w:multiLevelType w:val="hybridMultilevel"/>
    <w:lvl w:ilvl="0">
      <w:lvlJc w:val="left"/>
      <w:lvlText w:val="%1."/>
      <w:numFmt w:val="decimal"/>
      <w:start w:val="1"/>
    </w:lvl>
  </w:abstractNum>
  <w:abstractNum w:abstractNumId="62">
    <w:nsid w:val="68EBC550"/>
    <w:multiLevelType w:val="hybridMultilevel"/>
    <w:lvl w:ilvl="0">
      <w:lvlJc w:val="left"/>
      <w:lvlText w:val="%1."/>
      <w:numFmt w:val="decimal"/>
      <w:start w:val="2"/>
    </w:lvl>
  </w:abstractNum>
  <w:abstractNum w:abstractNumId="63">
    <w:nsid w:val="2DF6D648"/>
    <w:multiLevelType w:val="hybridMultilevel"/>
    <w:lvl w:ilvl="0">
      <w:lvlJc w:val="left"/>
      <w:lvlText w:val="%1."/>
      <w:numFmt w:val="decimal"/>
      <w:start w:val="3"/>
    </w:lvl>
  </w:abstractNum>
  <w:abstractNum w:abstractNumId="64">
    <w:nsid w:val="46B7D447"/>
    <w:multiLevelType w:val="hybridMultilevel"/>
    <w:lvl w:ilvl="0">
      <w:lvlJc w:val="left"/>
      <w:lvlText w:val="%1."/>
      <w:numFmt w:val="decimal"/>
      <w:start w:val="4"/>
    </w:lvl>
  </w:abstractNum>
  <w:abstractNum w:abstractNumId="65">
    <w:nsid w:val="4A2AC315"/>
    <w:multiLevelType w:val="hybridMultilevel"/>
    <w:lvl w:ilvl="0">
      <w:lvlJc w:val="left"/>
      <w:lvlText w:val="%1."/>
      <w:numFmt w:val="decimal"/>
      <w:start w:val="5"/>
    </w:lvl>
  </w:abstractNum>
  <w:abstractNum w:abstractNumId="66">
    <w:nsid w:val="39EE015C"/>
    <w:multiLevelType w:val="hybridMultilevel"/>
    <w:lvl w:ilvl="0">
      <w:lvlJc w:val="left"/>
      <w:lvlText w:val="%1."/>
      <w:numFmt w:val="decimal"/>
      <w:start w:val="6"/>
    </w:lvl>
  </w:abstractNum>
  <w:abstractNum w:abstractNumId="67">
    <w:nsid w:val="57FC4FBB"/>
    <w:multiLevelType w:val="hybridMultilevel"/>
    <w:lvl w:ilvl="0">
      <w:lvlJc w:val="left"/>
      <w:lvlText w:val="%1."/>
      <w:numFmt w:val="decimal"/>
      <w:start w:val="7"/>
    </w:lvl>
  </w:abstractNum>
  <w:abstractNum w:abstractNumId="68">
    <w:nsid w:val="CC1016F"/>
    <w:multiLevelType w:val="hybridMultilevel"/>
    <w:lvl w:ilvl="0">
      <w:lvlJc w:val="left"/>
      <w:lvlText w:val="%1."/>
      <w:numFmt w:val="decimal"/>
      <w:start w:val="8"/>
    </w:lvl>
  </w:abstractNum>
  <w:abstractNum w:abstractNumId="69">
    <w:nsid w:val="43F18422"/>
    <w:multiLevelType w:val="hybridMultilevel"/>
    <w:lvl w:ilvl="0">
      <w:lvlJc w:val="left"/>
      <w:lvlText w:val="%1."/>
      <w:numFmt w:val="decimal"/>
      <w:start w:val="9"/>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decimal"/>
      <w:start w:val="2"/>
    </w:lvl>
  </w:abstractNum>
  <w:abstractNum w:abstractNumId="72">
    <w:nsid w:val="7F01579B"/>
    <w:multiLevelType w:val="hybridMultilevel"/>
    <w:lvl w:ilvl="0">
      <w:lvlJc w:val="left"/>
      <w:lvlText w:val="%1."/>
      <w:numFmt w:val="decimal"/>
      <w:start w:val="3"/>
    </w:lvl>
  </w:abstractNum>
  <w:abstractNum w:abstractNumId="73">
    <w:nsid w:val="49DA307D"/>
    <w:multiLevelType w:val="hybridMultilevel"/>
    <w:lvl w:ilvl="0">
      <w:lvlJc w:val="left"/>
      <w:lvlText w:val="%1."/>
      <w:numFmt w:val="decimal"/>
      <w:start w:val="4"/>
    </w:lvl>
  </w:abstractNum>
  <w:abstractNum w:abstractNumId="74">
    <w:nsid w:val="7055A5F5"/>
    <w:multiLevelType w:val="hybridMultilevel"/>
    <w:lvl w:ilvl="0">
      <w:lvlJc w:val="left"/>
      <w:lvlText w:val="%1."/>
      <w:numFmt w:val="decimal"/>
      <w:start w:val="5"/>
    </w:lvl>
  </w:abstractNum>
  <w:abstractNum w:abstractNumId="75">
    <w:nsid w:val="5FB8370B"/>
    <w:multiLevelType w:val="hybridMultilevel"/>
    <w:lvl w:ilvl="0">
      <w:lvlJc w:val="left"/>
      <w:lvlText w:val="%1."/>
      <w:numFmt w:val="decimal"/>
      <w:start w:val="6"/>
    </w:lvl>
  </w:abstractNum>
  <w:abstractNum w:abstractNumId="76">
    <w:nsid w:val="50801EE1"/>
    <w:multiLevelType w:val="hybridMultilevel"/>
    <w:lvl w:ilvl="0">
      <w:lvlJc w:val="left"/>
      <w:lvlText w:val="%1."/>
      <w:numFmt w:val="decimal"/>
      <w:start w:val="7"/>
    </w:lvl>
  </w:abstractNum>
  <w:abstractNum w:abstractNumId="77">
    <w:nsid w:val="488AC1A"/>
    <w:multiLevelType w:val="hybridMultilevel"/>
    <w:lvl w:ilvl="0">
      <w:lvlJc w:val="left"/>
      <w:lvlText w:val="%1."/>
      <w:numFmt w:val="decimal"/>
      <w:start w:val="8"/>
    </w:lvl>
  </w:abstractNum>
  <w:abstractNum w:abstractNumId="78">
    <w:nsid w:val="5FB8011C"/>
    <w:multiLevelType w:val="hybridMultilevel"/>
    <w:lvl w:ilvl="0">
      <w:lvlJc w:val="left"/>
      <w:lvlText w:val="%1."/>
      <w:numFmt w:val="decimal"/>
      <w:start w:val="9"/>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decimal"/>
      <w:start w:val="2"/>
    </w:lvl>
  </w:abstractNum>
  <w:abstractNum w:abstractNumId="81">
    <w:nsid w:val="6FC75AF8"/>
    <w:multiLevelType w:val="hybridMultilevel"/>
    <w:lvl w:ilvl="0">
      <w:lvlJc w:val="left"/>
      <w:lvlText w:val="%1."/>
      <w:numFmt w:val="decimal"/>
      <w:start w:val="3"/>
    </w:lvl>
  </w:abstractNum>
  <w:abstractNum w:abstractNumId="82">
    <w:nsid w:val="6A5F7029"/>
    <w:multiLevelType w:val="hybridMultilevel"/>
    <w:lvl w:ilvl="0">
      <w:lvlJc w:val="left"/>
      <w:lvlText w:val="%1."/>
      <w:numFmt w:val="decimal"/>
      <w:start w:val="4"/>
    </w:lvl>
  </w:abstractNum>
  <w:abstractNum w:abstractNumId="83">
    <w:nsid w:val="7D5E18F8"/>
    <w:multiLevelType w:val="hybridMultilevel"/>
    <w:lvl w:ilvl="0">
      <w:lvlJc w:val="left"/>
      <w:lvlText w:val="%1."/>
      <w:numFmt w:val="decimal"/>
      <w:start w:val="5"/>
    </w:lvl>
  </w:abstractNum>
  <w:abstractNum w:abstractNumId="84">
    <w:nsid w:val="5F3534A4"/>
    <w:multiLevelType w:val="hybridMultilevel"/>
    <w:lvl w:ilvl="0">
      <w:lvlJc w:val="left"/>
      <w:lvlText w:val="%1."/>
      <w:numFmt w:val="decimal"/>
      <w:start w:val="6"/>
    </w:lvl>
  </w:abstractNum>
  <w:abstractNum w:abstractNumId="85">
    <w:nsid w:val="73A1821B"/>
    <w:multiLevelType w:val="hybridMultilevel"/>
    <w:lvl w:ilvl="0">
      <w:lvlJc w:val="left"/>
      <w:lvlText w:val="%1."/>
      <w:numFmt w:val="decimal"/>
      <w:start w:val="7"/>
    </w:lvl>
  </w:abstractNum>
  <w:abstractNum w:abstractNumId="86">
    <w:nsid w:val="7DE67713"/>
    <w:multiLevelType w:val="hybridMultilevel"/>
    <w:lvl w:ilvl="0">
      <w:lvlJc w:val="left"/>
      <w:lvlText w:val="%1."/>
      <w:numFmt w:val="decimal"/>
      <w:start w:val="8"/>
    </w:lvl>
  </w:abstractNum>
  <w:abstractNum w:abstractNumId="87">
    <w:nsid w:val="555C55B5"/>
    <w:multiLevelType w:val="hybridMultilevel"/>
    <w:lvl w:ilvl="0">
      <w:lvlJc w:val="left"/>
      <w:lvlText w:val="%1."/>
      <w:numFmt w:val="decimal"/>
      <w:start w:val="9"/>
    </w:lvl>
  </w:abstractNum>
  <w:abstractNum w:abstractNumId="88">
    <w:nsid w:val="3FA62ACA"/>
    <w:multiLevelType w:val="hybridMultilevel"/>
    <w:lvl w:ilvl="0">
      <w:lvlJc w:val="left"/>
      <w:lvlText w:val="%1."/>
      <w:numFmt w:val="decimal"/>
      <w:start w:val="1"/>
    </w:lvl>
  </w:abstractNum>
  <w:abstractNum w:abstractNumId="89">
    <w:nsid w:val="14FCE74E"/>
    <w:multiLevelType w:val="hybridMultilevel"/>
    <w:lvl w:ilvl="0">
      <w:lvlJc w:val="left"/>
      <w:lvlText w:val="%1."/>
      <w:numFmt w:val="decimal"/>
      <w:start w:val="2"/>
    </w:lvl>
  </w:abstractNum>
  <w:abstractNum w:abstractNumId="90">
    <w:nsid w:val="6A3DD3E8"/>
    <w:multiLevelType w:val="hybridMultilevel"/>
    <w:lvl w:ilvl="0">
      <w:lvlJc w:val="left"/>
      <w:lvlText w:val="%1."/>
      <w:numFmt w:val="decimal"/>
      <w:start w:val="3"/>
    </w:lvl>
  </w:abstractNum>
  <w:abstractNum w:abstractNumId="91">
    <w:nsid w:val="71C91298"/>
    <w:multiLevelType w:val="hybridMultilevel"/>
    <w:lvl w:ilvl="0">
      <w:lvlJc w:val="left"/>
      <w:lvlText w:val="%1."/>
      <w:numFmt w:val="decimal"/>
      <w:start w:val="4"/>
    </w:lvl>
  </w:abstractNum>
  <w:abstractNum w:abstractNumId="92">
    <w:nsid w:val="9DAF632"/>
    <w:multiLevelType w:val="hybridMultilevel"/>
    <w:lvl w:ilvl="0">
      <w:lvlJc w:val="left"/>
      <w:lvlText w:val="%1."/>
      <w:numFmt w:val="decimal"/>
      <w:start w:val="5"/>
    </w:lvl>
  </w:abstractNum>
  <w:abstractNum w:abstractNumId="93">
    <w:nsid w:val="53299938"/>
    <w:multiLevelType w:val="hybridMultilevel"/>
    <w:lvl w:ilvl="0">
      <w:lvlJc w:val="left"/>
      <w:lvlText w:val="%1."/>
      <w:numFmt w:val="decimal"/>
      <w:start w:val="6"/>
    </w:lvl>
  </w:abstractNum>
  <w:abstractNum w:abstractNumId="94">
    <w:nsid w:val="1FBFE8E0"/>
    <w:multiLevelType w:val="hybridMultilevel"/>
    <w:lvl w:ilvl="0">
      <w:lvlJc w:val="left"/>
      <w:lvlText w:val="%1."/>
      <w:numFmt w:val="decimal"/>
      <w:start w:val="7"/>
    </w:lvl>
  </w:abstractNum>
  <w:abstractNum w:abstractNumId="95">
    <w:nsid w:val="5092CA79"/>
    <w:multiLevelType w:val="hybridMultilevel"/>
    <w:lvl w:ilvl="0">
      <w:lvlJc w:val="left"/>
      <w:lvlText w:val="%1."/>
      <w:numFmt w:val="decimal"/>
      <w:start w:val="8"/>
    </w:lvl>
  </w:abstractNum>
  <w:abstractNum w:abstractNumId="96">
    <w:nsid w:val="1D545C4D"/>
    <w:multiLevelType w:val="hybridMultilevel"/>
    <w:lvl w:ilvl="0">
      <w:lvlJc w:val="left"/>
      <w:lvlText w:val="%1."/>
      <w:numFmt w:val="decimal"/>
      <w:start w:val="9"/>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decimal"/>
      <w:start w:val="2"/>
    </w:lvl>
  </w:abstractNum>
  <w:abstractNum w:abstractNumId="99">
    <w:nsid w:val="2A155DBC"/>
    <w:multiLevelType w:val="hybridMultilevel"/>
    <w:lvl w:ilvl="0">
      <w:lvlJc w:val="left"/>
      <w:lvlText w:val="%1."/>
      <w:numFmt w:val="decimal"/>
      <w:start w:val="3"/>
    </w:lvl>
  </w:abstractNum>
  <w:abstractNum w:abstractNumId="100">
    <w:nsid w:val="1D9F6E5F"/>
    <w:multiLevelType w:val="hybridMultilevel"/>
    <w:lvl w:ilvl="0">
      <w:lvlJc w:val="left"/>
      <w:lvlText w:val="%1."/>
      <w:numFmt w:val="decimal"/>
      <w:start w:val="4"/>
    </w:lvl>
  </w:abstractNum>
  <w:abstractNum w:abstractNumId="101">
    <w:nsid w:val="97E1B4E"/>
    <w:multiLevelType w:val="hybridMultilevel"/>
    <w:lvl w:ilvl="0">
      <w:lvlJc w:val="left"/>
      <w:lvlText w:val="%1."/>
      <w:numFmt w:val="decimal"/>
      <w:start w:val="5"/>
    </w:lvl>
  </w:abstractNum>
  <w:abstractNum w:abstractNumId="102">
    <w:nsid w:val="51088277"/>
    <w:multiLevelType w:val="hybridMultilevel"/>
    <w:lvl w:ilvl="0">
      <w:lvlJc w:val="left"/>
      <w:lvlText w:val="%1."/>
      <w:numFmt w:val="decimal"/>
      <w:start w:val="6"/>
    </w:lvl>
  </w:abstractNum>
  <w:abstractNum w:abstractNumId="103">
    <w:nsid w:val="1CA0C5FA"/>
    <w:multiLevelType w:val="hybridMultilevel"/>
    <w:lvl w:ilvl="0">
      <w:lvlJc w:val="left"/>
      <w:lvlText w:val="%1."/>
      <w:numFmt w:val="decimal"/>
      <w:start w:val="7"/>
    </w:lvl>
  </w:abstractNum>
  <w:abstractNum w:abstractNumId="104">
    <w:nsid w:val="53584BCB"/>
    <w:multiLevelType w:val="hybridMultilevel"/>
    <w:lvl w:ilvl="0">
      <w:lvlJc w:val="left"/>
      <w:lvlText w:val="%1."/>
      <w:numFmt w:val="decimal"/>
      <w:start w:val="8"/>
    </w:lvl>
  </w:abstractNum>
  <w:abstractNum w:abstractNumId="105">
    <w:nsid w:val="415E286C"/>
    <w:multiLevelType w:val="hybridMultilevel"/>
    <w:lvl w:ilvl="0">
      <w:lvlJc w:val="left"/>
      <w:lvlText w:val="%1."/>
      <w:numFmt w:val="decimal"/>
      <w:start w:val="9"/>
    </w:lvl>
  </w:abstractNum>
  <w:abstractNum w:abstractNumId="106">
    <w:nsid w:val="7C58FD05"/>
    <w:multiLevelType w:val="hybridMultilevel"/>
    <w:lvl w:ilvl="0">
      <w:lvlJc w:val="left"/>
      <w:lvlText w:val="%1."/>
      <w:numFmt w:val="decimal"/>
      <w:start w:val="1"/>
    </w:lvl>
  </w:abstractNum>
  <w:abstractNum w:abstractNumId="107">
    <w:nsid w:val="23D86AAC"/>
    <w:multiLevelType w:val="hybridMultilevel"/>
    <w:lvl w:ilvl="0">
      <w:lvlJc w:val="left"/>
      <w:lvlText w:val="%1."/>
      <w:numFmt w:val="decimal"/>
      <w:start w:val="2"/>
    </w:lvl>
  </w:abstractNum>
  <w:abstractNum w:abstractNumId="108">
    <w:nsid w:val="45E6D486"/>
    <w:multiLevelType w:val="hybridMultilevel"/>
    <w:lvl w:ilvl="0">
      <w:lvlJc w:val="left"/>
      <w:lvlText w:val="%1."/>
      <w:numFmt w:val="decimal"/>
      <w:start w:val="3"/>
    </w:lvl>
  </w:abstractNum>
  <w:abstractNum w:abstractNumId="109">
    <w:nsid w:val="5C10FE21"/>
    <w:multiLevelType w:val="hybridMultilevel"/>
    <w:lvl w:ilvl="0">
      <w:lvlJc w:val="left"/>
      <w:lvlText w:val="%1."/>
      <w:numFmt w:val="decimal"/>
      <w:start w:val="4"/>
    </w:lvl>
  </w:abstractNum>
  <w:abstractNum w:abstractNumId="110">
    <w:nsid w:val="E7FFA2B"/>
    <w:multiLevelType w:val="hybridMultilevel"/>
    <w:lvl w:ilvl="0">
      <w:lvlJc w:val="left"/>
      <w:lvlText w:val="%1."/>
      <w:numFmt w:val="decimal"/>
      <w:start w:val="5"/>
    </w:lvl>
  </w:abstractNum>
  <w:abstractNum w:abstractNumId="111">
    <w:nsid w:val="3C5991AA"/>
    <w:multiLevelType w:val="hybridMultilevel"/>
    <w:lvl w:ilvl="0">
      <w:lvlJc w:val="left"/>
      <w:lvlText w:val="%1."/>
      <w:numFmt w:val="decimal"/>
      <w:start w:val="6"/>
    </w:lvl>
  </w:abstractNum>
  <w:abstractNum w:abstractNumId="112">
    <w:nsid w:val="4BD8591A"/>
    <w:multiLevelType w:val="hybridMultilevel"/>
    <w:lvl w:ilvl="0">
      <w:lvlJc w:val="left"/>
      <w:lvlText w:val="%1."/>
      <w:numFmt w:val="decimal"/>
      <w:start w:val="7"/>
    </w:lvl>
  </w:abstractNum>
  <w:abstractNum w:abstractNumId="113">
    <w:nsid w:val="78DF6A55"/>
    <w:multiLevelType w:val="hybridMultilevel"/>
    <w:lvl w:ilvl="0">
      <w:lvlJc w:val="left"/>
      <w:lvlText w:val="%1."/>
      <w:numFmt w:val="decimal"/>
      <w:start w:val="8"/>
    </w:lvl>
  </w:abstractNum>
  <w:abstractNum w:abstractNumId="114">
    <w:nsid w:val="39B7AAA2"/>
    <w:multiLevelType w:val="hybridMultilevel"/>
    <w:lvl w:ilvl="0">
      <w:lvlJc w:val="left"/>
      <w:lvlText w:val="%1."/>
      <w:numFmt w:val="decimal"/>
      <w:start w:val="9"/>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2019-12-28T19:15:18Z</dcterms:created>
  <dcterms:modified xsi:type="dcterms:W3CDTF">2019-12-28T19:15:18Z</dcterms:modified>
</cp:coreProperties>
</file>