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8-A</w:t>
      </w:r>
    </w:p>
    <w:p>
      <w:pPr>
        <w:spacing w:after="0" w:line="207" w:lineRule="exact"/>
        <w:rPr>
          <w:sz w:val="24"/>
          <w:szCs w:val="24"/>
          <w:color w:val="auto"/>
        </w:rPr>
      </w:pPr>
    </w:p>
    <w:p>
      <w:pPr>
        <w:jc w:val="center"/>
        <w:ind w:right="1659"/>
        <w:spacing w:after="0" w:line="236" w:lineRule="auto"/>
        <w:rPr>
          <w:sz w:val="20"/>
          <w:szCs w:val="20"/>
          <w:color w:val="auto"/>
        </w:rPr>
      </w:pPr>
      <w:r>
        <w:rPr>
          <w:rFonts w:ascii="Courier New" w:cs="Courier New" w:eastAsia="Courier New" w:hAnsi="Courier New"/>
          <w:sz w:val="18"/>
          <w:szCs w:val="18"/>
          <w:color w:val="auto"/>
        </w:rPr>
        <w:t>FOR REGISTRATION OF CERTAIN CLASSES OF SECURITIES PURSUANT TO SECTION 12(b) OR 12(g) OF THE SECURITIES EXCHANGE ACT OF 1934</w:t>
      </w: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COMCAST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52" w:right="1440" w:bottom="51" w:gutter="0" w:footer="0" w:header="0"/>
        </w:sectPr>
      </w:pP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Pennsylvania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of 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23-1709202</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4440" w:space="420"/>
            <w:col w:w="5359"/>
          </w:cols>
          <w:pgMar w:left="240" w:top="452" w:right="1440" w:bottom="51" w:gutter="0" w:footer="0" w:header="0"/>
          <w:type w:val="continuous"/>
        </w:sectPr>
      </w:pPr>
    </w:p>
    <w:p>
      <w:pPr>
        <w:spacing w:after="0" w:line="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1500 Market Street</w:t>
      </w:r>
    </w:p>
    <w:p>
      <w:pPr>
        <w:ind w:left="2320"/>
        <w:spacing w:after="0" w:line="238" w:lineRule="auto"/>
        <w:rPr>
          <w:sz w:val="20"/>
          <w:szCs w:val="20"/>
          <w:color w:val="auto"/>
        </w:rPr>
      </w:pPr>
      <w:r>
        <w:rPr>
          <w:rFonts w:ascii="Courier New" w:cs="Courier New" w:eastAsia="Courier New" w:hAnsi="Courier New"/>
          <w:sz w:val="18"/>
          <w:szCs w:val="18"/>
          <w:color w:val="auto"/>
        </w:rPr>
        <w:t>Philadelphia, Pennsylvania 19102-2148</w:t>
      </w:r>
    </w:p>
    <w:p>
      <w:pPr>
        <w:ind w:left="1800"/>
        <w:spacing w:after="0"/>
        <w:rPr>
          <w:sz w:val="20"/>
          <w:szCs w:val="20"/>
          <w:color w:val="auto"/>
        </w:rPr>
      </w:pPr>
      <w:r>
        <w:rPr>
          <w:rFonts w:ascii="Courier New" w:cs="Courier New" w:eastAsia="Courier New" w:hAnsi="Courier New"/>
          <w:sz w:val="18"/>
          <w:szCs w:val="18"/>
          <w:color w:val="auto"/>
        </w:rPr>
        <w:t>---------------------------------------------</w:t>
      </w:r>
    </w:p>
    <w:p>
      <w:pPr>
        <w:ind w:left="2120"/>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left="640" w:right="1779"/>
        <w:spacing w:after="0" w:line="236" w:lineRule="auto"/>
        <w:rPr>
          <w:sz w:val="20"/>
          <w:szCs w:val="20"/>
          <w:color w:val="auto"/>
        </w:rPr>
      </w:pPr>
      <w:r>
        <w:rPr>
          <w:rFonts w:ascii="Courier New" w:cs="Courier New" w:eastAsia="Courier New" w:hAnsi="Courier New"/>
          <w:sz w:val="18"/>
          <w:szCs w:val="18"/>
          <w:color w:val="auto"/>
        </w:rPr>
        <w:t>If this Form relates to the registration of a class of securities pursuant to Section 12(b) of the Exchange Act and is effective pursuant to General Instruction A(c), please check the following box. [X]</w:t>
      </w:r>
    </w:p>
    <w:p>
      <w:pPr>
        <w:spacing w:after="0" w:line="209" w:lineRule="exact"/>
        <w:rPr>
          <w:sz w:val="24"/>
          <w:szCs w:val="24"/>
          <w:color w:val="auto"/>
        </w:rPr>
      </w:pPr>
    </w:p>
    <w:p>
      <w:pPr>
        <w:ind w:left="640" w:right="1779"/>
        <w:spacing w:after="0" w:line="236" w:lineRule="auto"/>
        <w:rPr>
          <w:sz w:val="20"/>
          <w:szCs w:val="20"/>
          <w:color w:val="auto"/>
        </w:rPr>
      </w:pPr>
      <w:r>
        <w:rPr>
          <w:rFonts w:ascii="Courier New" w:cs="Courier New" w:eastAsia="Courier New" w:hAnsi="Courier New"/>
          <w:sz w:val="18"/>
          <w:szCs w:val="18"/>
          <w:color w:val="auto"/>
        </w:rPr>
        <w:t>If this Form relates to the registration of a class of securities pursuant to Section 12(g) of the Exchange Act and is effective pursuant to General Instruction A(d), please check the following box. [ ]</w:t>
      </w:r>
    </w:p>
    <w:p>
      <w:pPr>
        <w:spacing w:after="0" w:line="200" w:lineRule="exact"/>
        <w:rPr>
          <w:sz w:val="24"/>
          <w:szCs w:val="24"/>
          <w:color w:val="auto"/>
        </w:rPr>
      </w:pPr>
    </w:p>
    <w:p>
      <w:pPr>
        <w:spacing w:after="0" w:line="20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Securities Act registration number to which this form relates:</w:t>
      </w:r>
    </w:p>
    <w:p>
      <w:pPr>
        <w:spacing w:after="0" w:line="201"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333-81391</w:t>
      </w:r>
    </w:p>
    <w:p>
      <w:pPr>
        <w:spacing w:after="0" w:line="4" w:lineRule="exact"/>
        <w:rPr>
          <w:sz w:val="24"/>
          <w:szCs w:val="24"/>
          <w:color w:val="auto"/>
        </w:rPr>
      </w:pPr>
    </w:p>
    <w:p>
      <w:pPr>
        <w:ind w:left="67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6860"/>
        <w:spacing w:after="0"/>
        <w:rPr>
          <w:sz w:val="20"/>
          <w:szCs w:val="20"/>
          <w:color w:val="auto"/>
        </w:rPr>
      </w:pPr>
      <w:r>
        <w:rPr>
          <w:rFonts w:ascii="Courier New" w:cs="Courier New" w:eastAsia="Courier New" w:hAnsi="Courier New"/>
          <w:sz w:val="16"/>
          <w:szCs w:val="16"/>
          <w:color w:val="auto"/>
        </w:rPr>
        <w:t>(if applicable)</w:t>
      </w:r>
    </w:p>
    <w:p>
      <w:pPr>
        <w:spacing w:after="0" w:line="200" w:lineRule="exact"/>
        <w:rPr>
          <w:sz w:val="24"/>
          <w:szCs w:val="24"/>
          <w:color w:val="auto"/>
        </w:rPr>
      </w:pPr>
    </w:p>
    <w:p>
      <w:pPr>
        <w:spacing w:after="0" w:line="22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Securities to be registered pursuant to Section 12(b) of the Act:</w:t>
      </w:r>
    </w:p>
    <w:p>
      <w:pPr>
        <w:spacing w:after="0" w:line="200" w:lineRule="exact"/>
        <w:rPr>
          <w:sz w:val="24"/>
          <w:szCs w:val="24"/>
          <w:color w:val="auto"/>
        </w:rPr>
      </w:pPr>
    </w:p>
    <w:p>
      <w:pPr>
        <w:spacing w:after="0" w:line="204" w:lineRule="exact"/>
        <w:rPr>
          <w:sz w:val="24"/>
          <w:szCs w:val="24"/>
          <w:color w:val="auto"/>
        </w:rPr>
      </w:pPr>
    </w:p>
    <w:tbl>
      <w:tblPr>
        <w:tblLayout w:type="fixed"/>
        <w:tblInd w:w="740" w:type="dxa"/>
        <w:tblCellMar>
          <w:top w:w="0" w:type="dxa"/>
          <w:left w:w="0" w:type="dxa"/>
          <w:bottom w:w="0" w:type="dxa"/>
          <w:right w:w="0" w:type="dxa"/>
        </w:tblCellMar>
      </w:tblPr>
      <w:tr>
        <w:trPr>
          <w:trHeight w:val="204"/>
        </w:trPr>
        <w:tc>
          <w:tcPr>
            <w:tcW w:w="1260" w:type="dxa"/>
            <w:vAlign w:val="bottom"/>
          </w:tcPr>
          <w:p>
            <w:pPr>
              <w:ind w:left="640"/>
              <w:spacing w:after="0"/>
              <w:rPr>
                <w:sz w:val="20"/>
                <w:szCs w:val="20"/>
                <w:color w:val="auto"/>
              </w:rPr>
            </w:pPr>
            <w:r>
              <w:rPr>
                <w:rFonts w:ascii="Courier New" w:cs="Courier New" w:eastAsia="Courier New" w:hAnsi="Courier New"/>
                <w:sz w:val="18"/>
                <w:szCs w:val="18"/>
                <w:color w:val="auto"/>
              </w:rPr>
              <w:t>Title</w:t>
            </w:r>
          </w:p>
        </w:tc>
        <w:tc>
          <w:tcPr>
            <w:tcW w:w="280" w:type="dxa"/>
            <w:vAlign w:val="bottom"/>
          </w:tcPr>
          <w:p>
            <w:pPr>
              <w:spacing w:after="0"/>
              <w:rPr>
                <w:sz w:val="20"/>
                <w:szCs w:val="20"/>
                <w:color w:val="auto"/>
              </w:rPr>
            </w:pPr>
            <w:r>
              <w:rPr>
                <w:rFonts w:ascii="Courier New" w:cs="Courier New" w:eastAsia="Courier New" w:hAnsi="Courier New"/>
                <w:sz w:val="18"/>
                <w:szCs w:val="18"/>
                <w:color w:val="auto"/>
              </w:rPr>
              <w:t>of</w:t>
            </w:r>
          </w:p>
        </w:tc>
        <w:tc>
          <w:tcPr>
            <w:tcW w:w="1880" w:type="dxa"/>
            <w:vAlign w:val="bottom"/>
          </w:tcPr>
          <w:p>
            <w:pPr>
              <w:ind w:left="40"/>
              <w:spacing w:after="0"/>
              <w:rPr>
                <w:sz w:val="20"/>
                <w:szCs w:val="20"/>
                <w:color w:val="auto"/>
              </w:rPr>
            </w:pPr>
            <w:r>
              <w:rPr>
                <w:rFonts w:ascii="Courier New" w:cs="Courier New" w:eastAsia="Courier New" w:hAnsi="Courier New"/>
                <w:sz w:val="18"/>
                <w:szCs w:val="18"/>
                <w:color w:val="auto"/>
              </w:rPr>
              <w:t>each class</w:t>
            </w:r>
          </w:p>
        </w:tc>
        <w:tc>
          <w:tcPr>
            <w:tcW w:w="3960" w:type="dxa"/>
            <w:vAlign w:val="bottom"/>
          </w:tcPr>
          <w:p>
            <w:pPr>
              <w:jc w:val="center"/>
              <w:ind w:left="192"/>
              <w:spacing w:after="0"/>
              <w:rPr>
                <w:sz w:val="20"/>
                <w:szCs w:val="20"/>
                <w:color w:val="auto"/>
              </w:rPr>
            </w:pPr>
            <w:r>
              <w:rPr>
                <w:rFonts w:ascii="Courier New" w:cs="Courier New" w:eastAsia="Courier New" w:hAnsi="Courier New"/>
                <w:sz w:val="18"/>
                <w:szCs w:val="18"/>
                <w:color w:val="auto"/>
                <w:w w:val="97"/>
              </w:rPr>
              <w:t>Name of each exchange on which each</w:t>
            </w:r>
          </w:p>
        </w:tc>
      </w:tr>
      <w:tr>
        <w:trPr>
          <w:trHeight w:val="203"/>
        </w:trPr>
        <w:tc>
          <w:tcPr>
            <w:tcW w:w="12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 be</w:t>
            </w:r>
          </w:p>
        </w:tc>
        <w:tc>
          <w:tcPr>
            <w:tcW w:w="280" w:type="dxa"/>
            <w:vAlign w:val="bottom"/>
          </w:tcPr>
          <w:p>
            <w:pPr>
              <w:spacing w:after="0" w:line="203" w:lineRule="exact"/>
              <w:rPr>
                <w:sz w:val="20"/>
                <w:szCs w:val="20"/>
                <w:color w:val="auto"/>
              </w:rPr>
            </w:pPr>
            <w:r>
              <w:rPr>
                <w:rFonts w:ascii="Courier New" w:cs="Courier New" w:eastAsia="Courier New" w:hAnsi="Courier New"/>
                <w:sz w:val="18"/>
                <w:szCs w:val="18"/>
                <w:color w:val="auto"/>
              </w:rPr>
              <w:t>so</w:t>
            </w:r>
          </w:p>
        </w:tc>
        <w:tc>
          <w:tcPr>
            <w:tcW w:w="1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registered</w:t>
            </w:r>
          </w:p>
        </w:tc>
        <w:tc>
          <w:tcPr>
            <w:tcW w:w="396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class is to be registered</w:t>
            </w:r>
          </w:p>
        </w:tc>
      </w:tr>
      <w:tr>
        <w:trPr>
          <w:trHeight w:val="203"/>
        </w:trPr>
        <w:tc>
          <w:tcPr>
            <w:tcW w:w="1540" w:type="dxa"/>
            <w:vAlign w:val="bottom"/>
            <w:gridSpan w:val="2"/>
          </w:tcPr>
          <w:p>
            <w:pPr>
              <w:ind w:left="640"/>
              <w:spacing w:after="0"/>
              <w:rPr>
                <w:sz w:val="20"/>
                <w:szCs w:val="20"/>
                <w:color w:val="auto"/>
              </w:rPr>
            </w:pPr>
            <w:r>
              <w:rPr>
                <w:rFonts w:ascii="Courier New" w:cs="Courier New" w:eastAsia="Courier New" w:hAnsi="Courier New"/>
                <w:sz w:val="11"/>
                <w:szCs w:val="11"/>
                <w:color w:val="auto"/>
                <w:w w:val="70"/>
              </w:rPr>
              <w:t>-------------------</w:t>
            </w:r>
          </w:p>
        </w:tc>
        <w:tc>
          <w:tcPr>
            <w:tcW w:w="1880" w:type="dxa"/>
            <w:vAlign w:val="bottom"/>
          </w:tcPr>
          <w:p>
            <w:pPr>
              <w:spacing w:after="0"/>
              <w:rPr>
                <w:sz w:val="17"/>
                <w:szCs w:val="17"/>
                <w:color w:val="auto"/>
              </w:rPr>
            </w:pPr>
          </w:p>
        </w:tc>
        <w:tc>
          <w:tcPr>
            <w:tcW w:w="396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4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2.0% Exchangeable Subordinated</w:t>
            </w:r>
          </w:p>
        </w:tc>
        <w:tc>
          <w:tcPr>
            <w:tcW w:w="396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New York Stock Exchange</w:t>
            </w:r>
          </w:p>
        </w:tc>
      </w:tr>
      <w:tr>
        <w:trPr>
          <w:trHeight w:val="203"/>
        </w:trPr>
        <w:tc>
          <w:tcPr>
            <w:tcW w:w="342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rPr>
              <w:t>Debentures due 2029</w:t>
            </w:r>
          </w:p>
        </w:tc>
        <w:tc>
          <w:tcPr>
            <w:tcW w:w="3960" w:type="dxa"/>
            <w:vAlign w:val="bottom"/>
          </w:tcPr>
          <w:p>
            <w:pPr>
              <w:spacing w:after="0"/>
              <w:rPr>
                <w:sz w:val="17"/>
                <w:szCs w:val="17"/>
                <w:color w:val="auto"/>
              </w:rPr>
            </w:pPr>
          </w:p>
        </w:tc>
      </w:tr>
    </w:tbl>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Securities to be registered pursuant to Section 12(g) of the</w:t>
      </w:r>
    </w:p>
    <w:p>
      <w:pPr>
        <w:ind w:left="1700"/>
        <w:spacing w:after="0" w:line="238" w:lineRule="auto"/>
        <w:rPr>
          <w:sz w:val="20"/>
          <w:szCs w:val="20"/>
          <w:color w:val="auto"/>
        </w:rPr>
      </w:pPr>
      <w:r>
        <w:rPr>
          <w:rFonts w:ascii="Courier New" w:cs="Courier New" w:eastAsia="Courier New" w:hAnsi="Courier New"/>
          <w:sz w:val="18"/>
          <w:szCs w:val="18"/>
          <w:color w:val="auto"/>
        </w:rPr>
        <w:t>Act: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Description of Registrant's Securities to be Registered.</w:t>
      </w:r>
    </w:p>
    <w:p>
      <w:pPr>
        <w:spacing w:after="0" w:line="207" w:lineRule="exact"/>
        <w:rPr>
          <w:sz w:val="24"/>
          <w:szCs w:val="24"/>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A description of the Registrant's 2.0% Exchangeable Subordinated Debentures due 2029 to be registered hereby is contained in the section captioned "Description of Zones" set forth in the Registrant's prospectus supplement filed on October 13, 1999 under Rule 424(b) of the Securities Act of 1933, as amended, with reference to the Registrant's Registration Statement on Form S-3 (Registration No. 333-81391), and is hereby incorporated herein by reference.</w:t>
      </w:r>
    </w:p>
    <w:p>
      <w:pPr>
        <w:spacing w:after="0" w:line="211" w:lineRule="exact"/>
        <w:rPr>
          <w:sz w:val="24"/>
          <w:szCs w:val="24"/>
          <w:color w:val="auto"/>
        </w:rPr>
      </w:pPr>
    </w:p>
    <w:p>
      <w:pPr>
        <w:jc w:val="center"/>
        <w:ind w:right="8419"/>
        <w:spacing w:after="0"/>
        <w:rPr>
          <w:sz w:val="20"/>
          <w:szCs w:val="20"/>
          <w:color w:val="auto"/>
        </w:rPr>
      </w:pPr>
      <w:r>
        <w:rPr>
          <w:rFonts w:ascii="Courier New" w:cs="Courier New" w:eastAsia="Courier New" w:hAnsi="Courier New"/>
          <w:sz w:val="16"/>
          <w:szCs w:val="16"/>
          <w:color w:val="auto"/>
        </w:rPr>
        <w:t>Item 2. Exhibits.</w:t>
      </w:r>
    </w:p>
    <w:p>
      <w:pPr>
        <w:spacing w:after="0" w:line="218"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452" w:right="1440" w:bottom="51" w:gutter="0" w:footer="0" w:header="0"/>
          <w:type w:val="continuous"/>
        </w:sectPr>
      </w:pPr>
    </w:p>
    <w:bookmarkStart w:id="1" w:name="page2"/>
    <w:bookmarkEnd w:id="1"/>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Dated: November 15, 1999</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William E. Dordelman</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tabs>
          <w:tab w:leader="none" w:pos="5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William E. Dordelman</w:t>
      </w:r>
    </w:p>
    <w:p>
      <w:pPr>
        <w:ind w:left="5060"/>
        <w:spacing w:after="0" w:line="237" w:lineRule="auto"/>
        <w:rPr>
          <w:sz w:val="20"/>
          <w:szCs w:val="20"/>
          <w:color w:val="auto"/>
        </w:rPr>
      </w:pPr>
      <w:r>
        <w:rPr>
          <w:rFonts w:ascii="Courier New" w:cs="Courier New" w:eastAsia="Courier New" w:hAnsi="Courier New"/>
          <w:sz w:val="18"/>
          <w:szCs w:val="18"/>
          <w:color w:val="auto"/>
        </w:rPr>
        <w:t>Title: Vice President - Finance</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2020-02-22T16:18:43Z</dcterms:created>
  <dcterms:modified xsi:type="dcterms:W3CDTF">2020-02-22T16:18:43Z</dcterms:modified>
</cp:coreProperties>
</file>