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3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3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0.250% Notes due 2027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$879,920,000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$114,213.62</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0.750% Notes due 2032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$1,539,860,000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$199,873.83</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1.250% Notes due 2040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$879,920,000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$114,213.62</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1.500% Notes due 2029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$780,120,000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$101,259.58</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1.875% Notes due 2036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$1,040,160,000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$135,012.77</w:t>
            </w:r>
          </w:p>
        </w:tc>
        <w:tc>
          <w:tcPr>
            <w:tcW w:w="0" w:type="dxa"/>
            <w:vAlign w:val="bottom"/>
          </w:tcPr>
          <w:p>
            <w:pPr>
              <w:spacing w:after="0"/>
              <w:rPr>
                <w:sz w:val="1"/>
                <w:szCs w:val="1"/>
                <w:color w:val="auto"/>
              </w:rPr>
            </w:pPr>
          </w:p>
        </w:tc>
      </w:tr>
      <w:tr>
        <w:trPr>
          <w:trHeight w:val="210"/>
        </w:trPr>
        <w:tc>
          <w:tcPr>
            <w:tcW w:w="83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$5,119,980,000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$664,573.42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right="220" w:hanging="436"/>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€3,000,000,000 aggregate principal amount of euro-denominated notes and £1,400,000,000 aggregate principal amount of sterling-denominated notes will be issued. The U.S. dollar equivalent of the maximum aggregate offering price, $5,119,980,000, has been calculated using a €/U.S.$ exchange rate of €1.00/U.S.$1.0999 and a £/U.S.$ exchange rate of £1.00/U.S.$1.3002, as applicable, each as reported by Bloomberg, L.P. as of February 5, 2020.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333-232941</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auto"/>
        </w:rPr>
        <w:t>PROSPECTUS SUPPLEMENT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(To prospectus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131445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€800,000,000  0.250% Notes due 2027</w:t>
      </w:r>
    </w:p>
    <w:p>
      <w:pPr>
        <w:jc w:val="center"/>
        <w:ind w:right="-19"/>
        <w:spacing w:after="0" w:line="233" w:lineRule="auto"/>
        <w:rPr>
          <w:sz w:val="20"/>
          <w:szCs w:val="20"/>
          <w:color w:val="auto"/>
        </w:rPr>
      </w:pPr>
      <w:r>
        <w:rPr>
          <w:rFonts w:ascii="Arial" w:cs="Arial" w:eastAsia="Arial" w:hAnsi="Arial"/>
          <w:sz w:val="15"/>
          <w:szCs w:val="15"/>
          <w:b w:val="1"/>
          <w:bCs w:val="1"/>
          <w:color w:val="auto"/>
        </w:rPr>
        <w:t>€1,400,000,000  0.750% Notes due 2032</w:t>
      </w:r>
    </w:p>
    <w:p>
      <w:pPr>
        <w:jc w:val="center"/>
        <w:ind w:right="-119"/>
        <w:spacing w:after="0" w:line="225" w:lineRule="auto"/>
        <w:rPr>
          <w:sz w:val="20"/>
          <w:szCs w:val="20"/>
          <w:color w:val="auto"/>
        </w:rPr>
      </w:pPr>
      <w:r>
        <w:rPr>
          <w:rFonts w:ascii="Arial" w:cs="Arial" w:eastAsia="Arial" w:hAnsi="Arial"/>
          <w:sz w:val="15"/>
          <w:szCs w:val="15"/>
          <w:b w:val="1"/>
          <w:bCs w:val="1"/>
          <w:color w:val="auto"/>
        </w:rPr>
        <w:t>€800,000,000  1.250% Notes due 2040</w:t>
      </w:r>
    </w:p>
    <w:p>
      <w:pPr>
        <w:jc w:val="center"/>
        <w:ind w:right="-119"/>
        <w:spacing w:after="0" w:line="226" w:lineRule="auto"/>
        <w:rPr>
          <w:sz w:val="20"/>
          <w:szCs w:val="20"/>
          <w:color w:val="auto"/>
        </w:rPr>
      </w:pPr>
      <w:r>
        <w:rPr>
          <w:rFonts w:ascii="Arial" w:cs="Arial" w:eastAsia="Arial" w:hAnsi="Arial"/>
          <w:sz w:val="15"/>
          <w:szCs w:val="15"/>
          <w:b w:val="1"/>
          <w:bCs w:val="1"/>
          <w:color w:val="auto"/>
        </w:rPr>
        <w:t>£600,000,000  1.500% Notes due 2029</w:t>
      </w:r>
    </w:p>
    <w:p>
      <w:pPr>
        <w:jc w:val="center"/>
        <w:ind w:right="-119"/>
        <w:spacing w:after="0"/>
        <w:rPr>
          <w:sz w:val="20"/>
          <w:szCs w:val="20"/>
          <w:color w:val="auto"/>
        </w:rPr>
      </w:pPr>
      <w:r>
        <w:rPr>
          <w:rFonts w:ascii="Arial" w:cs="Arial" w:eastAsia="Arial" w:hAnsi="Arial"/>
          <w:sz w:val="15"/>
          <w:szCs w:val="15"/>
          <w:b w:val="1"/>
          <w:bCs w:val="1"/>
          <w:color w:val="auto"/>
        </w:rPr>
        <w:t>£800,000,000  1.875%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80010</wp:posOffset>
            </wp:positionV>
            <wp:extent cx="6997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p>
      <w:pPr>
        <w:ind w:left="200" w:right="20"/>
        <w:spacing w:after="0" w:line="247" w:lineRule="auto"/>
        <w:rPr>
          <w:sz w:val="20"/>
          <w:szCs w:val="20"/>
          <w:color w:val="auto"/>
        </w:rPr>
      </w:pPr>
      <w:r>
        <w:rPr>
          <w:rFonts w:ascii="Arial" w:cs="Arial" w:eastAsia="Arial" w:hAnsi="Arial"/>
          <w:sz w:val="14"/>
          <w:szCs w:val="14"/>
          <w:color w:val="auto"/>
        </w:rPr>
        <w:t>The euro notes due 2027 will bear interest at a rate of 0.250% per year and will mature on May 20, 2027 (the “euro notes due 2027”), the euro notes due 2032 will bear interest at a rate of 0.750% per year and will mature on February 20, 2032 (the “euro notes due 2032”) and the euro notes due 2040 will bear interest at a rate of 1.250% per year and will mature on February 20, 2040 (the “euro notes due 2040,” and together with the euro notes due 2027 and the euro notes due 2032, the “euro notes”). The sterling notes due 2029 will bear interest at a rate of 1.500% per year and will mature on February 20, 2029 (the “sterling notes due 2029”) and the sterling notes due 2036 will bear interest at a rate of 1.875% per year and will mature on February 20, 2036 (the “sterling notes due 2036,” and together with the sterling notes due 2029, the “sterling notes”). We refer to the euro notes and sterling notes collectively as the “notes.” We will pay interest on the euro notes due 2027 on May 20 of each year, beginning on May 20, 2020, and we will pay interest on the euro notes due 2032, the euro notes due 2040, the sterling notes due 2029 and the sterling notes due 2036 on February 20 of each year, beginning on February 20, 2021. We may redeem any of the notes at any time by paying the applicable Redemption Price described under the heading “Description of the Notes—Optional Redemption.” In addition, we may redeem the notes in whole but not in part, at any time at our option, in the event of certain developments affecting United States taxation as described under the heading “Description of the Notes—Redemption for Tax Reasons.”</w:t>
      </w:r>
    </w:p>
    <w:p>
      <w:pPr>
        <w:spacing w:after="0" w:line="58" w:lineRule="exact"/>
        <w:rPr>
          <w:sz w:val="20"/>
          <w:szCs w:val="20"/>
          <w:color w:val="auto"/>
        </w:rPr>
      </w:pPr>
    </w:p>
    <w:p>
      <w:pPr>
        <w:ind w:left="200" w:right="600"/>
        <w:spacing w:after="0" w:line="255" w:lineRule="auto"/>
        <w:rPr>
          <w:sz w:val="20"/>
          <w:szCs w:val="20"/>
          <w:color w:val="auto"/>
        </w:rPr>
      </w:pPr>
      <w:r>
        <w:rPr>
          <w:rFonts w:ascii="Arial" w:cs="Arial" w:eastAsia="Arial" w:hAnsi="Arial"/>
          <w:sz w:val="15"/>
          <w:szCs w:val="15"/>
          <w:color w:val="auto"/>
        </w:rPr>
        <w:t>The euro notes will be issued in minimum denominations of €100,000 and integral multiples of €1,000 in excess thereof, and the sterling notes will be issued in minimum denominations of £100,000 and integral multiples of £1,000 in excess thereof.</w:t>
      </w:r>
    </w:p>
    <w:p>
      <w:pPr>
        <w:spacing w:after="0" w:line="39" w:lineRule="exact"/>
        <w:rPr>
          <w:sz w:val="20"/>
          <w:szCs w:val="20"/>
          <w:color w:val="auto"/>
        </w:rPr>
      </w:pPr>
    </w:p>
    <w:p>
      <w:pPr>
        <w:ind w:left="200" w:right="380"/>
        <w:spacing w:after="0" w:line="255" w:lineRule="auto"/>
        <w:rPr>
          <w:sz w:val="20"/>
          <w:szCs w:val="20"/>
          <w:color w:val="auto"/>
        </w:rPr>
      </w:pPr>
      <w:r>
        <w:rPr>
          <w:rFonts w:ascii="Arial" w:cs="Arial" w:eastAsia="Arial" w:hAnsi="Arial"/>
          <w:sz w:val="15"/>
          <w:szCs w:val="15"/>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52" w:lineRule="exact"/>
        <w:rPr>
          <w:sz w:val="20"/>
          <w:szCs w:val="20"/>
          <w:color w:val="auto"/>
        </w:rPr>
      </w:pPr>
    </w:p>
    <w:p>
      <w:pPr>
        <w:ind w:left="200" w:right="120"/>
        <w:spacing w:after="0" w:line="266" w:lineRule="auto"/>
        <w:rPr>
          <w:sz w:val="20"/>
          <w:szCs w:val="20"/>
          <w:color w:val="auto"/>
        </w:rPr>
      </w:pPr>
      <w:r>
        <w:rPr>
          <w:rFonts w:ascii="Arial" w:cs="Arial" w:eastAsia="Arial" w:hAnsi="Arial"/>
          <w:sz w:val="14"/>
          <w:szCs w:val="14"/>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6997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29" w:lineRule="exact"/>
        <w:rPr>
          <w:sz w:val="20"/>
          <w:szCs w:val="20"/>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these securities involves certain risks. See “</w:t>
      </w:r>
      <w:hyperlink w:anchor="page12">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S-6 of this prospectus supplement.</w:t>
      </w:r>
    </w:p>
    <w:p>
      <w:pPr>
        <w:spacing w:after="0" w:line="6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3"/>
              </w:rPr>
              <w:t>Price to</w:t>
            </w:r>
          </w:p>
        </w:tc>
        <w:tc>
          <w:tcPr>
            <w:tcW w:w="16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7"/>
              </w:rPr>
              <w:t>Underwriters’</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Investors</w:t>
            </w:r>
          </w:p>
        </w:tc>
        <w:tc>
          <w:tcPr>
            <w:tcW w:w="16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Discount</w:t>
            </w:r>
          </w:p>
        </w:tc>
        <w:tc>
          <w:tcPr>
            <w:tcW w:w="160" w:type="dxa"/>
            <w:vAlign w:val="bottom"/>
          </w:tcPr>
          <w:p>
            <w:pPr>
              <w:spacing w:after="0"/>
              <w:rPr>
                <w:sz w:val="14"/>
                <w:szCs w:val="14"/>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14"/>
        </w:trPr>
        <w:tc>
          <w:tcPr>
            <w:tcW w:w="4700" w:type="dxa"/>
            <w:vAlign w:val="bottom"/>
            <w:shd w:val="clear" w:color="auto" w:fill="D1FCFC"/>
          </w:tcPr>
          <w:p>
            <w:pPr>
              <w:spacing w:after="0" w:line="6" w:lineRule="exact"/>
              <w:rPr>
                <w:sz w:val="20"/>
                <w:szCs w:val="20"/>
                <w:color w:val="auto"/>
              </w:rPr>
            </w:pPr>
            <w:r>
              <w:rPr>
                <w:rFonts w:ascii="Arial" w:cs="Arial" w:eastAsia="Arial" w:hAnsi="Arial"/>
                <w:sz w:val="1"/>
                <w:szCs w:val="1"/>
                <w:color w:val="auto"/>
              </w:rPr>
              <w:t>Per euro note due 2027</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jc w:val="right"/>
              <w:ind w:right="2"/>
              <w:spacing w:after="0" w:line="6" w:lineRule="exact"/>
              <w:rPr>
                <w:sz w:val="20"/>
                <w:szCs w:val="20"/>
                <w:color w:val="auto"/>
              </w:rPr>
            </w:pPr>
            <w:r>
              <w:rPr>
                <w:rFonts w:ascii="Arial" w:cs="Arial" w:eastAsia="Arial" w:hAnsi="Arial"/>
                <w:sz w:val="1"/>
                <w:szCs w:val="1"/>
                <w:color w:val="auto"/>
              </w:rPr>
              <w:t>99.621%</w:t>
            </w:r>
          </w:p>
        </w:tc>
        <w:tc>
          <w:tcPr>
            <w:tcW w:w="680" w:type="dxa"/>
            <w:vAlign w:val="bottom"/>
            <w:shd w:val="clear" w:color="auto" w:fill="D1FCFC"/>
          </w:tcPr>
          <w:p>
            <w:pPr>
              <w:spacing w:after="0" w:line="20" w:lineRule="exact"/>
              <w:rPr>
                <w:sz w:val="1"/>
                <w:szCs w:val="1"/>
                <w:color w:val="auto"/>
              </w:rPr>
            </w:pPr>
          </w:p>
        </w:tc>
        <w:tc>
          <w:tcPr>
            <w:tcW w:w="920" w:type="dxa"/>
            <w:vAlign w:val="bottom"/>
            <w:shd w:val="clear" w:color="auto" w:fill="000000"/>
          </w:tcPr>
          <w:p>
            <w:pPr>
              <w:jc w:val="right"/>
              <w:ind w:right="2"/>
              <w:spacing w:after="0" w:line="6" w:lineRule="exact"/>
              <w:rPr>
                <w:sz w:val="20"/>
                <w:szCs w:val="20"/>
                <w:color w:val="auto"/>
              </w:rPr>
            </w:pPr>
            <w:r>
              <w:rPr>
                <w:rFonts w:ascii="Arial" w:cs="Arial" w:eastAsia="Arial" w:hAnsi="Arial"/>
                <w:sz w:val="1"/>
                <w:szCs w:val="1"/>
                <w:color w:val="auto"/>
              </w:rPr>
              <w:t>0.325%</w:t>
            </w:r>
          </w:p>
        </w:tc>
        <w:tc>
          <w:tcPr>
            <w:tcW w:w="680" w:type="dxa"/>
            <w:vAlign w:val="bottom"/>
            <w:shd w:val="clear" w:color="auto" w:fill="D1FC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jc w:val="right"/>
              <w:ind w:right="82"/>
              <w:spacing w:after="0" w:line="6" w:lineRule="exact"/>
              <w:rPr>
                <w:sz w:val="20"/>
                <w:szCs w:val="20"/>
                <w:color w:val="auto"/>
              </w:rPr>
            </w:pPr>
            <w:r>
              <w:rPr>
                <w:rFonts w:ascii="Arial" w:cs="Arial" w:eastAsia="Arial" w:hAnsi="Arial"/>
                <w:sz w:val="1"/>
                <w:szCs w:val="1"/>
                <w:color w:val="auto"/>
              </w:rPr>
              <w:t>99.296%</w:t>
            </w:r>
          </w:p>
        </w:tc>
        <w:tc>
          <w:tcPr>
            <w:tcW w:w="0" w:type="dxa"/>
            <w:vAlign w:val="bottom"/>
          </w:tcPr>
          <w:p>
            <w:pPr>
              <w:spacing w:after="0" w:line="20" w:lineRule="exact"/>
              <w:rPr>
                <w:sz w:val="1"/>
                <w:szCs w:val="1"/>
                <w:color w:val="auto"/>
              </w:rPr>
            </w:pPr>
          </w:p>
        </w:tc>
      </w:tr>
      <w:tr>
        <w:trPr>
          <w:trHeight w:val="162"/>
        </w:trPr>
        <w:tc>
          <w:tcPr>
            <w:tcW w:w="4700" w:type="dxa"/>
            <w:vAlign w:val="bottom"/>
            <w:shd w:val="clear" w:color="auto" w:fill="D1FCFC"/>
          </w:tcPr>
          <w:p>
            <w:pPr>
              <w:ind w:left="14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D1FCFC"/>
          </w:tcPr>
          <w:p>
            <w:pPr>
              <w:spacing w:after="0"/>
              <w:rPr>
                <w:sz w:val="14"/>
                <w:szCs w:val="14"/>
                <w:color w:val="auto"/>
              </w:rPr>
            </w:pPr>
          </w:p>
        </w:tc>
        <w:tc>
          <w:tcPr>
            <w:tcW w:w="960" w:type="dxa"/>
            <w:vAlign w:val="bottom"/>
            <w:shd w:val="clear" w:color="auto" w:fill="D1FCFC"/>
          </w:tcPr>
          <w:p>
            <w:pPr>
              <w:spacing w:after="0"/>
              <w:rPr>
                <w:sz w:val="14"/>
                <w:szCs w:val="14"/>
                <w:color w:val="auto"/>
              </w:rPr>
            </w:pPr>
          </w:p>
        </w:tc>
        <w:tc>
          <w:tcPr>
            <w:tcW w:w="680" w:type="dxa"/>
            <w:vAlign w:val="bottom"/>
            <w:shd w:val="clear" w:color="auto" w:fill="D1FCFC"/>
          </w:tcPr>
          <w:p>
            <w:pPr>
              <w:spacing w:after="0"/>
              <w:rPr>
                <w:sz w:val="14"/>
                <w:szCs w:val="14"/>
                <w:color w:val="auto"/>
              </w:rPr>
            </w:pPr>
          </w:p>
        </w:tc>
        <w:tc>
          <w:tcPr>
            <w:tcW w:w="920" w:type="dxa"/>
            <w:vAlign w:val="bottom"/>
            <w:shd w:val="clear" w:color="auto" w:fill="D1FCFC"/>
          </w:tcPr>
          <w:p>
            <w:pPr>
              <w:spacing w:after="0"/>
              <w:rPr>
                <w:sz w:val="14"/>
                <w:szCs w:val="14"/>
                <w:color w:val="auto"/>
              </w:rPr>
            </w:pPr>
          </w:p>
        </w:tc>
        <w:tc>
          <w:tcPr>
            <w:tcW w:w="680" w:type="dxa"/>
            <w:vAlign w:val="bottom"/>
            <w:shd w:val="clear" w:color="auto" w:fill="D1FCFC"/>
          </w:tcPr>
          <w:p>
            <w:pPr>
              <w:spacing w:after="0"/>
              <w:rPr>
                <w:sz w:val="14"/>
                <w:szCs w:val="14"/>
                <w:color w:val="auto"/>
              </w:rPr>
            </w:pPr>
          </w:p>
        </w:tc>
        <w:tc>
          <w:tcPr>
            <w:tcW w:w="160" w:type="dxa"/>
            <w:vAlign w:val="bottom"/>
            <w:shd w:val="clear" w:color="auto" w:fill="D1FCFC"/>
          </w:tcPr>
          <w:p>
            <w:pPr>
              <w:spacing w:after="0"/>
              <w:rPr>
                <w:sz w:val="14"/>
                <w:szCs w:val="14"/>
                <w:color w:val="auto"/>
              </w:rPr>
            </w:pPr>
          </w:p>
        </w:tc>
        <w:tc>
          <w:tcPr>
            <w:tcW w:w="1020" w:type="dxa"/>
            <w:vAlign w:val="bottom"/>
            <w:shd w:val="clear" w:color="auto" w:fill="D1FC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140" w:type="dxa"/>
            <w:vAlign w:val="bottom"/>
          </w:tcPr>
          <w:p>
            <w:pPr>
              <w:ind w:left="60"/>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2"/>
              <w:spacing w:after="0" w:line="162" w:lineRule="exact"/>
              <w:rPr>
                <w:sz w:val="20"/>
                <w:szCs w:val="20"/>
                <w:color w:val="auto"/>
              </w:rPr>
            </w:pPr>
            <w:r>
              <w:rPr>
                <w:rFonts w:ascii="Arial" w:cs="Arial" w:eastAsia="Arial" w:hAnsi="Arial"/>
                <w:sz w:val="15"/>
                <w:szCs w:val="15"/>
                <w:color w:val="auto"/>
              </w:rPr>
              <w:t>796,968,000</w:t>
            </w:r>
          </w:p>
        </w:tc>
        <w:tc>
          <w:tcPr>
            <w:tcW w:w="680" w:type="dxa"/>
            <w:vAlign w:val="bottom"/>
          </w:tcPr>
          <w:p>
            <w:pPr>
              <w:spacing w:after="0"/>
              <w:rPr>
                <w:sz w:val="14"/>
                <w:szCs w:val="14"/>
                <w:color w:val="auto"/>
              </w:rPr>
            </w:pPr>
          </w:p>
        </w:tc>
        <w:tc>
          <w:tcPr>
            <w:tcW w:w="160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€2,600,000</w:t>
            </w:r>
          </w:p>
        </w:tc>
        <w:tc>
          <w:tcPr>
            <w:tcW w:w="160" w:type="dxa"/>
            <w:vAlign w:val="bottom"/>
          </w:tcPr>
          <w:p>
            <w:pPr>
              <w:ind w:left="80"/>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ind w:right="82"/>
              <w:spacing w:after="0" w:line="162" w:lineRule="exact"/>
              <w:rPr>
                <w:sz w:val="20"/>
                <w:szCs w:val="20"/>
                <w:color w:val="auto"/>
              </w:rPr>
            </w:pPr>
            <w:r>
              <w:rPr>
                <w:rFonts w:ascii="Arial" w:cs="Arial" w:eastAsia="Arial" w:hAnsi="Arial"/>
                <w:sz w:val="15"/>
                <w:szCs w:val="15"/>
                <w:color w:val="auto"/>
              </w:rPr>
              <w:t>794,368,000</w:t>
            </w:r>
          </w:p>
        </w:tc>
        <w:tc>
          <w:tcPr>
            <w:tcW w:w="0" w:type="dxa"/>
            <w:vAlign w:val="bottom"/>
          </w:tcPr>
          <w:p>
            <w:pPr>
              <w:spacing w:after="0"/>
              <w:rPr>
                <w:sz w:val="1"/>
                <w:szCs w:val="1"/>
                <w:color w:val="auto"/>
              </w:rPr>
            </w:pPr>
          </w:p>
        </w:tc>
      </w:tr>
      <w:tr>
        <w:trPr>
          <w:trHeight w:val="6"/>
        </w:trPr>
        <w:tc>
          <w:tcPr>
            <w:tcW w:w="4700" w:type="dxa"/>
            <w:vAlign w:val="bottom"/>
            <w:shd w:val="clear" w:color="auto" w:fill="D1FCFC"/>
          </w:tcPr>
          <w:p>
            <w:pPr>
              <w:spacing w:after="0" w:line="6" w:lineRule="exact"/>
              <w:rPr>
                <w:sz w:val="20"/>
                <w:szCs w:val="20"/>
                <w:color w:val="auto"/>
              </w:rPr>
            </w:pPr>
            <w:r>
              <w:rPr>
                <w:rFonts w:ascii="Arial" w:cs="Arial" w:eastAsia="Arial" w:hAnsi="Arial"/>
                <w:sz w:val="1"/>
                <w:szCs w:val="1"/>
                <w:color w:val="auto"/>
              </w:rPr>
              <w:t>Per euro note due 2032</w:t>
            </w:r>
          </w:p>
        </w:tc>
        <w:tc>
          <w:tcPr>
            <w:tcW w:w="140" w:type="dxa"/>
            <w:vAlign w:val="bottom"/>
            <w:shd w:val="clear" w:color="auto" w:fill="D1FCFC"/>
          </w:tcPr>
          <w:p>
            <w:pPr>
              <w:spacing w:after="0" w:line="20" w:lineRule="exact"/>
              <w:rPr>
                <w:sz w:val="1"/>
                <w:szCs w:val="1"/>
                <w:color w:val="auto"/>
              </w:rPr>
            </w:pPr>
          </w:p>
        </w:tc>
        <w:tc>
          <w:tcPr>
            <w:tcW w:w="960" w:type="dxa"/>
            <w:vAlign w:val="bottom"/>
            <w:shd w:val="clear" w:color="auto" w:fill="D1FCFC"/>
          </w:tcPr>
          <w:p>
            <w:pPr>
              <w:jc w:val="right"/>
              <w:ind w:right="2"/>
              <w:spacing w:after="0" w:line="6" w:lineRule="exact"/>
              <w:rPr>
                <w:sz w:val="20"/>
                <w:szCs w:val="20"/>
                <w:color w:val="auto"/>
              </w:rPr>
            </w:pPr>
            <w:r>
              <w:rPr>
                <w:rFonts w:ascii="Arial" w:cs="Arial" w:eastAsia="Arial" w:hAnsi="Arial"/>
                <w:sz w:val="1"/>
                <w:szCs w:val="1"/>
                <w:color w:val="auto"/>
              </w:rPr>
              <w:t>99.840%</w:t>
            </w:r>
          </w:p>
        </w:tc>
        <w:tc>
          <w:tcPr>
            <w:tcW w:w="680" w:type="dxa"/>
            <w:vAlign w:val="bottom"/>
            <w:shd w:val="clear" w:color="auto" w:fill="D1FCFC"/>
          </w:tcPr>
          <w:p>
            <w:pPr>
              <w:spacing w:after="0" w:line="20" w:lineRule="exact"/>
              <w:rPr>
                <w:sz w:val="1"/>
                <w:szCs w:val="1"/>
                <w:color w:val="auto"/>
              </w:rPr>
            </w:pPr>
          </w:p>
        </w:tc>
        <w:tc>
          <w:tcPr>
            <w:tcW w:w="920" w:type="dxa"/>
            <w:vAlign w:val="bottom"/>
            <w:shd w:val="clear" w:color="auto" w:fill="D1FCFC"/>
          </w:tcPr>
          <w:p>
            <w:pPr>
              <w:jc w:val="right"/>
              <w:ind w:right="2"/>
              <w:spacing w:after="0" w:line="6" w:lineRule="exact"/>
              <w:rPr>
                <w:sz w:val="20"/>
                <w:szCs w:val="20"/>
                <w:color w:val="auto"/>
              </w:rPr>
            </w:pPr>
            <w:r>
              <w:rPr>
                <w:rFonts w:ascii="Arial" w:cs="Arial" w:eastAsia="Arial" w:hAnsi="Arial"/>
                <w:sz w:val="1"/>
                <w:szCs w:val="1"/>
                <w:color w:val="auto"/>
              </w:rPr>
              <w:t>0.375%</w:t>
            </w:r>
          </w:p>
        </w:tc>
        <w:tc>
          <w:tcPr>
            <w:tcW w:w="680" w:type="dxa"/>
            <w:vAlign w:val="bottom"/>
            <w:shd w:val="clear" w:color="auto" w:fill="D1FCFC"/>
          </w:tcPr>
          <w:p>
            <w:pPr>
              <w:spacing w:after="0" w:line="20" w:lineRule="exact"/>
              <w:rPr>
                <w:sz w:val="1"/>
                <w:szCs w:val="1"/>
                <w:color w:val="auto"/>
              </w:rPr>
            </w:pPr>
          </w:p>
        </w:tc>
        <w:tc>
          <w:tcPr>
            <w:tcW w:w="160" w:type="dxa"/>
            <w:vAlign w:val="bottom"/>
            <w:shd w:val="clear" w:color="auto" w:fill="D1FCFC"/>
          </w:tcPr>
          <w:p>
            <w:pPr>
              <w:spacing w:after="0" w:line="20" w:lineRule="exact"/>
              <w:rPr>
                <w:sz w:val="1"/>
                <w:szCs w:val="1"/>
                <w:color w:val="auto"/>
              </w:rPr>
            </w:pPr>
          </w:p>
        </w:tc>
        <w:tc>
          <w:tcPr>
            <w:tcW w:w="1020" w:type="dxa"/>
            <w:vAlign w:val="bottom"/>
            <w:shd w:val="clear" w:color="auto" w:fill="D1FCFC"/>
          </w:tcPr>
          <w:p>
            <w:pPr>
              <w:jc w:val="right"/>
              <w:ind w:right="82"/>
              <w:spacing w:after="0" w:line="6" w:lineRule="exact"/>
              <w:rPr>
                <w:sz w:val="20"/>
                <w:szCs w:val="20"/>
                <w:color w:val="auto"/>
              </w:rPr>
            </w:pPr>
            <w:r>
              <w:rPr>
                <w:rFonts w:ascii="Arial" w:cs="Arial" w:eastAsia="Arial" w:hAnsi="Arial"/>
                <w:sz w:val="1"/>
                <w:szCs w:val="1"/>
                <w:color w:val="auto"/>
              </w:rPr>
              <w:t>99.465%</w:t>
            </w:r>
          </w:p>
        </w:tc>
        <w:tc>
          <w:tcPr>
            <w:tcW w:w="0" w:type="dxa"/>
            <w:vAlign w:val="bottom"/>
          </w:tcPr>
          <w:p>
            <w:pPr>
              <w:spacing w:after="0" w:line="20" w:lineRule="exact"/>
              <w:rPr>
                <w:sz w:val="1"/>
                <w:szCs w:val="1"/>
                <w:color w:val="auto"/>
              </w:rPr>
            </w:pPr>
          </w:p>
        </w:tc>
      </w:tr>
      <w:tr>
        <w:trPr>
          <w:trHeight w:val="156"/>
        </w:trPr>
        <w:tc>
          <w:tcPr>
            <w:tcW w:w="4700" w:type="dxa"/>
            <w:vAlign w:val="bottom"/>
            <w:shd w:val="clear" w:color="auto" w:fill="D1FCFC"/>
          </w:tcPr>
          <w:p>
            <w:pPr>
              <w:ind w:left="14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D1FCFC"/>
          </w:tcPr>
          <w:p>
            <w:pPr>
              <w:spacing w:after="0"/>
              <w:rPr>
                <w:sz w:val="13"/>
                <w:szCs w:val="13"/>
                <w:color w:val="auto"/>
              </w:rPr>
            </w:pPr>
          </w:p>
        </w:tc>
        <w:tc>
          <w:tcPr>
            <w:tcW w:w="960" w:type="dxa"/>
            <w:vAlign w:val="bottom"/>
            <w:shd w:val="clear" w:color="auto" w:fill="D1FCFC"/>
          </w:tcPr>
          <w:p>
            <w:pPr>
              <w:spacing w:after="0"/>
              <w:rPr>
                <w:sz w:val="13"/>
                <w:szCs w:val="13"/>
                <w:color w:val="auto"/>
              </w:rPr>
            </w:pPr>
          </w:p>
        </w:tc>
        <w:tc>
          <w:tcPr>
            <w:tcW w:w="680" w:type="dxa"/>
            <w:vAlign w:val="bottom"/>
            <w:shd w:val="clear" w:color="auto" w:fill="D1FCFC"/>
          </w:tcPr>
          <w:p>
            <w:pPr>
              <w:spacing w:after="0"/>
              <w:rPr>
                <w:sz w:val="13"/>
                <w:szCs w:val="13"/>
                <w:color w:val="auto"/>
              </w:rPr>
            </w:pPr>
          </w:p>
        </w:tc>
        <w:tc>
          <w:tcPr>
            <w:tcW w:w="920" w:type="dxa"/>
            <w:vAlign w:val="bottom"/>
            <w:shd w:val="clear" w:color="auto" w:fill="D1FCFC"/>
          </w:tcPr>
          <w:p>
            <w:pPr>
              <w:spacing w:after="0"/>
              <w:rPr>
                <w:sz w:val="13"/>
                <w:szCs w:val="13"/>
                <w:color w:val="auto"/>
              </w:rPr>
            </w:pPr>
          </w:p>
        </w:tc>
        <w:tc>
          <w:tcPr>
            <w:tcW w:w="680" w:type="dxa"/>
            <w:vAlign w:val="bottom"/>
            <w:shd w:val="clear" w:color="auto" w:fill="D1FCFC"/>
          </w:tcPr>
          <w:p>
            <w:pPr>
              <w:spacing w:after="0"/>
              <w:rPr>
                <w:sz w:val="13"/>
                <w:szCs w:val="13"/>
                <w:color w:val="auto"/>
              </w:rPr>
            </w:pPr>
          </w:p>
        </w:tc>
        <w:tc>
          <w:tcPr>
            <w:tcW w:w="160" w:type="dxa"/>
            <w:vAlign w:val="bottom"/>
            <w:shd w:val="clear" w:color="auto" w:fill="D1FCFC"/>
          </w:tcPr>
          <w:p>
            <w:pPr>
              <w:spacing w:after="0"/>
              <w:rPr>
                <w:sz w:val="13"/>
                <w:szCs w:val="13"/>
                <w:color w:val="auto"/>
              </w:rPr>
            </w:pPr>
          </w:p>
        </w:tc>
        <w:tc>
          <w:tcPr>
            <w:tcW w:w="1020" w:type="dxa"/>
            <w:vAlign w:val="bottom"/>
            <w:shd w:val="clear" w:color="auto" w:fill="D1FC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140" w:type="dxa"/>
            <w:vAlign w:val="bottom"/>
          </w:tcPr>
          <w:p>
            <w:pPr>
              <w:ind w:left="60"/>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2"/>
              <w:spacing w:after="0" w:line="162" w:lineRule="exact"/>
              <w:rPr>
                <w:sz w:val="20"/>
                <w:szCs w:val="20"/>
                <w:color w:val="auto"/>
              </w:rPr>
            </w:pPr>
            <w:r>
              <w:rPr>
                <w:rFonts w:ascii="Arial" w:cs="Arial" w:eastAsia="Arial" w:hAnsi="Arial"/>
                <w:sz w:val="15"/>
                <w:szCs w:val="15"/>
                <w:color w:val="auto"/>
                <w:w w:val="91"/>
              </w:rPr>
              <w:t>1,397,760,000</w:t>
            </w:r>
          </w:p>
        </w:tc>
        <w:tc>
          <w:tcPr>
            <w:tcW w:w="680" w:type="dxa"/>
            <w:vAlign w:val="bottom"/>
          </w:tcPr>
          <w:p>
            <w:pPr>
              <w:spacing w:after="0"/>
              <w:rPr>
                <w:sz w:val="14"/>
                <w:szCs w:val="14"/>
                <w:color w:val="auto"/>
              </w:rPr>
            </w:pPr>
          </w:p>
        </w:tc>
        <w:tc>
          <w:tcPr>
            <w:tcW w:w="160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€5,250,000</w:t>
            </w:r>
          </w:p>
        </w:tc>
        <w:tc>
          <w:tcPr>
            <w:tcW w:w="160" w:type="dxa"/>
            <w:vAlign w:val="bottom"/>
          </w:tcPr>
          <w:p>
            <w:pPr>
              <w:ind w:left="80"/>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ind w:right="82"/>
              <w:spacing w:after="0" w:line="162" w:lineRule="exact"/>
              <w:rPr>
                <w:sz w:val="20"/>
                <w:szCs w:val="20"/>
                <w:color w:val="auto"/>
              </w:rPr>
            </w:pPr>
            <w:r>
              <w:rPr>
                <w:rFonts w:ascii="Arial" w:cs="Arial" w:eastAsia="Arial" w:hAnsi="Arial"/>
                <w:sz w:val="15"/>
                <w:szCs w:val="15"/>
                <w:color w:val="auto"/>
                <w:w w:val="89"/>
              </w:rPr>
              <w:t>1,392,510,000</w:t>
            </w:r>
          </w:p>
        </w:tc>
        <w:tc>
          <w:tcPr>
            <w:tcW w:w="0" w:type="dxa"/>
            <w:vAlign w:val="bottom"/>
          </w:tcPr>
          <w:p>
            <w:pPr>
              <w:spacing w:after="0"/>
              <w:rPr>
                <w:sz w:val="1"/>
                <w:szCs w:val="1"/>
                <w:color w:val="auto"/>
              </w:rPr>
            </w:pPr>
          </w:p>
        </w:tc>
      </w:tr>
      <w:tr>
        <w:trPr>
          <w:trHeight w:val="6"/>
        </w:trPr>
        <w:tc>
          <w:tcPr>
            <w:tcW w:w="4700" w:type="dxa"/>
            <w:vAlign w:val="bottom"/>
            <w:shd w:val="clear" w:color="auto" w:fill="D1FCFC"/>
          </w:tcPr>
          <w:p>
            <w:pPr>
              <w:spacing w:after="0" w:line="6" w:lineRule="exact"/>
              <w:rPr>
                <w:sz w:val="20"/>
                <w:szCs w:val="20"/>
                <w:color w:val="auto"/>
              </w:rPr>
            </w:pPr>
            <w:r>
              <w:rPr>
                <w:rFonts w:ascii="Arial" w:cs="Arial" w:eastAsia="Arial" w:hAnsi="Arial"/>
                <w:sz w:val="1"/>
                <w:szCs w:val="1"/>
                <w:color w:val="auto"/>
              </w:rPr>
              <w:t>Per euro note due 2040</w:t>
            </w:r>
          </w:p>
        </w:tc>
        <w:tc>
          <w:tcPr>
            <w:tcW w:w="140" w:type="dxa"/>
            <w:vAlign w:val="bottom"/>
            <w:shd w:val="clear" w:color="auto" w:fill="D1FCFC"/>
          </w:tcPr>
          <w:p>
            <w:pPr>
              <w:spacing w:after="0" w:line="20" w:lineRule="exact"/>
              <w:rPr>
                <w:sz w:val="1"/>
                <w:szCs w:val="1"/>
                <w:color w:val="auto"/>
              </w:rPr>
            </w:pPr>
          </w:p>
        </w:tc>
        <w:tc>
          <w:tcPr>
            <w:tcW w:w="960" w:type="dxa"/>
            <w:vAlign w:val="bottom"/>
            <w:shd w:val="clear" w:color="auto" w:fill="D1FCFC"/>
          </w:tcPr>
          <w:p>
            <w:pPr>
              <w:jc w:val="right"/>
              <w:ind w:right="2"/>
              <w:spacing w:after="0" w:line="6" w:lineRule="exact"/>
              <w:rPr>
                <w:sz w:val="20"/>
                <w:szCs w:val="20"/>
                <w:color w:val="auto"/>
              </w:rPr>
            </w:pPr>
            <w:r>
              <w:rPr>
                <w:rFonts w:ascii="Arial" w:cs="Arial" w:eastAsia="Arial" w:hAnsi="Arial"/>
                <w:sz w:val="1"/>
                <w:szCs w:val="1"/>
                <w:color w:val="auto"/>
              </w:rPr>
              <w:t>97.673%</w:t>
            </w:r>
          </w:p>
        </w:tc>
        <w:tc>
          <w:tcPr>
            <w:tcW w:w="680" w:type="dxa"/>
            <w:vAlign w:val="bottom"/>
            <w:shd w:val="clear" w:color="auto" w:fill="D1FCFC"/>
          </w:tcPr>
          <w:p>
            <w:pPr>
              <w:spacing w:after="0" w:line="20" w:lineRule="exact"/>
              <w:rPr>
                <w:sz w:val="1"/>
                <w:szCs w:val="1"/>
                <w:color w:val="auto"/>
              </w:rPr>
            </w:pPr>
          </w:p>
        </w:tc>
        <w:tc>
          <w:tcPr>
            <w:tcW w:w="920" w:type="dxa"/>
            <w:vAlign w:val="bottom"/>
            <w:shd w:val="clear" w:color="auto" w:fill="D1FCFC"/>
          </w:tcPr>
          <w:p>
            <w:pPr>
              <w:jc w:val="right"/>
              <w:ind w:right="2"/>
              <w:spacing w:after="0" w:line="6" w:lineRule="exact"/>
              <w:rPr>
                <w:sz w:val="20"/>
                <w:szCs w:val="20"/>
                <w:color w:val="auto"/>
              </w:rPr>
            </w:pPr>
            <w:r>
              <w:rPr>
                <w:rFonts w:ascii="Arial" w:cs="Arial" w:eastAsia="Arial" w:hAnsi="Arial"/>
                <w:sz w:val="1"/>
                <w:szCs w:val="1"/>
                <w:color w:val="auto"/>
              </w:rPr>
              <w:t>0.550%</w:t>
            </w:r>
          </w:p>
        </w:tc>
        <w:tc>
          <w:tcPr>
            <w:tcW w:w="680" w:type="dxa"/>
            <w:vAlign w:val="bottom"/>
            <w:shd w:val="clear" w:color="auto" w:fill="D1FCFC"/>
          </w:tcPr>
          <w:p>
            <w:pPr>
              <w:spacing w:after="0" w:line="20" w:lineRule="exact"/>
              <w:rPr>
                <w:sz w:val="1"/>
                <w:szCs w:val="1"/>
                <w:color w:val="auto"/>
              </w:rPr>
            </w:pPr>
          </w:p>
        </w:tc>
        <w:tc>
          <w:tcPr>
            <w:tcW w:w="160" w:type="dxa"/>
            <w:vAlign w:val="bottom"/>
            <w:shd w:val="clear" w:color="auto" w:fill="D1FCFC"/>
          </w:tcPr>
          <w:p>
            <w:pPr>
              <w:spacing w:after="0" w:line="20" w:lineRule="exact"/>
              <w:rPr>
                <w:sz w:val="1"/>
                <w:szCs w:val="1"/>
                <w:color w:val="auto"/>
              </w:rPr>
            </w:pPr>
          </w:p>
        </w:tc>
        <w:tc>
          <w:tcPr>
            <w:tcW w:w="1020" w:type="dxa"/>
            <w:vAlign w:val="bottom"/>
            <w:shd w:val="clear" w:color="auto" w:fill="D1FCFC"/>
          </w:tcPr>
          <w:p>
            <w:pPr>
              <w:jc w:val="right"/>
              <w:ind w:right="82"/>
              <w:spacing w:after="0" w:line="6" w:lineRule="exact"/>
              <w:rPr>
                <w:sz w:val="20"/>
                <w:szCs w:val="20"/>
                <w:color w:val="auto"/>
              </w:rPr>
            </w:pPr>
            <w:r>
              <w:rPr>
                <w:rFonts w:ascii="Arial" w:cs="Arial" w:eastAsia="Arial" w:hAnsi="Arial"/>
                <w:sz w:val="1"/>
                <w:szCs w:val="1"/>
                <w:color w:val="auto"/>
              </w:rPr>
              <w:t>97.123%</w:t>
            </w:r>
          </w:p>
        </w:tc>
        <w:tc>
          <w:tcPr>
            <w:tcW w:w="0" w:type="dxa"/>
            <w:vAlign w:val="bottom"/>
          </w:tcPr>
          <w:p>
            <w:pPr>
              <w:spacing w:after="0" w:line="20" w:lineRule="exact"/>
              <w:rPr>
                <w:sz w:val="1"/>
                <w:szCs w:val="1"/>
                <w:color w:val="auto"/>
              </w:rPr>
            </w:pPr>
          </w:p>
        </w:tc>
      </w:tr>
      <w:tr>
        <w:trPr>
          <w:trHeight w:val="156"/>
        </w:trPr>
        <w:tc>
          <w:tcPr>
            <w:tcW w:w="4700" w:type="dxa"/>
            <w:vAlign w:val="bottom"/>
            <w:shd w:val="clear" w:color="auto" w:fill="D1FCFC"/>
          </w:tcPr>
          <w:p>
            <w:pPr>
              <w:ind w:left="14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D1FCFC"/>
          </w:tcPr>
          <w:p>
            <w:pPr>
              <w:spacing w:after="0"/>
              <w:rPr>
                <w:sz w:val="13"/>
                <w:szCs w:val="13"/>
                <w:color w:val="auto"/>
              </w:rPr>
            </w:pPr>
          </w:p>
        </w:tc>
        <w:tc>
          <w:tcPr>
            <w:tcW w:w="960" w:type="dxa"/>
            <w:vAlign w:val="bottom"/>
            <w:shd w:val="clear" w:color="auto" w:fill="D1FCFC"/>
          </w:tcPr>
          <w:p>
            <w:pPr>
              <w:spacing w:after="0"/>
              <w:rPr>
                <w:sz w:val="13"/>
                <w:szCs w:val="13"/>
                <w:color w:val="auto"/>
              </w:rPr>
            </w:pPr>
          </w:p>
        </w:tc>
        <w:tc>
          <w:tcPr>
            <w:tcW w:w="680" w:type="dxa"/>
            <w:vAlign w:val="bottom"/>
            <w:shd w:val="clear" w:color="auto" w:fill="D1FCFC"/>
          </w:tcPr>
          <w:p>
            <w:pPr>
              <w:spacing w:after="0"/>
              <w:rPr>
                <w:sz w:val="13"/>
                <w:szCs w:val="13"/>
                <w:color w:val="auto"/>
              </w:rPr>
            </w:pPr>
          </w:p>
        </w:tc>
        <w:tc>
          <w:tcPr>
            <w:tcW w:w="920" w:type="dxa"/>
            <w:vAlign w:val="bottom"/>
            <w:shd w:val="clear" w:color="auto" w:fill="D1FCFC"/>
          </w:tcPr>
          <w:p>
            <w:pPr>
              <w:spacing w:after="0"/>
              <w:rPr>
                <w:sz w:val="13"/>
                <w:szCs w:val="13"/>
                <w:color w:val="auto"/>
              </w:rPr>
            </w:pPr>
          </w:p>
        </w:tc>
        <w:tc>
          <w:tcPr>
            <w:tcW w:w="680" w:type="dxa"/>
            <w:vAlign w:val="bottom"/>
            <w:shd w:val="clear" w:color="auto" w:fill="D1FCFC"/>
          </w:tcPr>
          <w:p>
            <w:pPr>
              <w:spacing w:after="0"/>
              <w:rPr>
                <w:sz w:val="13"/>
                <w:szCs w:val="13"/>
                <w:color w:val="auto"/>
              </w:rPr>
            </w:pPr>
          </w:p>
        </w:tc>
        <w:tc>
          <w:tcPr>
            <w:tcW w:w="160" w:type="dxa"/>
            <w:vAlign w:val="bottom"/>
            <w:shd w:val="clear" w:color="auto" w:fill="D1FCFC"/>
          </w:tcPr>
          <w:p>
            <w:pPr>
              <w:spacing w:after="0"/>
              <w:rPr>
                <w:sz w:val="13"/>
                <w:szCs w:val="13"/>
                <w:color w:val="auto"/>
              </w:rPr>
            </w:pPr>
          </w:p>
        </w:tc>
        <w:tc>
          <w:tcPr>
            <w:tcW w:w="1020" w:type="dxa"/>
            <w:vAlign w:val="bottom"/>
            <w:shd w:val="clear" w:color="auto" w:fill="D1FC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140" w:type="dxa"/>
            <w:vAlign w:val="bottom"/>
          </w:tcPr>
          <w:p>
            <w:pPr>
              <w:ind w:left="60"/>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2"/>
              <w:spacing w:after="0" w:line="162" w:lineRule="exact"/>
              <w:rPr>
                <w:sz w:val="20"/>
                <w:szCs w:val="20"/>
                <w:color w:val="auto"/>
              </w:rPr>
            </w:pPr>
            <w:r>
              <w:rPr>
                <w:rFonts w:ascii="Arial" w:cs="Arial" w:eastAsia="Arial" w:hAnsi="Arial"/>
                <w:sz w:val="15"/>
                <w:szCs w:val="15"/>
                <w:color w:val="auto"/>
              </w:rPr>
              <w:t>781,384,000</w:t>
            </w:r>
          </w:p>
        </w:tc>
        <w:tc>
          <w:tcPr>
            <w:tcW w:w="680" w:type="dxa"/>
            <w:vAlign w:val="bottom"/>
          </w:tcPr>
          <w:p>
            <w:pPr>
              <w:spacing w:after="0"/>
              <w:rPr>
                <w:sz w:val="14"/>
                <w:szCs w:val="14"/>
                <w:color w:val="auto"/>
              </w:rPr>
            </w:pPr>
          </w:p>
        </w:tc>
        <w:tc>
          <w:tcPr>
            <w:tcW w:w="1600" w:type="dxa"/>
            <w:vAlign w:val="bottom"/>
            <w:gridSpan w:val="2"/>
          </w:tcPr>
          <w:p>
            <w:pPr>
              <w:jc w:val="right"/>
              <w:ind w:right="740"/>
              <w:spacing w:after="0" w:line="162" w:lineRule="exact"/>
              <w:rPr>
                <w:sz w:val="20"/>
                <w:szCs w:val="20"/>
                <w:color w:val="auto"/>
              </w:rPr>
            </w:pPr>
            <w:r>
              <w:rPr>
                <w:rFonts w:ascii="Arial" w:cs="Arial" w:eastAsia="Arial" w:hAnsi="Arial"/>
                <w:sz w:val="15"/>
                <w:szCs w:val="15"/>
                <w:color w:val="auto"/>
              </w:rPr>
              <w:t>€4,400,000</w:t>
            </w:r>
          </w:p>
        </w:tc>
        <w:tc>
          <w:tcPr>
            <w:tcW w:w="160" w:type="dxa"/>
            <w:vAlign w:val="bottom"/>
          </w:tcPr>
          <w:p>
            <w:pPr>
              <w:ind w:left="80"/>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ind w:right="82"/>
              <w:spacing w:after="0" w:line="162" w:lineRule="exact"/>
              <w:rPr>
                <w:sz w:val="20"/>
                <w:szCs w:val="20"/>
                <w:color w:val="auto"/>
              </w:rPr>
            </w:pPr>
            <w:r>
              <w:rPr>
                <w:rFonts w:ascii="Arial" w:cs="Arial" w:eastAsia="Arial" w:hAnsi="Arial"/>
                <w:sz w:val="15"/>
                <w:szCs w:val="15"/>
                <w:color w:val="auto"/>
              </w:rPr>
              <w:t>776,984,000</w:t>
            </w:r>
          </w:p>
        </w:tc>
        <w:tc>
          <w:tcPr>
            <w:tcW w:w="0" w:type="dxa"/>
            <w:vAlign w:val="bottom"/>
          </w:tcPr>
          <w:p>
            <w:pPr>
              <w:spacing w:after="0"/>
              <w:rPr>
                <w:sz w:val="1"/>
                <w:szCs w:val="1"/>
                <w:color w:val="auto"/>
              </w:rPr>
            </w:pPr>
          </w:p>
        </w:tc>
      </w:tr>
      <w:tr>
        <w:trPr>
          <w:trHeight w:val="162"/>
        </w:trPr>
        <w:tc>
          <w:tcPr>
            <w:tcW w:w="4700" w:type="dxa"/>
            <w:vAlign w:val="bottom"/>
            <w:shd w:val="clear" w:color="auto" w:fill="D1FCFC"/>
          </w:tcPr>
          <w:p>
            <w:pPr>
              <w:spacing w:after="0" w:line="162" w:lineRule="exact"/>
              <w:rPr>
                <w:sz w:val="20"/>
                <w:szCs w:val="20"/>
                <w:color w:val="auto"/>
              </w:rPr>
            </w:pPr>
            <w:r>
              <w:rPr>
                <w:rFonts w:ascii="Arial" w:cs="Arial" w:eastAsia="Arial" w:hAnsi="Arial"/>
                <w:sz w:val="15"/>
                <w:szCs w:val="15"/>
                <w:color w:val="auto"/>
              </w:rPr>
              <w:t>Per sterling note due 2029</w:t>
            </w:r>
            <w:r>
              <w:rPr>
                <w:rFonts w:ascii="Arial" w:cs="Arial" w:eastAsia="Arial" w:hAnsi="Arial"/>
                <w:sz w:val="13"/>
                <w:szCs w:val="13"/>
                <w:color w:val="auto"/>
              </w:rPr>
              <w:t>(1)</w:t>
            </w:r>
          </w:p>
        </w:tc>
        <w:tc>
          <w:tcPr>
            <w:tcW w:w="140" w:type="dxa"/>
            <w:vAlign w:val="bottom"/>
            <w:shd w:val="clear" w:color="auto" w:fill="D1FCFC"/>
          </w:tcPr>
          <w:p>
            <w:pPr>
              <w:spacing w:after="0"/>
              <w:rPr>
                <w:sz w:val="14"/>
                <w:szCs w:val="14"/>
                <w:color w:val="auto"/>
              </w:rPr>
            </w:pPr>
          </w:p>
        </w:tc>
        <w:tc>
          <w:tcPr>
            <w:tcW w:w="960" w:type="dxa"/>
            <w:vAlign w:val="bottom"/>
            <w:shd w:val="clear" w:color="auto" w:fill="D1FCFC"/>
          </w:tcPr>
          <w:p>
            <w:pPr>
              <w:jc w:val="right"/>
              <w:ind w:right="2"/>
              <w:spacing w:after="0" w:line="162" w:lineRule="exact"/>
              <w:rPr>
                <w:sz w:val="20"/>
                <w:szCs w:val="20"/>
                <w:color w:val="auto"/>
              </w:rPr>
            </w:pPr>
            <w:r>
              <w:rPr>
                <w:rFonts w:ascii="Arial" w:cs="Arial" w:eastAsia="Arial" w:hAnsi="Arial"/>
                <w:sz w:val="15"/>
                <w:szCs w:val="15"/>
                <w:color w:val="auto"/>
              </w:rPr>
              <w:t>99.525%</w:t>
            </w:r>
          </w:p>
        </w:tc>
        <w:tc>
          <w:tcPr>
            <w:tcW w:w="680" w:type="dxa"/>
            <w:vAlign w:val="bottom"/>
            <w:shd w:val="clear" w:color="auto" w:fill="D1FCFC"/>
          </w:tcPr>
          <w:p>
            <w:pPr>
              <w:spacing w:after="0"/>
              <w:rPr>
                <w:sz w:val="14"/>
                <w:szCs w:val="14"/>
                <w:color w:val="auto"/>
              </w:rPr>
            </w:pPr>
          </w:p>
        </w:tc>
        <w:tc>
          <w:tcPr>
            <w:tcW w:w="920" w:type="dxa"/>
            <w:vAlign w:val="bottom"/>
            <w:shd w:val="clear" w:color="auto" w:fill="D1FCFC"/>
          </w:tcPr>
          <w:p>
            <w:pPr>
              <w:jc w:val="right"/>
              <w:ind w:right="2"/>
              <w:spacing w:after="0" w:line="162" w:lineRule="exact"/>
              <w:rPr>
                <w:sz w:val="20"/>
                <w:szCs w:val="20"/>
                <w:color w:val="auto"/>
              </w:rPr>
            </w:pPr>
            <w:r>
              <w:rPr>
                <w:rFonts w:ascii="Arial" w:cs="Arial" w:eastAsia="Arial" w:hAnsi="Arial"/>
                <w:sz w:val="15"/>
                <w:szCs w:val="15"/>
                <w:color w:val="auto"/>
              </w:rPr>
              <w:t>0.3875%</w:t>
            </w:r>
          </w:p>
        </w:tc>
        <w:tc>
          <w:tcPr>
            <w:tcW w:w="680" w:type="dxa"/>
            <w:vAlign w:val="bottom"/>
            <w:shd w:val="clear" w:color="auto" w:fill="D1FCFC"/>
          </w:tcPr>
          <w:p>
            <w:pPr>
              <w:spacing w:after="0"/>
              <w:rPr>
                <w:sz w:val="14"/>
                <w:szCs w:val="14"/>
                <w:color w:val="auto"/>
              </w:rPr>
            </w:pPr>
          </w:p>
        </w:tc>
        <w:tc>
          <w:tcPr>
            <w:tcW w:w="160" w:type="dxa"/>
            <w:vAlign w:val="bottom"/>
            <w:shd w:val="clear" w:color="auto" w:fill="D1FCFC"/>
          </w:tcPr>
          <w:p>
            <w:pPr>
              <w:spacing w:after="0"/>
              <w:rPr>
                <w:sz w:val="14"/>
                <w:szCs w:val="14"/>
                <w:color w:val="auto"/>
              </w:rPr>
            </w:pPr>
          </w:p>
        </w:tc>
        <w:tc>
          <w:tcPr>
            <w:tcW w:w="1020" w:type="dxa"/>
            <w:vAlign w:val="bottom"/>
            <w:shd w:val="clear" w:color="auto" w:fill="D1FCFC"/>
          </w:tcPr>
          <w:p>
            <w:pPr>
              <w:jc w:val="right"/>
              <w:ind w:right="82"/>
              <w:spacing w:after="0" w:line="162" w:lineRule="exact"/>
              <w:rPr>
                <w:sz w:val="20"/>
                <w:szCs w:val="20"/>
                <w:color w:val="auto"/>
              </w:rPr>
            </w:pPr>
            <w:r>
              <w:rPr>
                <w:rFonts w:ascii="Arial" w:cs="Arial" w:eastAsia="Arial" w:hAnsi="Arial"/>
                <w:sz w:val="15"/>
                <w:szCs w:val="15"/>
                <w:color w:val="auto"/>
              </w:rPr>
              <w:t>99.1375%</w:t>
            </w: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140" w:type="dxa"/>
            <w:vAlign w:val="bottom"/>
          </w:tcPr>
          <w:p>
            <w:pPr>
              <w:ind w:left="60"/>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2"/>
              <w:spacing w:after="0" w:line="162" w:lineRule="exact"/>
              <w:rPr>
                <w:sz w:val="20"/>
                <w:szCs w:val="20"/>
                <w:color w:val="auto"/>
              </w:rPr>
            </w:pPr>
            <w:r>
              <w:rPr>
                <w:rFonts w:ascii="Arial" w:cs="Arial" w:eastAsia="Arial" w:hAnsi="Arial"/>
                <w:sz w:val="15"/>
                <w:szCs w:val="15"/>
                <w:color w:val="auto"/>
              </w:rPr>
              <w:t>597,150,000</w:t>
            </w:r>
          </w:p>
        </w:tc>
        <w:tc>
          <w:tcPr>
            <w:tcW w:w="680" w:type="dxa"/>
            <w:vAlign w:val="bottom"/>
          </w:tcPr>
          <w:p>
            <w:pPr>
              <w:spacing w:after="0"/>
              <w:rPr>
                <w:sz w:val="14"/>
                <w:szCs w:val="14"/>
                <w:color w:val="auto"/>
              </w:rPr>
            </w:pPr>
          </w:p>
        </w:tc>
        <w:tc>
          <w:tcPr>
            <w:tcW w:w="920" w:type="dxa"/>
            <w:vAlign w:val="bottom"/>
          </w:tcPr>
          <w:p>
            <w:pPr>
              <w:jc w:val="right"/>
              <w:ind w:right="2"/>
              <w:spacing w:after="0" w:line="162" w:lineRule="exact"/>
              <w:rPr>
                <w:sz w:val="20"/>
                <w:szCs w:val="20"/>
                <w:color w:val="auto"/>
              </w:rPr>
            </w:pPr>
            <w:r>
              <w:rPr>
                <w:rFonts w:ascii="Arial" w:cs="Arial" w:eastAsia="Arial" w:hAnsi="Arial"/>
                <w:sz w:val="15"/>
                <w:szCs w:val="15"/>
                <w:color w:val="auto"/>
              </w:rPr>
              <w:t>£2,325,000</w:t>
            </w:r>
          </w:p>
        </w:tc>
        <w:tc>
          <w:tcPr>
            <w:tcW w:w="680" w:type="dxa"/>
            <w:vAlign w:val="bottom"/>
          </w:tcPr>
          <w:p>
            <w:pPr>
              <w:spacing w:after="0"/>
              <w:rPr>
                <w:sz w:val="14"/>
                <w:szCs w:val="14"/>
                <w:color w:val="auto"/>
              </w:rPr>
            </w:pPr>
          </w:p>
        </w:tc>
        <w:tc>
          <w:tcPr>
            <w:tcW w:w="160" w:type="dxa"/>
            <w:vAlign w:val="bottom"/>
          </w:tcPr>
          <w:p>
            <w:pPr>
              <w:ind w:left="80"/>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ind w:right="82"/>
              <w:spacing w:after="0" w:line="162" w:lineRule="exact"/>
              <w:rPr>
                <w:sz w:val="20"/>
                <w:szCs w:val="20"/>
                <w:color w:val="auto"/>
              </w:rPr>
            </w:pPr>
            <w:r>
              <w:rPr>
                <w:rFonts w:ascii="Arial" w:cs="Arial" w:eastAsia="Arial" w:hAnsi="Arial"/>
                <w:sz w:val="15"/>
                <w:szCs w:val="15"/>
                <w:color w:val="auto"/>
              </w:rPr>
              <w:t>594,825,000</w:t>
            </w:r>
          </w:p>
        </w:tc>
        <w:tc>
          <w:tcPr>
            <w:tcW w:w="0" w:type="dxa"/>
            <w:vAlign w:val="bottom"/>
          </w:tcPr>
          <w:p>
            <w:pPr>
              <w:spacing w:after="0"/>
              <w:rPr>
                <w:sz w:val="1"/>
                <w:szCs w:val="1"/>
                <w:color w:val="auto"/>
              </w:rPr>
            </w:pPr>
          </w:p>
        </w:tc>
      </w:tr>
      <w:tr>
        <w:trPr>
          <w:trHeight w:val="162"/>
        </w:trPr>
        <w:tc>
          <w:tcPr>
            <w:tcW w:w="4700" w:type="dxa"/>
            <w:vAlign w:val="bottom"/>
            <w:shd w:val="clear" w:color="auto" w:fill="D1FCFC"/>
          </w:tcPr>
          <w:p>
            <w:pPr>
              <w:spacing w:after="0" w:line="162" w:lineRule="exact"/>
              <w:rPr>
                <w:sz w:val="20"/>
                <w:szCs w:val="20"/>
                <w:color w:val="auto"/>
              </w:rPr>
            </w:pPr>
            <w:r>
              <w:rPr>
                <w:rFonts w:ascii="Arial" w:cs="Arial" w:eastAsia="Arial" w:hAnsi="Arial"/>
                <w:sz w:val="15"/>
                <w:szCs w:val="15"/>
                <w:color w:val="auto"/>
              </w:rPr>
              <w:t>Per sterling note due 2036</w:t>
            </w:r>
            <w:r>
              <w:rPr>
                <w:rFonts w:ascii="Arial" w:cs="Arial" w:eastAsia="Arial" w:hAnsi="Arial"/>
                <w:sz w:val="13"/>
                <w:szCs w:val="13"/>
                <w:color w:val="auto"/>
              </w:rPr>
              <w:t>(1)</w:t>
            </w:r>
          </w:p>
        </w:tc>
        <w:tc>
          <w:tcPr>
            <w:tcW w:w="140" w:type="dxa"/>
            <w:vAlign w:val="bottom"/>
            <w:shd w:val="clear" w:color="auto" w:fill="D1FCFC"/>
          </w:tcPr>
          <w:p>
            <w:pPr>
              <w:spacing w:after="0"/>
              <w:rPr>
                <w:sz w:val="14"/>
                <w:szCs w:val="14"/>
                <w:color w:val="auto"/>
              </w:rPr>
            </w:pPr>
          </w:p>
        </w:tc>
        <w:tc>
          <w:tcPr>
            <w:tcW w:w="960" w:type="dxa"/>
            <w:vAlign w:val="bottom"/>
            <w:shd w:val="clear" w:color="auto" w:fill="D1FCFC"/>
          </w:tcPr>
          <w:p>
            <w:pPr>
              <w:jc w:val="right"/>
              <w:ind w:right="2"/>
              <w:spacing w:after="0" w:line="162" w:lineRule="exact"/>
              <w:rPr>
                <w:sz w:val="20"/>
                <w:szCs w:val="20"/>
                <w:color w:val="auto"/>
              </w:rPr>
            </w:pPr>
            <w:r>
              <w:rPr>
                <w:rFonts w:ascii="Arial" w:cs="Arial" w:eastAsia="Arial" w:hAnsi="Arial"/>
                <w:sz w:val="15"/>
                <w:szCs w:val="15"/>
                <w:color w:val="auto"/>
              </w:rPr>
              <w:t>99.232%</w:t>
            </w:r>
          </w:p>
        </w:tc>
        <w:tc>
          <w:tcPr>
            <w:tcW w:w="680" w:type="dxa"/>
            <w:vAlign w:val="bottom"/>
            <w:shd w:val="clear" w:color="auto" w:fill="D1FCFC"/>
          </w:tcPr>
          <w:p>
            <w:pPr>
              <w:spacing w:after="0"/>
              <w:rPr>
                <w:sz w:val="14"/>
                <w:szCs w:val="14"/>
                <w:color w:val="auto"/>
              </w:rPr>
            </w:pPr>
          </w:p>
        </w:tc>
        <w:tc>
          <w:tcPr>
            <w:tcW w:w="920" w:type="dxa"/>
            <w:vAlign w:val="bottom"/>
            <w:shd w:val="clear" w:color="auto" w:fill="D1FCFC"/>
          </w:tcPr>
          <w:p>
            <w:pPr>
              <w:jc w:val="right"/>
              <w:ind w:right="2"/>
              <w:spacing w:after="0" w:line="162" w:lineRule="exact"/>
              <w:rPr>
                <w:sz w:val="20"/>
                <w:szCs w:val="20"/>
                <w:color w:val="auto"/>
              </w:rPr>
            </w:pPr>
            <w:r>
              <w:rPr>
                <w:rFonts w:ascii="Arial" w:cs="Arial" w:eastAsia="Arial" w:hAnsi="Arial"/>
                <w:sz w:val="15"/>
                <w:szCs w:val="15"/>
                <w:color w:val="auto"/>
              </w:rPr>
              <w:t>0.495%</w:t>
            </w:r>
          </w:p>
        </w:tc>
        <w:tc>
          <w:tcPr>
            <w:tcW w:w="680" w:type="dxa"/>
            <w:vAlign w:val="bottom"/>
            <w:shd w:val="clear" w:color="auto" w:fill="D1FCFC"/>
          </w:tcPr>
          <w:p>
            <w:pPr>
              <w:spacing w:after="0"/>
              <w:rPr>
                <w:sz w:val="14"/>
                <w:szCs w:val="14"/>
                <w:color w:val="auto"/>
              </w:rPr>
            </w:pPr>
          </w:p>
        </w:tc>
        <w:tc>
          <w:tcPr>
            <w:tcW w:w="160" w:type="dxa"/>
            <w:vAlign w:val="bottom"/>
            <w:shd w:val="clear" w:color="auto" w:fill="D1FCFC"/>
          </w:tcPr>
          <w:p>
            <w:pPr>
              <w:spacing w:after="0"/>
              <w:rPr>
                <w:sz w:val="14"/>
                <w:szCs w:val="14"/>
                <w:color w:val="auto"/>
              </w:rPr>
            </w:pPr>
          </w:p>
        </w:tc>
        <w:tc>
          <w:tcPr>
            <w:tcW w:w="1020" w:type="dxa"/>
            <w:vAlign w:val="bottom"/>
            <w:shd w:val="clear" w:color="auto" w:fill="D1FCFC"/>
          </w:tcPr>
          <w:p>
            <w:pPr>
              <w:jc w:val="right"/>
              <w:ind w:right="82"/>
              <w:spacing w:after="0" w:line="162" w:lineRule="exact"/>
              <w:rPr>
                <w:sz w:val="20"/>
                <w:szCs w:val="20"/>
                <w:color w:val="auto"/>
              </w:rPr>
            </w:pPr>
            <w:r>
              <w:rPr>
                <w:rFonts w:ascii="Arial" w:cs="Arial" w:eastAsia="Arial" w:hAnsi="Arial"/>
                <w:sz w:val="15"/>
                <w:szCs w:val="15"/>
                <w:color w:val="auto"/>
              </w:rPr>
              <w:t>98.737%</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
              <w:spacing w:after="0"/>
              <w:rPr>
                <w:sz w:val="20"/>
                <w:szCs w:val="20"/>
                <w:color w:val="auto"/>
              </w:rPr>
            </w:pPr>
            <w:r>
              <w:rPr>
                <w:rFonts w:ascii="Arial" w:cs="Arial" w:eastAsia="Arial" w:hAnsi="Arial"/>
                <w:sz w:val="15"/>
                <w:szCs w:val="15"/>
                <w:color w:val="auto"/>
              </w:rPr>
              <w:t>793,856,000</w:t>
            </w:r>
          </w:p>
        </w:tc>
        <w:tc>
          <w:tcPr>
            <w:tcW w:w="68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5"/>
                <w:szCs w:val="15"/>
                <w:color w:val="auto"/>
              </w:rPr>
              <w:t>£3,960,000</w:t>
            </w:r>
          </w:p>
        </w:tc>
        <w:tc>
          <w:tcPr>
            <w:tcW w:w="680" w:type="dxa"/>
            <w:vAlign w:val="bottom"/>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82"/>
              <w:spacing w:after="0"/>
              <w:rPr>
                <w:sz w:val="20"/>
                <w:szCs w:val="20"/>
                <w:color w:val="auto"/>
              </w:rPr>
            </w:pPr>
            <w:r>
              <w:rPr>
                <w:rFonts w:ascii="Arial" w:cs="Arial" w:eastAsia="Arial" w:hAnsi="Arial"/>
                <w:sz w:val="15"/>
                <w:szCs w:val="15"/>
                <w:color w:val="auto"/>
              </w:rPr>
              <w:t>789,896,000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Plus accrued interest, if any, from February 20, 2020, if settlement occurs after that date.</w:t>
      </w:r>
    </w:p>
    <w:p>
      <w:pPr>
        <w:spacing w:after="0" w:line="4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3"/>
          <w:szCs w:val="13"/>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ind w:left="200" w:right="160" w:firstLine="441"/>
        <w:spacing w:after="0" w:line="273" w:lineRule="auto"/>
        <w:rPr>
          <w:sz w:val="20"/>
          <w:szCs w:val="20"/>
          <w:color w:val="auto"/>
        </w:rPr>
      </w:pPr>
      <w:r>
        <w:rPr>
          <w:rFonts w:ascii="Arial" w:cs="Arial" w:eastAsia="Arial" w:hAnsi="Arial"/>
          <w:sz w:val="14"/>
          <w:szCs w:val="14"/>
          <w:color w:val="auto"/>
        </w:rPr>
        <w:t>The notes will be ready for delivery only through the delivery system of Clearstream Banking, S.A. (“Clearstream”) and Euroclear Bank S.A./N.V. (“Euroclear”) in book-entry form on or about February 20, 2020, which is the tenth business day following the date of this prospectus supplement. See “Underwriting.”</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Joint Book-Running Managers</w:t>
      </w:r>
    </w:p>
    <w:p>
      <w:pPr>
        <w:sectPr>
          <w:pgSz w:w="11900" w:h="16838" w:orient="portrait"/>
          <w:cols w:equalWidth="0" w:num="1">
            <w:col w:w="11220"/>
          </w:cols>
          <w:pgMar w:left="240" w:top="459" w:right="439" w:bottom="1440" w:gutter="0" w:footer="0" w:header="0"/>
        </w:sectPr>
      </w:pP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BNP PARIBAS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Barclays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1740"/>
        <w:spacing w:after="0"/>
        <w:rPr>
          <w:sz w:val="20"/>
          <w:szCs w:val="20"/>
          <w:color w:val="auto"/>
        </w:rPr>
      </w:pPr>
      <w:r>
        <w:rPr>
          <w:rFonts w:ascii="Arial" w:cs="Arial" w:eastAsia="Arial" w:hAnsi="Arial"/>
          <w:sz w:val="20"/>
          <w:szCs w:val="20"/>
          <w:b w:val="1"/>
          <w:bCs w:val="1"/>
          <w:color w:val="auto"/>
        </w:rPr>
        <w:t>Citigroup</w:t>
      </w:r>
    </w:p>
    <w:p>
      <w:pPr>
        <w:spacing w:after="0" w:line="22"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J.P. Morgan</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RBC Capital Markets</w:t>
      </w:r>
    </w:p>
    <w:p>
      <w:pPr>
        <w:spacing w:after="0" w:line="94" w:lineRule="exact"/>
        <w:rPr>
          <w:sz w:val="20"/>
          <w:szCs w:val="20"/>
          <w:color w:val="auto"/>
        </w:rPr>
      </w:pPr>
    </w:p>
    <w:p>
      <w:pPr>
        <w:sectPr>
          <w:pgSz w:w="11900" w:h="16838" w:orient="portrait"/>
          <w:cols w:equalWidth="0" w:num="3">
            <w:col w:w="4040" w:space="720"/>
            <w:col w:w="3880" w:space="720"/>
            <w:col w:w="18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2"/>
          <w:szCs w:val="12"/>
          <w:b w:val="1"/>
          <w:bCs w:val="1"/>
          <w:color w:val="auto"/>
        </w:rPr>
        <w:t>The date of this prospectus supplement is February 5, 2020.</w:t>
      </w:r>
    </w:p>
    <w:p>
      <w:pPr>
        <w:sectPr>
          <w:pgSz w:w="11900" w:h="16838" w:orient="portrait"/>
          <w:cols w:equalWidth="0" w:num="1">
            <w:col w:w="11220"/>
          </w:cols>
          <w:pgMar w:left="24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82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2880" w:type="dxa"/>
            <w:vAlign w:val="bottom"/>
            <w:gridSpan w:val="14"/>
            <w:vMerge w:val="restart"/>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Where You Can Find More Information</w:t>
              </w:r>
            </w:hyperlink>
          </w:p>
        </w:tc>
        <w:tc>
          <w:tcPr>
            <w:tcW w:w="740" w:type="dxa"/>
            <w:vAlign w:val="bottom"/>
            <w:gridSpan w:val="3"/>
            <w:vMerge w:val="restart"/>
          </w:tcPr>
          <w:p>
            <w:pPr>
              <w:spacing w:after="0"/>
              <w:rPr>
                <w:sz w:val="24"/>
                <w:szCs w:val="24"/>
                <w:color w:val="auto"/>
              </w:rPr>
            </w:pPr>
          </w:p>
        </w:tc>
        <w:tc>
          <w:tcPr>
            <w:tcW w:w="696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2880" w:type="dxa"/>
            <w:vAlign w:val="bottom"/>
            <w:tcBorders>
              <w:bottom w:val="single" w:sz="8" w:color="0000EE"/>
            </w:tcBorders>
            <w:gridSpan w:val="14"/>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iv</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4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Supplement Summary</w:t>
              </w:r>
            </w:hyperlink>
          </w:p>
        </w:tc>
        <w:tc>
          <w:tcPr>
            <w:tcW w:w="1180" w:type="dxa"/>
            <w:vAlign w:val="bottom"/>
            <w:gridSpan w:val="4"/>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2440" w:type="dxa"/>
            <w:vAlign w:val="bottom"/>
            <w:gridSpan w:val="10"/>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the Notes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Material U.S. Federal Income Tax Consequences</w:t>
              </w:r>
            </w:hyperlink>
          </w:p>
        </w:tc>
        <w:tc>
          <w:tcPr>
            <w:tcW w:w="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Underwriting</w:t>
              </w:r>
            </w:hyperlink>
          </w:p>
        </w:tc>
        <w:tc>
          <w:tcPr>
            <w:tcW w:w="2640" w:type="dxa"/>
            <w:vAlign w:val="bottom"/>
            <w:gridSpan w:val="14"/>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2620" w:type="dxa"/>
            <w:vAlign w:val="bottom"/>
            <w:gridSpan w:val="13"/>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S-32</w:t>
            </w:r>
          </w:p>
        </w:tc>
        <w:tc>
          <w:tcPr>
            <w:tcW w:w="0" w:type="dxa"/>
            <w:vAlign w:val="bottom"/>
          </w:tcPr>
          <w:p>
            <w:pPr>
              <w:spacing w:after="0"/>
              <w:rPr>
                <w:sz w:val="1"/>
                <w:szCs w:val="1"/>
                <w:color w:val="auto"/>
              </w:rPr>
            </w:pPr>
          </w:p>
        </w:tc>
      </w:tr>
      <w:tr>
        <w:trPr>
          <w:trHeight w:val="588"/>
        </w:trPr>
        <w:tc>
          <w:tcPr>
            <w:tcW w:w="2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1140" w:type="dxa"/>
            <w:vAlign w:val="bottom"/>
            <w:gridSpan w:val="5"/>
            <w:vMerge w:val="restart"/>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The Companies</w:t>
              </w:r>
            </w:hyperlink>
          </w:p>
        </w:tc>
        <w:tc>
          <w:tcPr>
            <w:tcW w:w="2480" w:type="dxa"/>
            <w:vAlign w:val="bottom"/>
            <w:gridSpan w:val="12"/>
            <w:vMerge w:val="restart"/>
          </w:tcPr>
          <w:p>
            <w:pPr>
              <w:spacing w:after="0"/>
              <w:rPr>
                <w:sz w:val="24"/>
                <w:szCs w:val="24"/>
                <w:color w:val="auto"/>
              </w:rPr>
            </w:pPr>
          </w:p>
        </w:tc>
        <w:tc>
          <w:tcPr>
            <w:tcW w:w="69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1140" w:type="dxa"/>
            <w:vAlign w:val="bottom"/>
            <w:tcBorders>
              <w:bottom w:val="single" w:sz="8" w:color="0000EE"/>
            </w:tcBorders>
            <w:gridSpan w:val="5"/>
            <w:vMerge w:val="continue"/>
          </w:tcPr>
          <w:p>
            <w:pPr>
              <w:spacing w:after="0"/>
              <w:rPr>
                <w:sz w:val="13"/>
                <w:szCs w:val="13"/>
                <w:color w:val="auto"/>
              </w:rPr>
            </w:pPr>
          </w:p>
        </w:tc>
        <w:tc>
          <w:tcPr>
            <w:tcW w:w="2480" w:type="dxa"/>
            <w:vAlign w:val="bottom"/>
            <w:gridSpan w:val="12"/>
            <w:vMerge w:val="continue"/>
          </w:tcPr>
          <w:p>
            <w:pPr>
              <w:spacing w:after="0"/>
              <w:rPr>
                <w:sz w:val="13"/>
                <w:szCs w:val="13"/>
                <w:color w:val="auto"/>
              </w:rPr>
            </w:pPr>
          </w:p>
        </w:tc>
        <w:tc>
          <w:tcPr>
            <w:tcW w:w="6980" w:type="dxa"/>
            <w:vAlign w:val="bottom"/>
            <w:gridSpan w:val="2"/>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6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Caution Concerning Forward-Looking Statements</w:t>
              </w:r>
            </w:hyperlink>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Use of Proceeds</w:t>
              </w:r>
            </w:hyperlink>
          </w:p>
        </w:tc>
        <w:tc>
          <w:tcPr>
            <w:tcW w:w="2440" w:type="dxa"/>
            <w:vAlign w:val="bottom"/>
            <w:gridSpan w:val="10"/>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Dividend Policy</w:t>
              </w:r>
            </w:hyperlink>
          </w:p>
        </w:tc>
        <w:tc>
          <w:tcPr>
            <w:tcW w:w="2440" w:type="dxa"/>
            <w:vAlign w:val="bottom"/>
            <w:gridSpan w:val="10"/>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Description of Debt Securities and Guarantees</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Global Securities</w:t>
              </w:r>
            </w:hyperlink>
          </w:p>
        </w:tc>
        <w:tc>
          <w:tcPr>
            <w:tcW w:w="280" w:type="dxa"/>
            <w:vAlign w:val="bottom"/>
            <w:gridSpan w:val="2"/>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Description of Capital Stock</w:t>
              </w:r>
            </w:hyperlink>
          </w:p>
        </w:tc>
        <w:tc>
          <w:tcPr>
            <w:tcW w:w="1560" w:type="dxa"/>
            <w:vAlign w:val="bottom"/>
            <w:gridSpan w:val="5"/>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Plan of Distribution</w:t>
              </w:r>
            </w:hyperlink>
          </w:p>
        </w:tc>
        <w:tc>
          <w:tcPr>
            <w:tcW w:w="2180" w:type="dxa"/>
            <w:vAlign w:val="bottom"/>
            <w:gridSpan w:val="8"/>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Legal Matters</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2620" w:type="dxa"/>
            <w:vAlign w:val="bottom"/>
            <w:gridSpan w:val="13"/>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Available Information</w:t>
              </w:r>
            </w:hyperlink>
          </w:p>
        </w:tc>
        <w:tc>
          <w:tcPr>
            <w:tcW w:w="2020" w:type="dxa"/>
            <w:vAlign w:val="bottom"/>
            <w:gridSpan w:val="7"/>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Incorporation of Certain Documents by Reference</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6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References in this prospectus supplement to “$,” “dollars,” “USD”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to “£,” “GBP” or “sterling” are to the lawful currency of the United Kingdom.</w:t>
      </w:r>
    </w:p>
    <w:p>
      <w:pPr>
        <w:spacing w:after="0" w:line="106"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IN CONNECTION WITH THE ISSUE OF THE EURO NOTES, CITIGROUP GLOBAL MARKETS LIMITED, IN ITS ROLE AS STABILIZING MANAGER (THE “EURO STABILIZING MANAGER”) (OR PERSONS ACTING ON ITS BEHALF) MAY, TO THE EXTENT PERMITTED BY APPLICABLE LAWS AND DIRECTIVES, OVERALLOT EURO NOTES OR EFFECT TRANSACTIONS WITH A VIEW TO SUPPORTING THE MARKET PRICE OF THE EURO NOTES AT A LEVEL HIGHER THAN THAT WHICH MIGHT OTHERWISE PREVAIL. HOWEVER, THERE IS NO ASSURANCE THAT THE EURO STABILIZING MANAGER (OR PERSONS ACTING ON BEHALF OF THE EURO STABILIZING MANAGER) WILL UNDERTAKE ANY STABILIZATION ACTION. ANY STABILIZATION ACTION MAY BEGIN ON OR AFTER THE DATE ON WHICH ADEQUATE PUBLIC DISCLOSURE OF THE FINAL TERMS OF THE OFFER OF THE EURO NOTES IS MADE, AND, IF BEGUN, MAY CEASE AT ANY TIME, BUT IT MUST END NO LATER THAN THE EARLIER OF 30 DAYS AFTER THE ISSUE OF THE EURO NOTES AND 60 DAYS AFTER THE DATE OF THE ALLOTMENT OF THE EURO NOTES. ANY STABILIZATION ACTION OR OVER-ALLOTMENT COMMENCED WILL BE CARRIED OUT IN ACCORDANCE WITH APPLICABLE LAWS AND REGULATIONS.</w:t>
      </w:r>
    </w:p>
    <w:p>
      <w:pPr>
        <w:spacing w:after="0" w:line="13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IN CONNECTION WITH THE ISSUE OF THE STERLING NOTES, CITIGROUP GLOBAL MARKETS LIMITED, IN ITS ROLE AS STABILIZING MANAGER (THE “STERLING STABILIZING MANAGER”) (OR PERSONS ACTING ON ITS BEHALF) MAY, TO THE EXTENT PERMITTED BY APPLICABLE LAWS AND DIRECTIVES, OVER-ALLOT NOTES OR EFFECT TRANSACTIONS WITH A VIEW TO SUPPORTING THE MARKET PRICE OF THE STERLING NOTES AT A LEVEL HIGHER THAN THAT WHICH MIGHT OTHERWISE PREVAIL. HOWEVER, THERE IS NO ASSURANCE THAT THE STERLING STABILIZING MANAGER (OR PERSONS ACTING ON BEHALF OF THE STERLING STABILIZING MANAGER) WILL UNDERTAKE ANY STABILIZATION ACTION. ANY STABILIZATION ACTION MAY BEGIN ON OR AFTER THE DATE ON WHICH ADEQUATE PUBLIC DISCLOSURE OF THE FINAL TERMS OF THE OFFER OF THE STERLING NOTES IS MADE, AND, IF BEGUN, MAY CEASE AT ANY TIME, BUT IT MUST END NO LATER THAN THE EARLIER OF 30 DAYS AFTER THE ISSUE OF THE STERLING NOTES AND 60 DAYS AFTER THE DATE OF THE ALLOTMENT OF THE STERLING NOTES. ANY STABILIZATION ACTION OR OVER-ALLOTMENT COMMENCED WILL BE CARRIED OUT IN ACCORDANCE WITH APPLICABLE LAWS AND REGULATIONS.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89"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Kingdom has been prepared and therefore offering or selling the notes or otherwise making them available to any retail investor in the EEA or in the United Kingdom may be unlawful under the PRIIPs Regulation.</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MIFID II product governance/Professional investors and ECPs only target market</w:t>
      </w:r>
    </w:p>
    <w:p>
      <w:pPr>
        <w:spacing w:after="0" w:line="189"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0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set forth below that we or NBCUniversal have previously filed with the SEC:</w:t>
      </w:r>
    </w:p>
    <w:p>
      <w:pPr>
        <w:spacing w:after="0" w:line="170"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filed on January 30, 2020.</w:t>
      </w:r>
    </w:p>
    <w:p>
      <w:pPr>
        <w:spacing w:after="0" w:line="208"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80" w:right="20"/>
        <w:spacing w:after="0" w:line="288"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w:t>
      </w: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206" w:lineRule="exact"/>
        <w:rPr>
          <w:rFonts w:ascii="Arial" w:cs="Arial" w:eastAsia="Arial" w:hAnsi="Arial"/>
          <w:sz w:val="18"/>
          <w:szCs w:val="18"/>
          <w:color w:val="auto"/>
        </w:rPr>
      </w:pPr>
    </w:p>
    <w:p>
      <w:pPr>
        <w:ind w:left="122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a leading provider of high-speed internet,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in the United States under the Xfinity brand; we also provide these and other services to business customers and sell advertising.</w:t>
      </w:r>
    </w:p>
    <w:p>
      <w:pPr>
        <w:spacing w:after="0" w:line="176" w:lineRule="exact"/>
        <w:rPr>
          <w:rFonts w:ascii="Arial" w:cs="Arial" w:eastAsia="Arial" w:hAnsi="Arial"/>
          <w:sz w:val="18"/>
          <w:szCs w:val="18"/>
          <w:color w:val="auto"/>
        </w:rPr>
      </w:pPr>
    </w:p>
    <w:p>
      <w:pPr>
        <w:ind w:left="1220" w:right="8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176" w:lineRule="exact"/>
        <w:rPr>
          <w:rFonts w:ascii="Arial" w:cs="Arial" w:eastAsia="Arial" w:hAnsi="Arial"/>
          <w:sz w:val="18"/>
          <w:szCs w:val="18"/>
          <w:color w:val="auto"/>
        </w:rPr>
      </w:pPr>
    </w:p>
    <w:p>
      <w:pPr>
        <w:ind w:left="1220" w:right="38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176" w:lineRule="exact"/>
        <w:rPr>
          <w:rFonts w:ascii="Arial" w:cs="Arial" w:eastAsia="Arial" w:hAnsi="Arial"/>
          <w:sz w:val="18"/>
          <w:szCs w:val="18"/>
          <w:color w:val="auto"/>
        </w:rPr>
      </w:pPr>
    </w:p>
    <w:p>
      <w:pPr>
        <w:ind w:left="1220" w:right="16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176" w:lineRule="exact"/>
        <w:rPr>
          <w:rFonts w:ascii="Arial" w:cs="Arial" w:eastAsia="Arial" w:hAnsi="Arial"/>
          <w:sz w:val="18"/>
          <w:szCs w:val="18"/>
          <w:color w:val="auto"/>
        </w:rPr>
      </w:pPr>
    </w:p>
    <w:p>
      <w:pPr>
        <w:ind w:left="1220" w:right="46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6" w:lineRule="exact"/>
        <w:rPr>
          <w:rFonts w:ascii="Arial" w:cs="Arial" w:eastAsia="Arial" w:hAnsi="Arial"/>
          <w:sz w:val="18"/>
          <w:szCs w:val="18"/>
          <w:color w:val="auto"/>
        </w:rPr>
      </w:pPr>
    </w:p>
    <w:p>
      <w:pPr>
        <w:ind w:left="1220" w:right="6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Sky</w:t>
      </w:r>
      <w:r>
        <w:rPr>
          <w:rFonts w:ascii="Arial" w:cs="Arial" w:eastAsia="Arial" w:hAnsi="Arial"/>
          <w:sz w:val="18"/>
          <w:szCs w:val="18"/>
          <w:color w:val="auto"/>
        </w:rPr>
        <w:t>: Consists of the operations of Sky, one of Europe’s leading entertainment companies, which primarily includes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direct-to-consumer business, providing video, high-speed internet, voice and wireless phone services, and a content business, operating entertainment networks, the Sky News broadcast network and Sky Sports networks.</w:t>
      </w:r>
    </w:p>
    <w:p>
      <w:pPr>
        <w:spacing w:after="0" w:line="140" w:lineRule="exact"/>
        <w:rPr>
          <w:sz w:val="20"/>
          <w:szCs w:val="20"/>
          <w:color w:val="auto"/>
        </w:rPr>
      </w:pPr>
    </w:p>
    <w:p>
      <w:pPr>
        <w:ind w:left="380" w:right="160"/>
        <w:spacing w:after="0" w:line="264"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 our direct-to-consumer streaming service that will feature NBCUniversal content.</w:t>
      </w:r>
    </w:p>
    <w:p>
      <w:pPr>
        <w:spacing w:after="0" w:line="154" w:lineRule="exact"/>
        <w:rPr>
          <w:sz w:val="20"/>
          <w:szCs w:val="20"/>
          <w:color w:val="auto"/>
        </w:rPr>
      </w:pPr>
    </w:p>
    <w:p>
      <w:pPr>
        <w:ind w:left="380" w:right="8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80" w:right="60" w:firstLine="6"/>
        <w:spacing w:after="0" w:line="261"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276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002145" cy="2276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220" w:right="1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80" w:right="8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020" w:type="dxa"/>
            <w:vAlign w:val="bottom"/>
            <w:tcBorders>
              <w:top w:val="single" w:sz="8" w:color="auto"/>
              <w:left w:val="single" w:sz="8" w:color="auto"/>
            </w:tcBorders>
          </w:tcPr>
          <w:p>
            <w:pPr>
              <w:spacing w:after="0"/>
              <w:rPr>
                <w:sz w:val="24"/>
                <w:szCs w:val="24"/>
                <w:color w:val="auto"/>
              </w:rPr>
            </w:pPr>
          </w:p>
        </w:tc>
        <w:tc>
          <w:tcPr>
            <w:tcW w:w="802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Comcast Corporation.</w:t>
            </w:r>
          </w:p>
        </w:tc>
      </w:tr>
      <w:tr>
        <w:trPr>
          <w:trHeight w:val="446"/>
        </w:trPr>
        <w:tc>
          <w:tcPr>
            <w:tcW w:w="3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€800,000,000 aggregate principal amount of 0.250% euro notes due 2027.</w:t>
            </w:r>
          </w:p>
        </w:tc>
      </w:tr>
      <w:tr>
        <w:trPr>
          <w:trHeight w:val="446"/>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€1,400,000,000 aggregate principal amount of 0.750% euro notes due 2032.</w:t>
            </w:r>
          </w:p>
        </w:tc>
      </w:tr>
      <w:tr>
        <w:trPr>
          <w:trHeight w:val="432"/>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€800,000,000 aggregate principal amount of 1.250% euro notes due 2040.</w:t>
            </w:r>
          </w:p>
        </w:tc>
      </w:tr>
      <w:tr>
        <w:trPr>
          <w:trHeight w:val="432"/>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£600,000,000 aggregate principal amount of 1.500% sterling notes due 2029.</w:t>
            </w:r>
          </w:p>
        </w:tc>
      </w:tr>
      <w:tr>
        <w:trPr>
          <w:trHeight w:val="432"/>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£800,000,000 aggregate principal amount of 1.875% sterling notes due 2036.</w:t>
            </w:r>
          </w:p>
        </w:tc>
      </w:tr>
      <w:tr>
        <w:trPr>
          <w:trHeight w:val="432"/>
        </w:trPr>
        <w:tc>
          <w:tcPr>
            <w:tcW w:w="3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The euro notes due 2027 will mature on May 20, 2027.</w:t>
            </w:r>
          </w:p>
        </w:tc>
      </w:tr>
      <w:tr>
        <w:trPr>
          <w:trHeight w:val="446"/>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The euro notes due 2032 will mature on February 20, 2032.</w:t>
            </w:r>
          </w:p>
        </w:tc>
      </w:tr>
      <w:tr>
        <w:trPr>
          <w:trHeight w:val="432"/>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The euro notes due 2040 will mature on February 20, 2040.</w:t>
            </w:r>
          </w:p>
        </w:tc>
      </w:tr>
      <w:tr>
        <w:trPr>
          <w:trHeight w:val="432"/>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The sterling notes due 2029 will mature on February 20, 2029.</w:t>
            </w:r>
          </w:p>
        </w:tc>
      </w:tr>
      <w:tr>
        <w:trPr>
          <w:trHeight w:val="432"/>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The sterling notes due 2036 will mature on February 20, 2036.</w:t>
            </w:r>
          </w:p>
        </w:tc>
      </w:tr>
      <w:tr>
        <w:trPr>
          <w:trHeight w:val="418"/>
        </w:trPr>
        <w:tc>
          <w:tcPr>
            <w:tcW w:w="3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8"/>
              </w:rPr>
              <w:t>Interest on the euro notes due 2027 will accrue at the rate of 0.250% per year, payable</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annually in cash in arrears on May 20, beginning May 20, 2020.</w:t>
            </w:r>
          </w:p>
        </w:tc>
      </w:tr>
      <w:tr>
        <w:trPr>
          <w:trHeight w:val="418"/>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8"/>
              </w:rPr>
              <w:t>Interest on the euro notes due 2032 will accrue at the rate of 0.750% per year, payable</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annually in cash in arrears on February 20, beginning February 20, 2021.</w:t>
            </w:r>
          </w:p>
        </w:tc>
      </w:tr>
      <w:tr>
        <w:trPr>
          <w:trHeight w:val="418"/>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8"/>
              </w:rPr>
              <w:t>Interest on the euro notes due 2040 will accrue at the rate of 1.250% per year, payable</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annually in cash in arrears on February 20, beginning February 20, 2021.</w:t>
            </w:r>
          </w:p>
        </w:tc>
      </w:tr>
      <w:tr>
        <w:trPr>
          <w:trHeight w:val="418"/>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5"/>
              </w:rPr>
              <w:t>Interest on the sterling notes due 2029 will accrue at the rate of 1.500% per year, payable</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annually in cash in arrears on February 20, beginning February 20, 2021.</w:t>
            </w:r>
          </w:p>
        </w:tc>
      </w:tr>
      <w:tr>
        <w:trPr>
          <w:trHeight w:val="418"/>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5"/>
              </w:rPr>
              <w:t>Interest on the sterling notes due 2036 will accrue at the rate of 1.875% per year, payable</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annually in cash in arrears on February 20, beginning February 20, 2021.</w:t>
            </w:r>
          </w:p>
        </w:tc>
      </w:tr>
      <w:tr>
        <w:trPr>
          <w:trHeight w:val="418"/>
        </w:trPr>
        <w:tc>
          <w:tcPr>
            <w:tcW w:w="3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Currency of Payments</w:t>
            </w: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4"/>
              </w:rPr>
              <w:t>All payments of principal of, and premium, if any, and interest on, the euro notes, including</w:t>
            </w:r>
          </w:p>
        </w:tc>
      </w:tr>
      <w:tr>
        <w:trPr>
          <w:trHeight w:val="216"/>
        </w:trPr>
        <w:tc>
          <w:tcPr>
            <w:tcW w:w="302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3"/>
              </w:rPr>
              <w:t>any payments made upon any redemption or repurchase of the euro notes, will be made in</w:t>
            </w:r>
          </w:p>
        </w:tc>
      </w:tr>
      <w:tr>
        <w:trPr>
          <w:trHeight w:val="216"/>
        </w:trPr>
        <w:tc>
          <w:tcPr>
            <w:tcW w:w="302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5"/>
              </w:rPr>
              <w:t>euro. All payments of principal of, and premium, if any, and interest on, the sterling notes,</w:t>
            </w:r>
          </w:p>
        </w:tc>
      </w:tr>
      <w:tr>
        <w:trPr>
          <w:trHeight w:val="216"/>
        </w:trPr>
        <w:tc>
          <w:tcPr>
            <w:tcW w:w="302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3"/>
              </w:rPr>
              <w:t>including any payments made upon any redemption or repurchase of the sterling notes, will</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be made in GBP.</w:t>
            </w:r>
          </w:p>
        </w:tc>
      </w:tr>
      <w:tr>
        <w:trPr>
          <w:trHeight w:val="418"/>
        </w:trPr>
        <w:tc>
          <w:tcPr>
            <w:tcW w:w="302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9"/>
              </w:rPr>
              <w:t>If euro or GBP is unavailable to us due to the imposition of exchange controls or other</w:t>
            </w:r>
          </w:p>
        </w:tc>
      </w:tr>
      <w:tr>
        <w:trPr>
          <w:trHeight w:val="230"/>
        </w:trPr>
        <w:tc>
          <w:tcPr>
            <w:tcW w:w="302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circumstances beyond our control or is no longer</w:t>
            </w:r>
          </w:p>
        </w:tc>
      </w:tr>
      <w:tr>
        <w:trPr>
          <w:trHeight w:val="240"/>
        </w:trPr>
        <w:tc>
          <w:tcPr>
            <w:tcW w:w="3020" w:type="dxa"/>
            <w:vAlign w:val="bottom"/>
            <w:tcBorders>
              <w:left w:val="single" w:sz="8" w:color="auto"/>
              <w:bottom w:val="single" w:sz="8" w:color="auto"/>
            </w:tcBorders>
          </w:tcPr>
          <w:p>
            <w:pPr>
              <w:spacing w:after="0"/>
              <w:rPr>
                <w:sz w:val="20"/>
                <w:szCs w:val="20"/>
                <w:color w:val="auto"/>
              </w:rPr>
            </w:pPr>
          </w:p>
        </w:tc>
        <w:tc>
          <w:tcPr>
            <w:tcW w:w="8020" w:type="dxa"/>
            <w:vAlign w:val="bottom"/>
            <w:tcBorders>
              <w:bottom w:val="single" w:sz="8" w:color="auto"/>
              <w:right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36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2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used for the settlement of transactions by public institutions within the international</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7"/>
              </w:rPr>
              <w:t>banking community or, with respect to the euro notes, the euro is no longer used by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then member states of the European Economic and Monetary Union that have adopted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euro as their currency, then all payments in respect of the applicable series of notes will be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made in U.S. dollars until the euro or GBP, as applicable, is again available to us or so</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used. See “Description of the Notes—Euro Notes—Issuance in Euro; Sterling Notes—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Issuance in GBP.”</w:t>
            </w:r>
          </w:p>
        </w:tc>
      </w:tr>
      <w:tr>
        <w:trPr>
          <w:trHeight w:val="431"/>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applicable Redemption Price determined as set forth under the heading “Description of the</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Notes—Optional Redemption.”</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Redemption for Tax Reasons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We may, at our option, redeem any series of notes, in whole but not in part, if the tax laws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of the United States (or any taxing authority in the United States) change and we become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7"/>
              </w:rPr>
              <w:t>obligated to pay additional amounts on the notes as described under “Description of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Notes—Payment of Additional Amounts.” This redemption would be at 100% of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principal amount, together with accrued and unpaid interest on the notes to the date fixed</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for redemption. See “Description of the Notes—Redemption for Tax Reasons.”</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Amounts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We will, subject to certain exceptions and limitations set forth herein, pay additional</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amounts on the notes as are necessary in order that the net payment by us of the principal</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of and interest on the notes to a holder who is not a United States person, after withholding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or deduction for any present or future tax, assessment or other governmental charge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imposed by the United States or a taxing authority in the United States will not be less than</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2"/>
              </w:rPr>
              <w:t>the amount provided in the notes to be then due and payable. See “Description of the Notes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—Payment of Additional Amounts.”</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We intend to use the net proceeds from the offering, after deducting underwriters’ discount</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and expenses, entirely for the refinancing of debt, including Sky’s floating rate notes,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which bear interest at a rate equal to 3 month EURIBOR plus 0.75%, due April 1, 2020</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7"/>
              </w:rPr>
              <w:t>(€600 million principal amount outstanding as of the date hereof), NBCUniversal Media,</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LLC’s 4.375% notes due April 1, 2021 ($2.0 billion principal amount outstanding as of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date hereof) and our 3.45% notes due October 1, 2021 ($2.0 billion principal amount</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outstanding as of the date hereof).</w:t>
            </w:r>
          </w:p>
        </w:tc>
      </w:tr>
      <w:tr>
        <w:trPr>
          <w:trHeight w:val="240"/>
        </w:trPr>
        <w:tc>
          <w:tcPr>
            <w:tcW w:w="3260" w:type="dxa"/>
            <w:vAlign w:val="bottom"/>
            <w:tcBorders>
              <w:left w:val="single" w:sz="8" w:color="auto"/>
              <w:bottom w:val="single" w:sz="8" w:color="auto"/>
            </w:tcBorders>
          </w:tcPr>
          <w:p>
            <w:pPr>
              <w:spacing w:after="0"/>
              <w:rPr>
                <w:sz w:val="20"/>
                <w:szCs w:val="20"/>
                <w:color w:val="auto"/>
              </w:rPr>
            </w:pPr>
          </w:p>
        </w:tc>
        <w:tc>
          <w:tcPr>
            <w:tcW w:w="7780" w:type="dxa"/>
            <w:vAlign w:val="bottom"/>
            <w:tcBorders>
              <w:bottom w:val="single" w:sz="8" w:color="auto"/>
              <w:right w:val="single" w:sz="8" w:color="auto"/>
            </w:tcBorders>
          </w:tcPr>
          <w:p>
            <w:pPr>
              <w:spacing w:after="0"/>
              <w:rPr>
                <w:sz w:val="20"/>
                <w:szCs w:val="20"/>
                <w:color w:val="auto"/>
              </w:rPr>
            </w:pPr>
          </w:p>
        </w:tc>
      </w:tr>
      <w:tr>
        <w:trPr>
          <w:trHeight w:val="604"/>
        </w:trPr>
        <w:tc>
          <w:tcPr>
            <w:tcW w:w="3260" w:type="dxa"/>
            <w:vAlign w:val="bottom"/>
          </w:tcPr>
          <w:p>
            <w:pPr>
              <w:spacing w:after="0"/>
              <w:rPr>
                <w:sz w:val="24"/>
                <w:szCs w:val="24"/>
                <w:color w:val="auto"/>
              </w:rPr>
            </w:pPr>
          </w:p>
        </w:tc>
        <w:tc>
          <w:tcPr>
            <w:tcW w:w="7780" w:type="dxa"/>
            <w:vAlign w:val="bottom"/>
          </w:tcPr>
          <w:p>
            <w:pPr>
              <w:ind w:left="21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7720" w:type="dxa"/>
            <w:vAlign w:val="bottom"/>
            <w:tcBorders>
              <w:top w:val="single" w:sz="8" w:color="auto"/>
              <w:right w:val="single" w:sz="8" w:color="auto"/>
            </w:tcBorders>
            <w:gridSpan w:val="2"/>
          </w:tcPr>
          <w:p>
            <w:pPr>
              <w:ind w:left="900"/>
              <w:spacing w:after="0"/>
              <w:rPr>
                <w:sz w:val="20"/>
                <w:szCs w:val="20"/>
                <w:color w:val="auto"/>
              </w:rPr>
            </w:pPr>
            <w:r>
              <w:rPr>
                <w:rFonts w:ascii="Arial" w:cs="Arial" w:eastAsia="Arial" w:hAnsi="Arial"/>
                <w:sz w:val="18"/>
                <w:szCs w:val="18"/>
                <w:color w:val="auto"/>
                <w:w w:val="94"/>
              </w:rPr>
              <w:t>We will issue the euro notes in minimum denominations of €100,000 and integral multiples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3"/>
              </w:rPr>
              <w:t>of €1,000 in excess thereof, and we will issue the sterling notes in minimum denominations</w:t>
            </w:r>
          </w:p>
        </w:tc>
      </w:tr>
      <w:tr>
        <w:trPr>
          <w:trHeight w:val="230"/>
        </w:trPr>
        <w:tc>
          <w:tcPr>
            <w:tcW w:w="33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of £100,000 and integral multiples of £1,000 in excess thereof.</w:t>
            </w:r>
          </w:p>
        </w:tc>
      </w:tr>
      <w:tr>
        <w:trPr>
          <w:trHeight w:val="418"/>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2"/>
              </w:rPr>
              <w:t>deposited with a common depositary on behalf of Euroclear and Clearstream and registered</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8"/>
              </w:rPr>
              <w:t>in the name of the common depositary or its nominee. Beneficial interests in any of the</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5"/>
              </w:rPr>
              <w:t>notes will be shown on, and transfers will be effected only through, records maintained by</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3"/>
              </w:rPr>
              <w:t>Euroclear and Clearstream and their participants, and these beneficial interests may not be</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5"/>
              </w:rPr>
              <w:t>exchanged for certificated notes, except in limited circumstances. See “Description of the</w:t>
            </w:r>
          </w:p>
        </w:tc>
      </w:tr>
      <w:tr>
        <w:trPr>
          <w:trHeight w:val="230"/>
        </w:trPr>
        <w:tc>
          <w:tcPr>
            <w:tcW w:w="33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Notes—Book-Entry System” in this prospectus supplement.</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and Registrar</w:t>
            </w: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The Bank of New York Mellon.</w:t>
            </w:r>
          </w:p>
        </w:tc>
      </w:tr>
      <w:tr>
        <w:trPr>
          <w:trHeight w:val="446"/>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Paying Agent</w:t>
            </w: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The Bank of New York Mellon, London Branch.</w:t>
            </w: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 and Trading</w:t>
            </w: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8"/>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3"/>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w w:val="98"/>
              </w:rPr>
              <w:t>of the notes at any time. We currently expect trading in the notes on NASDAQ to begin</w:t>
            </w:r>
          </w:p>
        </w:tc>
      </w:tr>
      <w:tr>
        <w:trPr>
          <w:trHeight w:val="230"/>
        </w:trPr>
        <w:tc>
          <w:tcPr>
            <w:tcW w:w="33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2"/>
          </w:tcPr>
          <w:p>
            <w:pPr>
              <w:ind w:left="900"/>
              <w:spacing w:after="0"/>
              <w:rPr>
                <w:sz w:val="20"/>
                <w:szCs w:val="20"/>
                <w:color w:val="auto"/>
              </w:rPr>
            </w:pPr>
            <w:r>
              <w:rPr>
                <w:rFonts w:ascii="Arial" w:cs="Arial" w:eastAsia="Arial" w:hAnsi="Arial"/>
                <w:sz w:val="18"/>
                <w:szCs w:val="18"/>
                <w:color w:val="auto"/>
              </w:rPr>
              <w:t>within 30 days after the original issue date.</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Code / CUSIP / ISIN</w:t>
            </w:r>
          </w:p>
        </w:tc>
        <w:tc>
          <w:tcPr>
            <w:tcW w:w="1740" w:type="dxa"/>
            <w:vAlign w:val="bottom"/>
          </w:tcPr>
          <w:p>
            <w:pPr>
              <w:ind w:left="900"/>
              <w:spacing w:after="0"/>
              <w:rPr>
                <w:sz w:val="20"/>
                <w:szCs w:val="20"/>
                <w:color w:val="auto"/>
              </w:rPr>
            </w:pPr>
            <w:r>
              <w:rPr>
                <w:rFonts w:ascii="Arial" w:cs="Arial" w:eastAsia="Arial" w:hAnsi="Arial"/>
                <w:sz w:val="18"/>
                <w:szCs w:val="18"/>
                <w:color w:val="auto"/>
                <w:w w:val="90"/>
              </w:rPr>
              <w:t>211485221</w:t>
            </w:r>
          </w:p>
        </w:tc>
        <w:tc>
          <w:tcPr>
            <w:tcW w:w="5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20030N DB4 / XS2114852218 for euro notes due 2027</w:t>
            </w:r>
          </w:p>
        </w:tc>
      </w:tr>
      <w:tr>
        <w:trPr>
          <w:trHeight w:val="446"/>
        </w:trPr>
        <w:tc>
          <w:tcPr>
            <w:tcW w:w="3320" w:type="dxa"/>
            <w:vAlign w:val="bottom"/>
            <w:tcBorders>
              <w:left w:val="single" w:sz="8" w:color="auto"/>
            </w:tcBorders>
          </w:tcPr>
          <w:p>
            <w:pPr>
              <w:spacing w:after="0"/>
              <w:rPr>
                <w:sz w:val="24"/>
                <w:szCs w:val="24"/>
                <w:color w:val="auto"/>
              </w:rPr>
            </w:pPr>
          </w:p>
        </w:tc>
        <w:tc>
          <w:tcPr>
            <w:tcW w:w="1740" w:type="dxa"/>
            <w:vAlign w:val="bottom"/>
          </w:tcPr>
          <w:p>
            <w:pPr>
              <w:ind w:left="900"/>
              <w:spacing w:after="0"/>
              <w:rPr>
                <w:sz w:val="20"/>
                <w:szCs w:val="20"/>
                <w:color w:val="auto"/>
              </w:rPr>
            </w:pPr>
            <w:r>
              <w:rPr>
                <w:rFonts w:ascii="Arial" w:cs="Arial" w:eastAsia="Arial" w:hAnsi="Arial"/>
                <w:sz w:val="18"/>
                <w:szCs w:val="18"/>
                <w:color w:val="auto"/>
                <w:w w:val="90"/>
              </w:rPr>
              <w:t>211485256</w:t>
            </w:r>
          </w:p>
        </w:tc>
        <w:tc>
          <w:tcPr>
            <w:tcW w:w="5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20030N DC2 / XS2114852564 for euro notes due 2032</w:t>
            </w:r>
          </w:p>
        </w:tc>
      </w:tr>
      <w:tr>
        <w:trPr>
          <w:trHeight w:val="432"/>
        </w:trPr>
        <w:tc>
          <w:tcPr>
            <w:tcW w:w="3320" w:type="dxa"/>
            <w:vAlign w:val="bottom"/>
            <w:tcBorders>
              <w:left w:val="single" w:sz="8" w:color="auto"/>
            </w:tcBorders>
          </w:tcPr>
          <w:p>
            <w:pPr>
              <w:spacing w:after="0"/>
              <w:rPr>
                <w:sz w:val="24"/>
                <w:szCs w:val="24"/>
                <w:color w:val="auto"/>
              </w:rPr>
            </w:pPr>
          </w:p>
        </w:tc>
        <w:tc>
          <w:tcPr>
            <w:tcW w:w="1740" w:type="dxa"/>
            <w:vAlign w:val="bottom"/>
          </w:tcPr>
          <w:p>
            <w:pPr>
              <w:ind w:left="900"/>
              <w:spacing w:after="0"/>
              <w:rPr>
                <w:sz w:val="20"/>
                <w:szCs w:val="20"/>
                <w:color w:val="auto"/>
              </w:rPr>
            </w:pPr>
            <w:r>
              <w:rPr>
                <w:rFonts w:ascii="Arial" w:cs="Arial" w:eastAsia="Arial" w:hAnsi="Arial"/>
                <w:sz w:val="18"/>
                <w:szCs w:val="18"/>
                <w:color w:val="auto"/>
                <w:w w:val="90"/>
              </w:rPr>
              <w:t>211485272</w:t>
            </w:r>
          </w:p>
        </w:tc>
        <w:tc>
          <w:tcPr>
            <w:tcW w:w="5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20030N DD0 / XS2114852721 for euro notes due 2040</w:t>
            </w:r>
          </w:p>
        </w:tc>
      </w:tr>
      <w:tr>
        <w:trPr>
          <w:trHeight w:val="432"/>
        </w:trPr>
        <w:tc>
          <w:tcPr>
            <w:tcW w:w="3320" w:type="dxa"/>
            <w:vAlign w:val="bottom"/>
            <w:tcBorders>
              <w:left w:val="single" w:sz="8" w:color="auto"/>
            </w:tcBorders>
          </w:tcPr>
          <w:p>
            <w:pPr>
              <w:spacing w:after="0"/>
              <w:rPr>
                <w:sz w:val="24"/>
                <w:szCs w:val="24"/>
                <w:color w:val="auto"/>
              </w:rPr>
            </w:pPr>
          </w:p>
        </w:tc>
        <w:tc>
          <w:tcPr>
            <w:tcW w:w="1740" w:type="dxa"/>
            <w:vAlign w:val="bottom"/>
          </w:tcPr>
          <w:p>
            <w:pPr>
              <w:ind w:left="900"/>
              <w:spacing w:after="0"/>
              <w:rPr>
                <w:sz w:val="20"/>
                <w:szCs w:val="20"/>
                <w:color w:val="auto"/>
              </w:rPr>
            </w:pPr>
            <w:r>
              <w:rPr>
                <w:rFonts w:ascii="Arial" w:cs="Arial" w:eastAsia="Arial" w:hAnsi="Arial"/>
                <w:sz w:val="18"/>
                <w:szCs w:val="18"/>
                <w:color w:val="auto"/>
                <w:w w:val="90"/>
              </w:rPr>
              <w:t>211485329</w:t>
            </w:r>
          </w:p>
        </w:tc>
        <w:tc>
          <w:tcPr>
            <w:tcW w:w="5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20030N DE8 / XS2114853299 for sterling notes due 2029</w:t>
            </w:r>
          </w:p>
        </w:tc>
      </w:tr>
      <w:tr>
        <w:trPr>
          <w:trHeight w:val="432"/>
        </w:trPr>
        <w:tc>
          <w:tcPr>
            <w:tcW w:w="3320" w:type="dxa"/>
            <w:vAlign w:val="bottom"/>
            <w:tcBorders>
              <w:left w:val="single" w:sz="8" w:color="auto"/>
            </w:tcBorders>
          </w:tcPr>
          <w:p>
            <w:pPr>
              <w:spacing w:after="0"/>
              <w:rPr>
                <w:sz w:val="24"/>
                <w:szCs w:val="24"/>
                <w:color w:val="auto"/>
              </w:rPr>
            </w:pPr>
          </w:p>
        </w:tc>
        <w:tc>
          <w:tcPr>
            <w:tcW w:w="1740" w:type="dxa"/>
            <w:vAlign w:val="bottom"/>
          </w:tcPr>
          <w:p>
            <w:pPr>
              <w:ind w:left="900"/>
              <w:spacing w:after="0"/>
              <w:rPr>
                <w:sz w:val="20"/>
                <w:szCs w:val="20"/>
                <w:color w:val="auto"/>
              </w:rPr>
            </w:pPr>
            <w:r>
              <w:rPr>
                <w:rFonts w:ascii="Arial" w:cs="Arial" w:eastAsia="Arial" w:hAnsi="Arial"/>
                <w:sz w:val="18"/>
                <w:szCs w:val="18"/>
                <w:color w:val="auto"/>
                <w:w w:val="90"/>
              </w:rPr>
              <w:t>211485345</w:t>
            </w:r>
          </w:p>
        </w:tc>
        <w:tc>
          <w:tcPr>
            <w:tcW w:w="5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20030N DF5 / XS2114853455 for sterling notes due 2036</w:t>
            </w:r>
          </w:p>
        </w:tc>
      </w:tr>
      <w:tr>
        <w:trPr>
          <w:trHeight w:val="240"/>
        </w:trPr>
        <w:tc>
          <w:tcPr>
            <w:tcW w:w="332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980" w:type="dxa"/>
            <w:vAlign w:val="bottom"/>
            <w:tcBorders>
              <w:bottom w:val="single" w:sz="8" w:color="auto"/>
              <w:right w:val="single" w:sz="8" w:color="auto"/>
            </w:tcBorders>
          </w:tcPr>
          <w:p>
            <w:pPr>
              <w:spacing w:after="0"/>
              <w:rPr>
                <w:sz w:val="20"/>
                <w:szCs w:val="20"/>
                <w:color w:val="auto"/>
              </w:rPr>
            </w:pPr>
          </w:p>
        </w:tc>
      </w:tr>
      <w:tr>
        <w:trPr>
          <w:trHeight w:val="604"/>
        </w:trPr>
        <w:tc>
          <w:tcPr>
            <w:tcW w:w="3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46"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127" w:lineRule="exact"/>
        <w:rPr>
          <w:sz w:val="20"/>
          <w:szCs w:val="20"/>
          <w:color w:val="auto"/>
        </w:rPr>
      </w:pPr>
    </w:p>
    <w:p>
      <w:pPr>
        <w:ind w:left="200" w:right="420"/>
        <w:spacing w:after="0" w:line="282" w:lineRule="auto"/>
        <w:rPr>
          <w:sz w:val="20"/>
          <w:szCs w:val="20"/>
          <w:color w:val="auto"/>
        </w:rPr>
      </w:pPr>
      <w:r>
        <w:rPr>
          <w:rFonts w:ascii="Arial" w:cs="Arial" w:eastAsia="Arial" w:hAnsi="Arial"/>
          <w:sz w:val="18"/>
          <w:szCs w:val="18"/>
          <w:b w:val="1"/>
          <w:bCs w:val="1"/>
          <w:color w:val="auto"/>
        </w:rPr>
        <w:t>An investment in the notes by a holder whose home currency is not the euro, with respect to the euro notes, or not GBP, with respect to the sterling notes, entails significant risks.</w:t>
      </w:r>
    </w:p>
    <w:p>
      <w:pPr>
        <w:spacing w:after="0" w:line="139"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An investment in the notes by a holder whose home currency is not the euro, with respect to the euro notes, or not GBP, with respect to the sterling notes, entails significant risks. These risks include the possibility of significant changes in rates of exchange between the holder’s functional currency and the euro or GBP, as applicable,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 In recent years, rates of exchange between the euro and GBP, on the one hand, and certain currencies, on the other, have been highly volatile, and each holder should be aware that volatility may be expected to continue in the future. Fluctuations in any particular rate of exchange that have occurred in the past, however, are not necessarily indicative of fluctuations in the rate that may occur during the term of the notes. Depreciation of the euro or GBP, as applicable, against the holder’s functional currency would result in a decrease in the effective yield of the notes below the coupon rate and, in certain circumstances, could result in a loss to the holder.</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permit us to make payments in U.S. dollars if we are unable to obtain euro or GBP.</w:t>
      </w:r>
    </w:p>
    <w:p>
      <w:pPr>
        <w:spacing w:after="0" w:line="18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 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a lawsuit for payment on the notes, holders of the notes may bear currency exchange risk.</w:t>
      </w:r>
    </w:p>
    <w:p>
      <w:pPr>
        <w:spacing w:after="0" w:line="189"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 indenture is, and the notes will be, governed by the laws of the State of New York. A New York state statute presently in effect, but subject to amendment, would require a New York state court hearing such a lawsuit to render its decision or award in euro or GBP, as applicable. The judgment entered on that award, however, will be denominated in U.S. dollars, and converted at the exchange rate prevailing on the date of entry of the judgment. Consequently, in a lawsuit for payment on the notes, holders of such notes would bear currency exchange risk</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until a New York state court judgment is entered, which could be a long time. A Federal court sitting in New York with diversity jurisdiction over a dispute arising in connection with the notes would apply the foregoing New York law.</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or GBP, as applicable, into U.S. dollars would depend upon various factors, including which court renders the judgment and when the judgment is rendered.</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There may be no public trading market for the notes.</w:t>
      </w:r>
    </w:p>
    <w:p>
      <w:pPr>
        <w:spacing w:after="0" w:line="18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in the clearing systems is subject to minimum denomination requirements.</w:t>
      </w:r>
    </w:p>
    <w:p>
      <w:pPr>
        <w:spacing w:after="0" w:line="18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euro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5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 sterling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sterling notes in accordance with the provisions of the relevant global notes, a beneficial owner who does not have the minimum denomination or any integral multiple of £1,000 in excess thereof in its account with their relevant clearing system at the relevant time may not receive all of its entitlement in the form of definitive notes unless and until such time as its holding satisfies the minimum denomination requirement.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 of the notes will receive payments in euro or GBP, as applicable.</w:t>
      </w:r>
    </w:p>
    <w:p>
      <w:pPr>
        <w:spacing w:after="0" w:line="189"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auto"/>
        </w:rPr>
        <w:t>All payments of principal, premium, if any, and interest in respect of the notes will be paid in euro or GBP, as applicable,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or GBP made with respect to such notes into U.S. dollars or any other currency.</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United Kingdom’s impending departure from the European Union could adversely affect the value of the notes.</w:t>
      </w:r>
    </w:p>
    <w:p>
      <w:pPr>
        <w:spacing w:after="0" w:line="202"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On June 23, 2016, the U.K. electorate voted in favor of leaving the EU, commonly referred to as “Brexit.” Thereafter, on March 29, 2017, the country formally notified the European Union of its intention to withdraw</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pursuant to Article 50 of the Lisbon Treaty. The withdrawal of the United Kingdom from the European Union was due to occur on March 29, 2019, but was extended to October 31, 2019 and was then extended a further three months. The United Kingdom left the EU on January 31, 2020 under the terms of the withdrawal agreement, entering into a “transition period” ending December 31, 2020 during which the United Kingdom will essentially be treated as a Member State of the EU and the regulatory regime will remain the same across the United Kingdom and the EU. The withdrawal agreement allows for this “transition period” to be extended by one or two years, but the U.K. government is currently legislating to require the transition period to end on December 31, 2020 without the possibility to extend further. In that scenario, the trading relationship between the United Kingdom and the EU will be governed by whatever agreement the two parties can reach in the course of 2020. On that short timetable the United Kingdom and EU are likely to focus on ensuring tariff-free trade but it is unclear whether there would be any formal regulatory alignment between United Kingdom and EU rules after January 1, 2021. In the unlikely event that the United Kingdom leaves the EU without an agreement, so called “hard Brexit,” the United Kingdom will be completely separated from a regulatory perspective from the EU immediately upon the exit date.</w:t>
      </w:r>
    </w:p>
    <w:p>
      <w:pPr>
        <w:spacing w:after="0" w:line="142"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effects of Brexit will depend on any agreements the United Kingdom makes to retain access to European Union markets either during a transitional period or more permanently. Brexit could adversely affect European and worldwide economic and market conditions and could contribute to instability in global financial and foreign exchange markets, including volatility in the value of the euro and the GBP. In addition, Brexit could lead to legal uncertainty and potentially divergent national laws and regulations as the United Kingdom determines which European Union laws to replace or replicate, including competition laws. Any of these effects of Brexit, and others we cannot anticipate, could negatively impact the value of the notes.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We intend to use the net proceeds from the offering, after deducting underwriters’ discount and expenses, entirely for the refinancing of debt, including Sky’s floating rate notes, which bear interest at a rate equal to 3 month EURIBOR plus 0.75%, due April 1, 2020 (€600 million principal amount outstanding as of the date hereof), NBCUniversal Media, LLC’s 4.375% notes due April 1, 2021 ($2.0 billion principal amount outstanding as of the date hereof) and our 3.45% notes due October 1, 2021 ($2.0 billion principal amount outstanding as of the date hereof).</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24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We are offering €800,000,000 aggregate principal amount of our 0.250% euro notes due 2027, €1,400,000,000 aggregate principal amount of our</w:t>
      </w:r>
    </w:p>
    <w:p>
      <w:pPr>
        <w:spacing w:after="0" w:line="35"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i w:val="1"/>
          <w:iCs w:val="1"/>
          <w:color w:val="auto"/>
        </w:rPr>
        <w:t>0.750% euro notes due 2032, €800,000,000 aggregate principal amount of our 1.250% euro notes due 2040, £600,000,000 aggregate principal amount of our 1.500% sterling notes due 2029 and £800,000,000 aggregate principal amount of our 1.875% sterling notes due 2036. The euro notes due 2027, the euro notes due 2032, the euro notes due 2040, the sterling notes due 2029 and the sterling notes due 2036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Common Code, ISIN and CUSIP numbers. Copies of the indenture and the form of notes are available from us upon request.</w:t>
      </w:r>
    </w:p>
    <w:p>
      <w:pPr>
        <w:spacing w:after="0" w:line="143"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1060" w:right="3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initial aggregate principal amounts of €3,000,000,000 and £1,400,000,000 comprised as follows:</w:t>
      </w:r>
    </w:p>
    <w:p>
      <w:pPr>
        <w:spacing w:after="0" w:line="225" w:lineRule="exact"/>
        <w:rPr>
          <w:rFonts w:ascii="Arial" w:cs="Arial" w:eastAsia="Arial" w:hAnsi="Arial"/>
          <w:sz w:val="18"/>
          <w:szCs w:val="18"/>
          <w:color w:val="auto"/>
        </w:rPr>
      </w:pPr>
    </w:p>
    <w:p>
      <w:pPr>
        <w:ind w:left="1520" w:right="340" w:hanging="438"/>
        <w:spacing w:after="0" w:line="277" w:lineRule="auto"/>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€800,000,000 initial aggregate principal amount of 0.250% euro notes due 2027, maturing on May 20, 2027, with interest payable annually on each May 20, beginning May 20, 2020, to holders of record on the preceding May 5;</w:t>
      </w:r>
    </w:p>
    <w:p>
      <w:pPr>
        <w:spacing w:after="0" w:line="170" w:lineRule="exact"/>
        <w:rPr>
          <w:rFonts w:ascii="Arial" w:cs="Arial" w:eastAsia="Arial" w:hAnsi="Arial"/>
          <w:sz w:val="18"/>
          <w:szCs w:val="18"/>
          <w:color w:val="auto"/>
        </w:rPr>
      </w:pPr>
    </w:p>
    <w:p>
      <w:pPr>
        <w:ind w:left="1520" w:right="480" w:hanging="438"/>
        <w:spacing w:after="0" w:line="342" w:lineRule="auto"/>
        <w:tabs>
          <w:tab w:leader="none" w:pos="1520" w:val="left"/>
        </w:tabs>
        <w:numPr>
          <w:ilvl w:val="1"/>
          <w:numId w:val="7"/>
        </w:numPr>
        <w:rPr>
          <w:rFonts w:ascii="Arial" w:cs="Arial" w:eastAsia="Arial" w:hAnsi="Arial"/>
          <w:sz w:val="16"/>
          <w:szCs w:val="16"/>
          <w:color w:val="auto"/>
        </w:rPr>
      </w:pPr>
      <w:r>
        <w:rPr>
          <w:rFonts w:ascii="Arial" w:cs="Arial" w:eastAsia="Arial" w:hAnsi="Arial"/>
          <w:sz w:val="16"/>
          <w:szCs w:val="16"/>
          <w:color w:val="auto"/>
        </w:rPr>
        <w:t>€1,400,000,000 initial aggregate principal amount of 0.750% euro notes due 2032, maturing on February 20, 2032, with interest payable annually on each February 20, beginning February 20, 2021, to holders of record on the preceding February 5;</w:t>
      </w:r>
    </w:p>
    <w:p>
      <w:pPr>
        <w:spacing w:after="0" w:line="123" w:lineRule="exact"/>
        <w:rPr>
          <w:rFonts w:ascii="Arial" w:cs="Arial" w:eastAsia="Arial" w:hAnsi="Arial"/>
          <w:sz w:val="16"/>
          <w:szCs w:val="16"/>
          <w:color w:val="auto"/>
        </w:rPr>
      </w:pPr>
    </w:p>
    <w:p>
      <w:pPr>
        <w:ind w:left="1520" w:right="20" w:hanging="438"/>
        <w:spacing w:after="0" w:line="308" w:lineRule="auto"/>
        <w:tabs>
          <w:tab w:leader="none" w:pos="1520" w:val="left"/>
        </w:tabs>
        <w:numPr>
          <w:ilvl w:val="1"/>
          <w:numId w:val="7"/>
        </w:numPr>
        <w:rPr>
          <w:rFonts w:ascii="Arial" w:cs="Arial" w:eastAsia="Arial" w:hAnsi="Arial"/>
          <w:sz w:val="17"/>
          <w:szCs w:val="17"/>
          <w:color w:val="auto"/>
        </w:rPr>
      </w:pPr>
      <w:r>
        <w:rPr>
          <w:rFonts w:ascii="Arial" w:cs="Arial" w:eastAsia="Arial" w:hAnsi="Arial"/>
          <w:sz w:val="17"/>
          <w:szCs w:val="17"/>
          <w:color w:val="auto"/>
        </w:rPr>
        <w:t>€800,000,000 initial aggregate principal amount of 1.250% euro notes due 2040, maturing on February 20, 2040, with interest payable annually on each February 20, beginning February 20, 2021, to holders of record on the preceding February 5;</w:t>
      </w:r>
    </w:p>
    <w:p>
      <w:pPr>
        <w:spacing w:after="0" w:line="146" w:lineRule="exact"/>
        <w:rPr>
          <w:rFonts w:ascii="Arial" w:cs="Arial" w:eastAsia="Arial" w:hAnsi="Arial"/>
          <w:sz w:val="17"/>
          <w:szCs w:val="17"/>
          <w:color w:val="auto"/>
        </w:rPr>
      </w:pPr>
    </w:p>
    <w:p>
      <w:pPr>
        <w:ind w:left="1520" w:right="400" w:hanging="438"/>
        <w:spacing w:after="0" w:line="342" w:lineRule="auto"/>
        <w:tabs>
          <w:tab w:leader="none" w:pos="1520" w:val="left"/>
        </w:tabs>
        <w:numPr>
          <w:ilvl w:val="1"/>
          <w:numId w:val="7"/>
        </w:numPr>
        <w:rPr>
          <w:rFonts w:ascii="Arial" w:cs="Arial" w:eastAsia="Arial" w:hAnsi="Arial"/>
          <w:sz w:val="16"/>
          <w:szCs w:val="16"/>
          <w:color w:val="auto"/>
        </w:rPr>
      </w:pPr>
      <w:r>
        <w:rPr>
          <w:rFonts w:ascii="Arial" w:cs="Arial" w:eastAsia="Arial" w:hAnsi="Arial"/>
          <w:sz w:val="16"/>
          <w:szCs w:val="16"/>
          <w:color w:val="auto"/>
        </w:rPr>
        <w:t>£600,000,000 initial aggregate principal amount of 1.500% sterling notes due 2029, maturing on February 20, 2029, with interest payable annually on each February 20, beginning February 20, 2021, to holders of record on the preceding February 5;</w:t>
      </w:r>
    </w:p>
    <w:p>
      <w:pPr>
        <w:spacing w:after="0" w:line="123" w:lineRule="exact"/>
        <w:rPr>
          <w:rFonts w:ascii="Arial" w:cs="Arial" w:eastAsia="Arial" w:hAnsi="Arial"/>
          <w:sz w:val="16"/>
          <w:szCs w:val="16"/>
          <w:color w:val="auto"/>
        </w:rPr>
      </w:pPr>
    </w:p>
    <w:p>
      <w:pPr>
        <w:ind w:left="1520" w:right="400" w:hanging="438"/>
        <w:spacing w:after="0" w:line="342" w:lineRule="auto"/>
        <w:tabs>
          <w:tab w:leader="none" w:pos="1520" w:val="left"/>
        </w:tabs>
        <w:numPr>
          <w:ilvl w:val="1"/>
          <w:numId w:val="7"/>
        </w:numPr>
        <w:rPr>
          <w:rFonts w:ascii="Arial" w:cs="Arial" w:eastAsia="Arial" w:hAnsi="Arial"/>
          <w:sz w:val="16"/>
          <w:szCs w:val="16"/>
          <w:color w:val="auto"/>
        </w:rPr>
      </w:pPr>
      <w:r>
        <w:rPr>
          <w:rFonts w:ascii="Arial" w:cs="Arial" w:eastAsia="Arial" w:hAnsi="Arial"/>
          <w:sz w:val="16"/>
          <w:szCs w:val="16"/>
          <w:color w:val="auto"/>
        </w:rPr>
        <w:t>£800,000,000 initial aggregate principal amount of 1.875% sterling notes due 2036, maturing on February 20, 2036, with interest payable annually on each February 20, beginning February 20, 2021, to holders of record on the preceding February 5; and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4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€100,000 and in multiples of €1,000 in excess thereof and in denominations of £100,000 and in multiples of £1,000 in excess thereof for the euro notes and sterling notes, respectively.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Interest on the notes will be computed on the basis of the actual number of days in the period for which interest is being calculated and the actual number of days from and including the last date to which interest was paid on the notes (or February 20, 2020 if no interest has been paid on the notes), to but excluding the next scheduled interest payment date. This payment convention is referred to as ACTUAL/ACTUAL (ICMA) as defined in the rulebook of the International Capital Market Association.</w:t>
      </w:r>
    </w:p>
    <w:p>
      <w:pPr>
        <w:spacing w:after="0" w:line="146"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54"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TARGET2 system) or any successor thereto is open.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 Notes—Issuance in Euro; Sterling Notes—Issuance in GBP</w:t>
      </w:r>
    </w:p>
    <w:p>
      <w:pPr>
        <w:spacing w:after="0" w:line="202"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Principal, premium, if any, and interest payments in respect of the euro notes will be payable in euro. If euro is unavailable to us due to the imposition of exchange controls or other circumstances beyond our control, then all payments in respect of the euro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32"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Principal, premium, if any, and interest payments in respect of the sterling notes will be payable in GBP. If GBP is unavailable to us due to the imposition of exchange controls or other circumstances beyond our control, then all payments in respect of the sterling notes will be made in U.S. dollars until GBP is again available to us.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18"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auto"/>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27" w:lineRule="exact"/>
        <w:rPr>
          <w:sz w:val="20"/>
          <w:szCs w:val="20"/>
          <w:color w:val="auto"/>
        </w:rPr>
      </w:pPr>
    </w:p>
    <w:p>
      <w:pPr>
        <w:jc w:val="both"/>
        <w:ind w:left="200" w:right="40"/>
        <w:spacing w:after="0" w:line="277" w:lineRule="auto"/>
        <w:rPr>
          <w:sz w:val="20"/>
          <w:szCs w:val="20"/>
          <w:color w:val="auto"/>
        </w:rPr>
      </w:pPr>
      <w:r>
        <w:rPr>
          <w:rFonts w:ascii="Arial" w:cs="Arial" w:eastAsia="Arial" w:hAnsi="Arial"/>
          <w:sz w:val="18"/>
          <w:szCs w:val="18"/>
          <w:color w:val="auto"/>
        </w:rPr>
        <w:t>“Market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30" w:lineRule="exact"/>
        <w:rPr>
          <w:sz w:val="20"/>
          <w:szCs w:val="20"/>
          <w:color w:val="auto"/>
        </w:rPr>
      </w:pPr>
    </w:p>
    <w:p>
      <w:pPr>
        <w:ind w:left="200" w:right="720"/>
        <w:spacing w:after="0" w:line="342" w:lineRule="auto"/>
        <w:rPr>
          <w:sz w:val="20"/>
          <w:szCs w:val="20"/>
          <w:color w:val="auto"/>
        </w:rPr>
      </w:pPr>
      <w:r>
        <w:rPr>
          <w:rFonts w:ascii="Arial" w:cs="Arial" w:eastAsia="Arial" w:hAnsi="Arial"/>
          <w:sz w:val="16"/>
          <w:szCs w:val="16"/>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As of February 5, 2020, the euro/USD rate of exchange was €1.00/U.S.$1.0999, and the GBP/USD rate of exchange was £1.00/U.S.$1.3002, each as reported by Bloomberg L.P.</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20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202"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“Redemption Price” means:</w:t>
      </w:r>
    </w:p>
    <w:p>
      <w:pPr>
        <w:spacing w:after="0" w:line="225" w:lineRule="exact"/>
        <w:rPr>
          <w:sz w:val="20"/>
          <w:szCs w:val="20"/>
          <w:color w:val="auto"/>
        </w:rPr>
      </w:pPr>
    </w:p>
    <w:p>
      <w:pPr>
        <w:ind w:left="1060" w:right="40" w:hanging="424"/>
        <w:spacing w:after="0" w:line="293"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the euro notes due 2027, at any time prior to March 20, 2027 (two months prior to the maturity of the euro notes due 2027)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comparable government bond rate plus 15 basis points; provided that, if the euro notes due 2027 are redeemed on or after the 2027 Par Call Date, the Redemption Price will equal 100% of the principal amount of such notes;</w:t>
      </w:r>
    </w:p>
    <w:p>
      <w:pPr>
        <w:spacing w:after="0" w:line="164" w:lineRule="exact"/>
        <w:rPr>
          <w:rFonts w:ascii="Arial" w:cs="Arial" w:eastAsia="Arial" w:hAnsi="Arial"/>
          <w:sz w:val="16"/>
          <w:szCs w:val="16"/>
          <w:color w:val="auto"/>
        </w:rPr>
      </w:pPr>
    </w:p>
    <w:p>
      <w:pPr>
        <w:ind w:left="1060" w:right="40" w:hanging="424"/>
        <w:spacing w:after="0" w:line="293"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the euro notes due 2032, at any time prior to November 20, 2031 (three months prior to the maturity of the euro notes due 2032)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 actual (ACTUAL/ACTUAL (ICMA)) basis at a rate equal to the applicable comparable government bond rate plus 20 basis points; provided that, if the euro notes due 2032 are redeemed on or after the 2032 Par Call Date, the Redemption Price will equal 100% of the principal amount of such notes;</w:t>
      </w:r>
    </w:p>
    <w:p>
      <w:pPr>
        <w:spacing w:after="0" w:line="164" w:lineRule="exact"/>
        <w:rPr>
          <w:rFonts w:ascii="Arial" w:cs="Arial" w:eastAsia="Arial" w:hAnsi="Arial"/>
          <w:sz w:val="16"/>
          <w:szCs w:val="16"/>
          <w:color w:val="auto"/>
        </w:rPr>
      </w:pPr>
    </w:p>
    <w:p>
      <w:pPr>
        <w:ind w:left="1060" w:right="40" w:hanging="424"/>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the euro notes due 2040, at any time prior to August 20, 2039 (six months prior to the maturity of the euro notes due 2040) (the “2040 Par Call Date”), the greater of (i) 100% of the principal amount of such notes and (ii) the sum of the present values of the principal amount of such notes and the scheduled payments of interest thereon (exclusive of interest accrued to the date of redemption) from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redemption date to the 2040 Par Call Date, in each case discounted to the redemption date on an actual (ACTUAL/ACTUAL (ICMA)) basis at a rate equal to the applicable comparable government bond rate plus 25 basis points; provided that, if the euro notes due 2040 are redeemed on or after the 2040 Par Call Date, the Redemption Price will equal 100% of the principal amount of such notes;</w:t>
      </w:r>
    </w:p>
    <w:p>
      <w:pPr>
        <w:spacing w:after="0" w:line="71" w:lineRule="exact"/>
        <w:rPr>
          <w:sz w:val="20"/>
          <w:szCs w:val="20"/>
          <w:color w:val="auto"/>
        </w:rPr>
      </w:pPr>
    </w:p>
    <w:p>
      <w:pPr>
        <w:ind w:left="1060" w:hanging="424"/>
        <w:spacing w:after="0" w:line="293"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the sterling notes due 2029, at any time prior to November 20, 2028 (three months prior to the maturity of the sterling notes due 2029)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sterling notes due 2029 are redeemed on or after the 2029 Par Call Date, the Redemption Price will equal 100% of the principal amount of such notes; and</w:t>
      </w:r>
    </w:p>
    <w:p>
      <w:pPr>
        <w:spacing w:after="0" w:line="164" w:lineRule="exact"/>
        <w:rPr>
          <w:rFonts w:ascii="Arial" w:cs="Arial" w:eastAsia="Arial" w:hAnsi="Arial"/>
          <w:sz w:val="16"/>
          <w:szCs w:val="16"/>
          <w:color w:val="auto"/>
        </w:rPr>
      </w:pPr>
    </w:p>
    <w:p>
      <w:pPr>
        <w:ind w:left="1060" w:hanging="424"/>
        <w:spacing w:after="0" w:line="293"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the sterling notes due 2036, at any time prior to November 20, 2035 (three months prior to the maturity of the sterling notes due 2036) (the “2036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sterling notes due 2036 are redeemed on or after the 2036 Par Call Date, the Redemption Price will equal 100% of the principal amount of such notes;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85"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32"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60"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The term “independent investment banker”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See also “—Book-Entry System” below. Additionally, we may at any time repurchase notes in the open market and may hold or surrender such notes to the trustee for cancellation.</w:t>
      </w:r>
    </w:p>
    <w:p>
      <w:pPr>
        <w:spacing w:after="0" w:line="15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w:t>
      </w:r>
      <w:r>
        <w:rPr>
          <w:rFonts w:ascii="Arial" w:cs="Arial" w:eastAsia="Arial" w:hAnsi="Arial"/>
          <w:sz w:val="18"/>
          <w:szCs w:val="18"/>
          <w:b w:val="1"/>
          <w:bCs w:val="1"/>
          <w:color w:val="auto"/>
        </w:rPr>
        <w:t>—</w:t>
      </w:r>
      <w:r>
        <w:rPr>
          <w:rFonts w:ascii="Arial" w:cs="Arial" w:eastAsia="Arial" w:hAnsi="Arial"/>
          <w:sz w:val="18"/>
          <w:szCs w:val="18"/>
          <w:color w:val="auto"/>
        </w:rPr>
        <w:t>Redemption for Tax Reasons.”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Additional Amounts</w:t>
      </w:r>
    </w:p>
    <w:p>
      <w:pPr>
        <w:spacing w:after="0" w:line="189"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73" w:lineRule="exact"/>
        <w:rPr>
          <w:sz w:val="20"/>
          <w:szCs w:val="20"/>
          <w:color w:val="auto"/>
        </w:rPr>
      </w:pPr>
    </w:p>
    <w:p>
      <w:pPr>
        <w:ind w:left="1060" w:right="240" w:hanging="424"/>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86" w:lineRule="exact"/>
        <w:rPr>
          <w:rFonts w:ascii="Arial" w:cs="Arial" w:eastAsia="Arial" w:hAnsi="Arial"/>
          <w:sz w:val="18"/>
          <w:szCs w:val="18"/>
          <w:color w:val="auto"/>
        </w:rPr>
      </w:pPr>
    </w:p>
    <w:p>
      <w:pPr>
        <w:ind w:left="1620" w:right="220" w:hanging="43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ind w:left="1620" w:right="200" w:hanging="430"/>
        <w:spacing w:after="0" w:line="264"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81" w:lineRule="exact"/>
        <w:rPr>
          <w:rFonts w:ascii="Arial" w:cs="Arial" w:eastAsia="Arial" w:hAnsi="Arial"/>
          <w:sz w:val="18"/>
          <w:szCs w:val="18"/>
          <w:color w:val="auto"/>
        </w:rPr>
      </w:pPr>
    </w:p>
    <w:p>
      <w:pPr>
        <w:jc w:val="both"/>
        <w:ind w:left="1620" w:hanging="430"/>
        <w:spacing w:after="0" w:line="264"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81" w:lineRule="exact"/>
        <w:rPr>
          <w:rFonts w:ascii="Arial" w:cs="Arial" w:eastAsia="Arial" w:hAnsi="Arial"/>
          <w:sz w:val="18"/>
          <w:szCs w:val="18"/>
          <w:color w:val="auto"/>
        </w:rPr>
      </w:pPr>
    </w:p>
    <w:p>
      <w:pPr>
        <w:ind w:left="1620" w:right="360" w:hanging="43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being or having been a “10-percent shareholder” of the Issuer or applicable guarantor as defined in section 871(h)(3) of the U.S. Internal Revenue Code of 1986, as amended (the “Code”), or any successor provision; or</w:t>
      </w:r>
    </w:p>
    <w:p>
      <w:pPr>
        <w:spacing w:after="0" w:line="170" w:lineRule="exact"/>
        <w:rPr>
          <w:rFonts w:ascii="Arial" w:cs="Arial" w:eastAsia="Arial" w:hAnsi="Arial"/>
          <w:sz w:val="18"/>
          <w:szCs w:val="18"/>
          <w:color w:val="auto"/>
        </w:rPr>
      </w:pPr>
    </w:p>
    <w:p>
      <w:pPr>
        <w:ind w:left="1620" w:right="120" w:hanging="43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Arial" w:cs="Arial" w:eastAsia="Arial" w:hAnsi="Arial"/>
          <w:sz w:val="18"/>
          <w:szCs w:val="18"/>
          <w:color w:val="auto"/>
        </w:rPr>
      </w:pPr>
    </w:p>
    <w:p>
      <w:pPr>
        <w:ind w:left="1060" w:right="100" w:hanging="424"/>
        <w:spacing w:after="0" w:line="31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0"/>
        <w:spacing w:after="0" w:line="277" w:lineRule="auto"/>
        <w:rPr>
          <w:sz w:val="20"/>
          <w:szCs w:val="20"/>
          <w:color w:val="auto"/>
        </w:rPr>
      </w:pPr>
      <w:r>
        <w:rPr>
          <w:rFonts w:ascii="Arial" w:cs="Arial" w:eastAsia="Arial" w:hAnsi="Arial"/>
          <w:sz w:val="18"/>
          <w:szCs w:val="18"/>
          <w:color w:val="auto"/>
        </w:rPr>
        <w:t>transparent entity, would not have been entitled to the payment of an additional amount had the beneficiary, settlor, beneficial owner or member received directly its beneficial or distributive share of the payment;</w:t>
      </w:r>
    </w:p>
    <w:p>
      <w:pPr>
        <w:spacing w:after="0" w:line="170" w:lineRule="exact"/>
        <w:rPr>
          <w:sz w:val="20"/>
          <w:szCs w:val="20"/>
          <w:color w:val="auto"/>
        </w:rPr>
      </w:pPr>
    </w:p>
    <w:p>
      <w:pPr>
        <w:ind w:left="1060" w:right="100" w:hanging="424"/>
        <w:spacing w:after="0" w:line="276"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77"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an applicable withholding agent from the payment;</w:t>
      </w:r>
    </w:p>
    <w:p>
      <w:pPr>
        <w:spacing w:after="0" w:line="170" w:lineRule="exact"/>
        <w:rPr>
          <w:rFonts w:ascii="Arial" w:cs="Arial" w:eastAsia="Arial" w:hAnsi="Arial"/>
          <w:sz w:val="18"/>
          <w:szCs w:val="18"/>
          <w:color w:val="auto"/>
        </w:rPr>
      </w:pPr>
    </w:p>
    <w:p>
      <w:pPr>
        <w:jc w:val="both"/>
        <w:ind w:left="1060" w:right="40" w:hanging="424"/>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1"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170" w:lineRule="exact"/>
        <w:rPr>
          <w:rFonts w:ascii="Arial" w:cs="Arial" w:eastAsia="Arial" w:hAnsi="Arial"/>
          <w:sz w:val="18"/>
          <w:szCs w:val="18"/>
          <w:color w:val="auto"/>
        </w:rPr>
      </w:pPr>
    </w:p>
    <w:p>
      <w:pPr>
        <w:ind w:left="1060" w:right="520" w:hanging="424"/>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46" w:lineRule="exact"/>
        <w:rPr>
          <w:rFonts w:ascii="Arial" w:cs="Arial" w:eastAsia="Arial" w:hAnsi="Arial"/>
          <w:sz w:val="17"/>
          <w:szCs w:val="17"/>
          <w:color w:val="auto"/>
        </w:rPr>
      </w:pPr>
    </w:p>
    <w:p>
      <w:pPr>
        <w:ind w:left="1060" w:right="60" w:hanging="424"/>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1"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that is imposed or withheld solely by reason of the beneficial owner being a bank</w:t>
      </w:r>
    </w:p>
    <w:p>
      <w:pPr>
        <w:spacing w:after="0" w:line="34" w:lineRule="exact"/>
        <w:rPr>
          <w:rFonts w:ascii="Arial" w:cs="Arial" w:eastAsia="Arial" w:hAnsi="Arial"/>
          <w:sz w:val="17"/>
          <w:szCs w:val="17"/>
          <w:color w:val="auto"/>
        </w:rPr>
      </w:pPr>
    </w:p>
    <w:p>
      <w:pPr>
        <w:ind w:left="1060" w:right="20"/>
        <w:spacing w:after="0" w:line="290" w:lineRule="auto"/>
        <w:rPr>
          <w:rFonts w:ascii="Arial" w:cs="Arial" w:eastAsia="Arial" w:hAnsi="Arial"/>
          <w:sz w:val="17"/>
          <w:szCs w:val="17"/>
          <w:color w:val="auto"/>
        </w:rPr>
      </w:pPr>
      <w:r>
        <w:rPr>
          <w:rFonts w:ascii="Arial" w:cs="Arial" w:eastAsia="Arial" w:hAnsi="Arial"/>
          <w:sz w:val="17"/>
          <w:szCs w:val="17"/>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161" w:lineRule="exact"/>
        <w:rPr>
          <w:rFonts w:ascii="Arial" w:cs="Arial" w:eastAsia="Arial" w:hAnsi="Arial"/>
          <w:sz w:val="17"/>
          <w:szCs w:val="17"/>
          <w:color w:val="auto"/>
        </w:rPr>
      </w:pPr>
    </w:p>
    <w:p>
      <w:pPr>
        <w:ind w:left="1060" w:hanging="424"/>
        <w:spacing w:after="0" w:line="25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88"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(10) above.</w:t>
      </w:r>
    </w:p>
    <w:p>
      <w:pPr>
        <w:spacing w:after="0" w:line="19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46"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2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for Tax Reasons</w:t>
      </w:r>
    </w:p>
    <w:p>
      <w:pPr>
        <w:spacing w:after="0" w:line="189"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Debt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System</w:t>
      </w:r>
    </w:p>
    <w:p>
      <w:pPr>
        <w:spacing w:after="0" w:line="18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6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The notes will initially be represented by one or more fully registered global notes. Each such global note will be deposited with, or on behalf of, a common depositary, and registered in the name of the nominee of the common depositary for the accounts of Clearstream and Euroclear.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24"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or GBP, as applicable, except as described above under “—Euro Notes— Issuance in Euro; Sterling Notes— Issuance in GBP.”</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w:t>
      </w:r>
    </w:p>
    <w:p>
      <w:pPr>
        <w:spacing w:after="0" w:line="15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4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Euroclear and Clearstream and, if such person is not a participant, on the procedures of the participant through which such person owns its interest, in order to exercise any rights of a holder of notes.</w:t>
      </w:r>
    </w:p>
    <w:p>
      <w:pPr>
        <w:spacing w:after="0" w:line="13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Clearstream</w:t>
      </w:r>
    </w:p>
    <w:p>
      <w:pPr>
        <w:spacing w:after="0" w:line="18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w:t>
      </w:r>
      <w:r>
        <w:rPr>
          <w:rFonts w:ascii="Arial" w:cs="Arial" w:eastAsia="Arial" w:hAnsi="Arial"/>
          <w:sz w:val="17"/>
          <w:szCs w:val="17"/>
          <w:i w:val="1"/>
          <w:iCs w:val="1"/>
          <w:color w:val="auto"/>
        </w:rPr>
        <w:t>Commission de Surveillance du Secteur Financier</w:t>
      </w:r>
      <w:r>
        <w:rPr>
          <w:rFonts w:ascii="Arial" w:cs="Arial" w:eastAsia="Arial" w:hAnsi="Arial"/>
          <w:sz w:val="17"/>
          <w:szCs w:val="17"/>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3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Euroclear</w:t>
      </w:r>
    </w:p>
    <w:p>
      <w:pPr>
        <w:spacing w:after="0" w:line="185"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risk from lack of simultaneous transfers of securities and cash. Euroclear provides various other services, including securities lending and borrowing and interfaces with domestic markets in several countries.</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88"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38"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9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46"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54"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46"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or Euroclear Participant only in accordance with its relevant rules and procedures.</w:t>
      </w:r>
    </w:p>
    <w:p>
      <w:pPr>
        <w:spacing w:after="0" w:line="146"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9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54"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paying agent for the notes will initially be The Bank of New York Mellon, London Branch.</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0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1060" w:right="220" w:hanging="424"/>
        <w:spacing w:after="0" w:line="28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165" w:lineRule="exact"/>
        <w:rPr>
          <w:rFonts w:ascii="Arial" w:cs="Arial" w:eastAsia="Arial" w:hAnsi="Arial"/>
          <w:sz w:val="17"/>
          <w:szCs w:val="17"/>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8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dealers or traders in securities or foreign currencies using a mark-to-market method of tax accounting;</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Code.</w:t>
      </w:r>
    </w:p>
    <w:p>
      <w:pPr>
        <w:spacing w:after="0" w:line="13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for U.S. Holders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225"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of Interest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Interest paid on a note will be taxable to a U.S. Holder as ordinary interest income at the time it accrues or is received in accordance with the 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Holder’s method of accounting for U.S. federal income tax purposes.</w:t>
      </w:r>
    </w:p>
    <w:p>
      <w:pPr>
        <w:spacing w:after="0" w:line="17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A U.S. Holder that uses the cash method of accounting and that receives a payment of interest (or receives proceeds from a sale, exchange or other disposition attributable to accrued interest) in Euro or GBP will be required to include in income the U.S. dollar value of the euro or GBP payment (determined based on the respective spot rate on the date the payment is received), and this U.S. dollar value will be the U.S. Holder’s tax basis in the euro or GBP received.</w:t>
      </w:r>
    </w:p>
    <w:p>
      <w:pPr>
        <w:spacing w:after="0" w:line="16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3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or GBP payment received (determined based on the respective spot rate on the date the payment is received) in respect of the accrual period and the U.S. dollar value of interest income that has accrued during the accrual period (as determined above). The U.S. Holder’s tax basis in the euro or GBP received will generally be equal to its U.S. dollar value based on the respective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or Retirement of the Notes</w:t>
      </w:r>
    </w:p>
    <w:p>
      <w:pPr>
        <w:spacing w:after="0" w:line="202"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 U.S. Holder’s tax basis in a note will generally be the U.S. dollar value of the euro or GBP amount paid for the note, determined on the date of the purchase. A U.S. Holder who purchases a note with previously owned euro or GBP will generally recognize ordinary income or loss in an amount equal to the difference, if any, between such U.S. Holder’s tax basis in the euro or GBP and the U.S. dollar value of the note on the date of purchase. If the notes are traded on an established securities market (as determined under applicable regulations), a cash method taxpayer who buys a note will have a tax basis in the note equal to the U.S. dollar value of the euro or GBP amount paid for the note, determined on the settlement date, and such a taxpayer will recognize ordinary income or loss on any previously owned euro or GBP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or GBP, a U.S. Holder’s amount realized generally will be equal to the U.S. dollar value of the euro or GBP received in the sale, exchange or other taxable disposition calculated at the spot rate in effect on the date of the disposition. If the notes are traded on an established securities market (as determined under applicable regulations), a cash method taxpayer who buys or sells a note is required to translate units of euro or GBP paid or received into U.S. dollars at the spot rate on the settlement date of the purchase or sale and an accrual method taxpayer may elect the same treatment for all purchases and sales of notes. This election by accrual method taxpayers cannot be changed without the consent of the IRS. Except to the extent of foreign currency gain or loss (as described below), gain or loss recognized on the sale, exchange or retirement of a note will generally be capital gain or loss and will be long-term capital gain or loss if at the time of the sale, exchange or retirement the note has been held by the U.S. Holder for more than one year. The deductibility of capital losses is subject to limitations under the Code.</w:t>
      </w:r>
    </w:p>
    <w:p>
      <w:pPr>
        <w:spacing w:after="0" w:line="15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 U.S. Holder may recognize foreign currency gain or loss upon the sale, exchange or other taxable disposition of a note as a result of fluctuations in the euro-U.S. or GBP-U.S. dollar exchange rate. Gain or loss attributable to such fluctuations will be equal to the difference between (i) the U.S. dollar value of the U.S. Holder’s purchase price in euro or GBP of the note, determined using the spot rate on the date the note is disposed of, and (ii) the U.S. dollar value of the U.S. Holder’s purchase price in euro or GBP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39" w:lineRule="exact"/>
        <w:rPr>
          <w:sz w:val="20"/>
          <w:szCs w:val="20"/>
          <w:color w:val="auto"/>
        </w:rPr>
      </w:pPr>
    </w:p>
    <w:p>
      <w:pPr>
        <w:jc w:val="both"/>
        <w:ind w:left="200" w:right="380"/>
        <w:spacing w:after="0" w:line="312" w:lineRule="auto"/>
        <w:rPr>
          <w:sz w:val="20"/>
          <w:szCs w:val="20"/>
          <w:color w:val="auto"/>
        </w:rPr>
      </w:pPr>
      <w:r>
        <w:rPr>
          <w:rFonts w:ascii="Arial" w:cs="Arial" w:eastAsia="Arial" w:hAnsi="Arial"/>
          <w:sz w:val="16"/>
          <w:szCs w:val="16"/>
          <w:color w:val="auto"/>
        </w:rPr>
        <w:t>A U.S. Holder will have a tax basis in any euro or GBP received on the sale, exchange or other taxable disposition of a note equal to the U.S. dollar value of the euro or GBP, determined on the date of receipt of the euro or GBP. Any gain or loss realized by a U.S. Holder on a sale or other taxable disposition of euro or GBP (including its exchange for U.S. dollars) will generally be treated as U.S. source ordinary income or loss.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9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for Non-U.S. Holders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“Non-U.S. Holder” does not include a beneficial owner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a Note</w:t>
      </w:r>
    </w:p>
    <w:p>
      <w:pPr>
        <w:spacing w:after="0" w:line="20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181" w:lineRule="exact"/>
        <w:rPr>
          <w:sz w:val="20"/>
          <w:szCs w:val="20"/>
          <w:color w:val="auto"/>
        </w:rPr>
      </w:pPr>
    </w:p>
    <w:p>
      <w:pPr>
        <w:ind w:left="10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8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3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IRS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Non-U.S. Holder of a trade or business in the United States.</w:t>
      </w:r>
    </w:p>
    <w:p>
      <w:pPr>
        <w:spacing w:after="0" w:line="14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89"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70"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The U.S. Treasury Department recently released proposed regulations which, if finalized in their present form, would eliminate FATCA withholding on the gross proceeds of a sale, exchange, redemption or other disposition of a note. In the preamble to the proposed regulations, the U.S. Treasury Department indicated that taxpayers may rely on the proposed regulations until final regulations are issued.</w:t>
      </w:r>
    </w:p>
    <w:p>
      <w:pPr>
        <w:spacing w:after="0" w:line="12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3"/>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Euro Notes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Euro Notes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Euro 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Sterling Notes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Sterling Notes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Due 2027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Due 2032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Due 2040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Due 2029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Due 2036</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7"/>
              </w:rPr>
              <w:t>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2"/>
              </w:rPr>
              <w:t>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7"/>
              </w:rPr>
              <w:t>To Be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7"/>
              </w:rPr>
              <w:t>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 Be</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BNP Paribas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Citigroup Global Markets Limited</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plc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Barclays Bank PLC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Deutsche Bank AG, London Branch</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RBC Europe Limited</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Banco Santander, S.A.</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Commerzbank Aktiengesellschaft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(Europe) Limited</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Merrill Lynch International</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Mizuho International plc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International plc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SMBC Nikko Capital Markets Limited</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The Toronto-Dominion Bank</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ICBC Standard Bank Plc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Société Générale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Academy Securities, Inc.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ING Bank N.V. Belgian Branch</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Bancroft Capital</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CastleOak Securities, L.P.</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Drexel Hamilton, LLC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Samuel A. Ramirez &amp; Company, Inc.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800,000,000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0"/>
              </w:rPr>
              <w:t>1,400,000,000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800,000,000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600,000,000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800,000,000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S-25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54"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3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February 20, 2020, which is the tenth business day following the date hereof (such settlement cycle being referred to as “T+10”).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T+10, to specify an alternative settlement cycle at the time of any such trade to prevent failed settlement and should consult their own advisors.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8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underwriters have advised us that they propose initially to offer the euro notes to the public at the public offering price on the cover page of this prospectus supplement, and to dealers at that price less a concession not in excess of 0.200%, 0.225% and 0.325% of the principal amount of the euro notes due 2027, the euro notes due 2032 and the euro notes due 2040, respectively. The underwriters may allow, and the dealers may reallow, a discount not in excess of 0.125%, 0.135% and 0.200% of the principal amount of the euro notes due 2027, the euro notes due 2032 and the euro notes due 2040, respectively, to other dealers. After the initial public offering, the public offering prices, concessions and discounts may be changed.</w:t>
      </w:r>
    </w:p>
    <w:p>
      <w:pPr>
        <w:spacing w:after="0" w:line="11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underwriters have advised us that they propose initially to offer the sterling notes to the public at the public offering price on the cover page of this prospectus supplement, and to dealers at that price less a concession not in excess of 0.233% and 0.300% of the principal amount of the sterling notes due 2029 and the sterling notes due 2036, respectively. The underwriters may allow, and the dealers may reallow, a discount not in excess of 0.140% and 0.175% of the principal amount of the sterling notes due 2029 and the sterling notes due 2036, respectively, to other dealers. After the initial public offering, the public offering prices, concessions and discounts may be changed.</w:t>
      </w:r>
    </w:p>
    <w:p>
      <w:pPr>
        <w:spacing w:after="0" w:line="161" w:lineRule="exact"/>
        <w:rPr>
          <w:sz w:val="20"/>
          <w:szCs w:val="20"/>
          <w:color w:val="auto"/>
        </w:rPr>
      </w:pPr>
    </w:p>
    <w:p>
      <w:pPr>
        <w:ind w:left="200" w:right="1120"/>
        <w:spacing w:after="0" w:line="454" w:lineRule="auto"/>
        <w:rPr>
          <w:sz w:val="20"/>
          <w:szCs w:val="20"/>
          <w:color w:val="auto"/>
        </w:rPr>
      </w:pPr>
      <w:r>
        <w:rPr>
          <w:rFonts w:ascii="Arial" w:cs="Arial" w:eastAsia="Arial" w:hAnsi="Arial"/>
          <w:sz w:val="18"/>
          <w:szCs w:val="18"/>
          <w:color w:val="auto"/>
        </w:rPr>
        <w:t xml:space="preserve">The expenses of the offering, not including the underwriting discount, are estimated to be $1,850,000 for the notes and are payable by us. </w:t>
      </w:r>
      <w:r>
        <w:rPr>
          <w:rFonts w:ascii="Arial" w:cs="Arial" w:eastAsia="Arial" w:hAnsi="Arial"/>
          <w:sz w:val="18"/>
          <w:szCs w:val="18"/>
          <w:b w:val="1"/>
          <w:bCs w:val="1"/>
          <w:color w:val="auto"/>
        </w:rPr>
        <w:t>New Issue of Notes</w:t>
      </w:r>
    </w:p>
    <w:p>
      <w:pPr>
        <w:ind w:left="200" w:right="80"/>
        <w:spacing w:after="0" w:line="297" w:lineRule="auto"/>
        <w:rPr>
          <w:sz w:val="20"/>
          <w:szCs w:val="20"/>
          <w:color w:val="auto"/>
        </w:rPr>
      </w:pPr>
      <w:r>
        <w:rPr>
          <w:rFonts w:ascii="Arial" w:cs="Arial" w:eastAsia="Arial" w:hAnsi="Arial"/>
          <w:sz w:val="16"/>
          <w:szCs w:val="16"/>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02"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37"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202"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14"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or their affiliates may be holders of Sky’s floating rate notes, which bear interest at a rate equal to 3 month EURIBOR plus 0.75%, due April 1, 2020 and may therefore receive a portion of the proceeds of this offering.</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8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39"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it has complied with and will comply with all applicable provisions of the FSMA with respect to anything done by it in relation to the notes in, from or otherwise involving the United Kingdom.</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notes may not be offered or sold by means of any document other than to persons whose ordinary business is to buy or sell shares or debentures, whether as principal or agent, or in circumstances that do not constitute 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Korea</w:t>
      </w:r>
    </w:p>
    <w:p>
      <w:pPr>
        <w:spacing w:after="0" w:line="19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160" w:lineRule="exact"/>
        <w:rPr>
          <w:sz w:val="20"/>
          <w:szCs w:val="20"/>
          <w:color w:val="auto"/>
        </w:rPr>
      </w:pPr>
    </w:p>
    <w:p>
      <w:pPr>
        <w:ind w:left="600" w:hanging="39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84" w:lineRule="exact"/>
        <w:rPr>
          <w:rFonts w:ascii="Arial" w:cs="Arial" w:eastAsia="Arial" w:hAnsi="Arial"/>
          <w:sz w:val="18"/>
          <w:szCs w:val="18"/>
          <w:color w:val="auto"/>
        </w:rPr>
      </w:pPr>
    </w:p>
    <w:p>
      <w:pPr>
        <w:ind w:left="560" w:hanging="356"/>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(ii)  to a relevant person, or any person pursuant to Section 257(1A), and in accordance with the conditions, specified in Section 275 of the SFA;</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70" w:lineRule="exact"/>
        <w:rPr>
          <w:rFonts w:ascii="Arial" w:cs="Arial" w:eastAsia="Arial" w:hAnsi="Arial"/>
          <w:sz w:val="16"/>
          <w:szCs w:val="16"/>
          <w:color w:val="auto"/>
        </w:rPr>
      </w:pPr>
    </w:p>
    <w:p>
      <w:pPr>
        <w:ind w:left="660" w:hanging="45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85" w:lineRule="exact"/>
        <w:rPr>
          <w:sz w:val="20"/>
          <w:szCs w:val="20"/>
          <w:color w:val="auto"/>
        </w:rPr>
      </w:pPr>
    </w:p>
    <w:p>
      <w:pPr>
        <w:ind w:left="200" w:right="120" w:firstLine="4"/>
        <w:spacing w:after="0" w:line="277" w:lineRule="auto"/>
        <w:tabs>
          <w:tab w:leader="none" w:pos="5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jc w:val="both"/>
        <w:ind w:left="200" w:right="60" w:firstLine="4"/>
        <w:spacing w:after="0" w:line="264"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interest (howsoever described) in that trust shall not be transferred within six months after that corporation or that trust has acquired the notes pursuant to an offer made under Section 275 of the SFA except:</w:t>
      </w:r>
    </w:p>
    <w:p>
      <w:pPr>
        <w:spacing w:after="0" w:line="143" w:lineRule="exact"/>
        <w:rPr>
          <w:sz w:val="20"/>
          <w:szCs w:val="20"/>
          <w:color w:val="auto"/>
        </w:rPr>
      </w:pPr>
    </w:p>
    <w:p>
      <w:pPr>
        <w:ind w:left="200" w:right="140" w:firstLine="4"/>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9" w:lineRule="exact"/>
        <w:rPr>
          <w:rFonts w:ascii="Arial" w:cs="Arial" w:eastAsia="Arial" w:hAnsi="Arial"/>
          <w:sz w:val="18"/>
          <w:szCs w:val="18"/>
          <w:color w:val="auto"/>
        </w:rPr>
      </w:pPr>
    </w:p>
    <w:p>
      <w:pPr>
        <w:ind w:left="600" w:hanging="39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80" w:hanging="376"/>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600" w:hanging="39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580" w:hanging="376"/>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6"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 (1)(c)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98"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25" w:lineRule="exact"/>
        <w:rPr>
          <w:sz w:val="20"/>
          <w:szCs w:val="20"/>
          <w:color w:val="auto"/>
        </w:rPr>
      </w:pPr>
    </w:p>
    <w:p>
      <w:pPr>
        <w:ind w:left="560" w:hanging="356"/>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70" w:lineRule="exact"/>
        <w:rPr>
          <w:rFonts w:ascii="Arial" w:cs="Arial" w:eastAsia="Arial" w:hAnsi="Arial"/>
          <w:sz w:val="16"/>
          <w:szCs w:val="16"/>
          <w:color w:val="auto"/>
        </w:rPr>
      </w:pPr>
    </w:p>
    <w:p>
      <w:pPr>
        <w:ind w:left="200" w:right="100" w:firstLine="4"/>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43" w:lineRule="exact"/>
        <w:rPr>
          <w:rFonts w:ascii="Arial" w:cs="Arial" w:eastAsia="Arial" w:hAnsi="Arial"/>
          <w:sz w:val="18"/>
          <w:szCs w:val="18"/>
          <w:color w:val="auto"/>
        </w:rPr>
      </w:pPr>
    </w:p>
    <w:p>
      <w:pPr>
        <w:ind w:left="200" w:right="100" w:firstLine="4"/>
        <w:spacing w:after="0" w:line="277"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Miscellaneous</w:t>
      </w:r>
    </w:p>
    <w:p>
      <w:pPr>
        <w:spacing w:after="0" w:line="18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One or more of the underwriters may be restricted in its U.S. securities dealings under the Bank Holding Company Act and not be U.S.-registered broker-dealer(s). All sales of securities in the U.S. will be made by or through U.S.-registered broker-dealers.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ICBC Standard Bank Plc may not underwrite, subscribe, agree to purchase or procure purchasers to purchase notes that are offered or sold in the United States. Notwithstanding anything to the contrary in this prospectus supplement,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Investors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200" w:firstLine="4"/>
        <w:spacing w:after="0" w:line="252" w:lineRule="auto"/>
        <w:tabs>
          <w:tab w:leader="none" w:pos="4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Vice President, Senior Deputy General Counsel and Assistant Secretary, Francis M. Buono, Esquire, Senior Vice President, Legal Regulatory Affairs and Senior Deputy General Counsel of Comcast Corporation, and by Davis Polk &amp; Wardwell LLP, New York, New York. Cahill Gordon &amp; Reindel LLP, New York, New York, is representing the underwriters.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(for purposes of this paragraph only, “Comcast Corporation”), incorporated herein by reference from Comcast Corporation’s Annual Report on Form 10-K for the year ended December 31, 2019,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herein by reference from NBCUniversal Media, LLC’s Annual Report on Form 10-K for the year ended December 31, 2019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189865</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0" w:right="36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20" w:type="dxa"/>
            <w:vAlign w:val="bottom"/>
            <w:gridSpan w:val="2"/>
          </w:tcPr>
          <w:p>
            <w:pPr>
              <w:jc w:val="right"/>
              <w:ind w:right="4438"/>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The Companies</w:t>
              </w:r>
            </w:hyperlink>
          </w:p>
        </w:tc>
        <w:tc>
          <w:tcPr>
            <w:tcW w:w="2940" w:type="dxa"/>
            <w:vAlign w:val="bottom"/>
            <w:gridSpan w:val="9"/>
            <w:vMerge w:val="restart"/>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2940" w:type="dxa"/>
            <w:vAlign w:val="bottom"/>
            <w:gridSpan w:val="9"/>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06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Caution Concerning Forward-Looking Statements</w:t>
              </w:r>
            </w:hyperlink>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Use of Proceeds</w:t>
              </w:r>
            </w:hyperlink>
          </w:p>
        </w:tc>
        <w:tc>
          <w:tcPr>
            <w:tcW w:w="540" w:type="dxa"/>
            <w:vAlign w:val="bottom"/>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Dividend Policy</w:t>
              </w:r>
            </w:hyperlink>
          </w:p>
        </w:tc>
        <w:tc>
          <w:tcPr>
            <w:tcW w:w="2900" w:type="dxa"/>
            <w:vAlign w:val="bottom"/>
            <w:gridSpan w:val="7"/>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Debt Securities and Guarantees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800" w:type="dxa"/>
            <w:vAlign w:val="bottom"/>
            <w:gridSpan w:val="2"/>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Description of Capital Stock</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2060" w:type="dxa"/>
            <w:vAlign w:val="bottom"/>
            <w:gridSpan w:val="3"/>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Legal Matters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Experts</w:t>
              </w:r>
            </w:hyperlink>
          </w:p>
        </w:tc>
        <w:tc>
          <w:tcPr>
            <w:tcW w:w="3080" w:type="dxa"/>
            <w:vAlign w:val="bottom"/>
            <w:gridSpan w:val="10"/>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Available Information</w:t>
              </w:r>
            </w:hyperlink>
          </w:p>
        </w:tc>
        <w:tc>
          <w:tcPr>
            <w:tcW w:w="2500" w:type="dxa"/>
            <w:vAlign w:val="bottom"/>
            <w:gridSpan w:val="4"/>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Incorporation of Certain Documents by Reference</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200" w:right="80" w:firstLine="4"/>
        <w:spacing w:after="0" w:line="255" w:lineRule="auto"/>
        <w:tabs>
          <w:tab w:leader="none" w:pos="4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7" w:lineRule="exact"/>
        <w:rPr>
          <w:rFonts w:ascii="Arial" w:cs="Arial" w:eastAsia="Arial" w:hAnsi="Arial"/>
          <w:sz w:val="18"/>
          <w:szCs w:val="18"/>
          <w:color w:val="auto"/>
        </w:rPr>
      </w:pPr>
    </w:p>
    <w:p>
      <w:pPr>
        <w:ind w:left="1180" w:right="200" w:hanging="436"/>
        <w:spacing w:after="0" w:line="262"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180" w:right="100" w:hanging="436"/>
        <w:spacing w:after="0" w:line="262"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180" w:right="260" w:hanging="436"/>
        <w:spacing w:after="0" w:line="262"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180" w:right="140" w:hanging="436"/>
        <w:spacing w:after="0" w:line="334" w:lineRule="auto"/>
        <w:tabs>
          <w:tab w:leader="none" w:pos="1180"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spacing w:after="0" w:line="1" w:lineRule="exact"/>
        <w:rPr>
          <w:rFonts w:ascii="Arial" w:cs="Arial" w:eastAsia="Arial" w:hAnsi="Arial"/>
          <w:sz w:val="16"/>
          <w:szCs w:val="16"/>
          <w:color w:val="auto"/>
        </w:rPr>
      </w:pPr>
    </w:p>
    <w:p>
      <w:pPr>
        <w:ind w:left="1180" w:right="260" w:hanging="436"/>
        <w:spacing w:after="0" w:line="334" w:lineRule="auto"/>
        <w:tabs>
          <w:tab w:leader="none" w:pos="1180" w:val="left"/>
        </w:tabs>
        <w:numPr>
          <w:ilvl w:val="1"/>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spacing w:after="0" w:line="1" w:lineRule="exact"/>
        <w:rPr>
          <w:rFonts w:ascii="Arial" w:cs="Arial" w:eastAsia="Arial" w:hAnsi="Arial"/>
          <w:sz w:val="16"/>
          <w:szCs w:val="16"/>
          <w:color w:val="auto"/>
        </w:rPr>
      </w:pPr>
    </w:p>
    <w:p>
      <w:pPr>
        <w:ind w:left="1180" w:right="180" w:hanging="436"/>
        <w:spacing w:after="0" w:line="262"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hanging="436"/>
        <w:spacing w:after="0" w:line="268"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180" w:right="22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180" w:right="32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180" w:right="50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180" w:right="180" w:hanging="436"/>
        <w:spacing w:after="0" w:line="33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4" w:lineRule="exact"/>
        <w:rPr>
          <w:rFonts w:ascii="Arial" w:cs="Arial" w:eastAsia="Arial" w:hAnsi="Arial"/>
          <w:sz w:val="16"/>
          <w:szCs w:val="16"/>
          <w:color w:val="auto"/>
        </w:rPr>
      </w:pPr>
    </w:p>
    <w:p>
      <w:pPr>
        <w:ind w:left="118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180" w:right="34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180" w:right="54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180" w:right="44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180" w:right="36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180" w:right="760" w:hanging="436"/>
        <w:spacing w:after="0" w:line="268"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180" w:hanging="436"/>
        <w:spacing w:after="0" w:line="332"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240" w:top="459" w:right="7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180" w:right="100" w:hanging="436"/>
        <w:spacing w:after="0" w:line="259"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30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180" w:right="18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180" w:right="38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180" w:right="50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180" w:right="26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180" w:right="100" w:hanging="436"/>
        <w:spacing w:after="0" w:line="268"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200" w:right="140" w:firstLine="444"/>
        <w:spacing w:after="0" w:line="268" w:lineRule="auto"/>
        <w:tabs>
          <w:tab w:leader="none" w:pos="8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firstLine="444"/>
        <w:spacing w:after="0" w:line="268" w:lineRule="auto"/>
        <w:tabs>
          <w:tab w:leader="none" w:pos="8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200" w:right="100" w:firstLine="444"/>
        <w:spacing w:after="0" w:line="268" w:lineRule="auto"/>
        <w:tabs>
          <w:tab w:leader="none" w:pos="8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7"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200" w:right="200" w:firstLine="441"/>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200" w:firstLine="4"/>
        <w:spacing w:after="0" w:line="261" w:lineRule="auto"/>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20" w:lineRule="exact"/>
        <w:rPr>
          <w:sz w:val="20"/>
          <w:szCs w:val="20"/>
          <w:color w:val="auto"/>
        </w:rPr>
      </w:pPr>
    </w:p>
    <w:p>
      <w:pPr>
        <w:ind w:left="200" w:right="240" w:firstLine="441"/>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6"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200" w:right="180" w:firstLine="444"/>
        <w:spacing w:after="0" w:line="259"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rFonts w:ascii="Arial" w:cs="Arial" w:eastAsia="Arial" w:hAnsi="Arial"/>
          <w:sz w:val="18"/>
          <w:szCs w:val="18"/>
          <w:color w:val="auto"/>
        </w:rPr>
      </w:pPr>
    </w:p>
    <w:p>
      <w:pPr>
        <w:ind w:left="200" w:right="60" w:firstLine="444"/>
        <w:spacing w:after="0" w:line="291" w:lineRule="auto"/>
        <w:tabs>
          <w:tab w:leader="none" w:pos="889"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rFonts w:ascii="Arial" w:cs="Arial" w:eastAsia="Arial" w:hAnsi="Arial"/>
          <w:sz w:val="16"/>
          <w:szCs w:val="16"/>
          <w:color w:val="auto"/>
        </w:rPr>
      </w:pPr>
    </w:p>
    <w:p>
      <w:pPr>
        <w:ind w:left="200" w:right="840" w:firstLine="444"/>
        <w:spacing w:after="0" w:line="268"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860" w:hanging="216"/>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4"/>
        <w:spacing w:after="0" w:line="268" w:lineRule="auto"/>
        <w:tabs>
          <w:tab w:leader="none" w:pos="9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35"/>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200" w:right="980" w:firstLine="441"/>
        <w:spacing w:after="0" w:line="332"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right="80" w:hanging="436"/>
        <w:spacing w:after="0" w:line="268"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180" w:right="180" w:hanging="436"/>
        <w:spacing w:after="0" w:line="255"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160" w:hanging="436"/>
        <w:spacing w:after="0" w:line="306"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180" w:right="120" w:hanging="436"/>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400" w:firstLine="441"/>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180" w:right="100" w:hanging="436"/>
        <w:spacing w:after="0" w:line="259"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180" w:right="300" w:hanging="436"/>
        <w:spacing w:after="0" w:line="268"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180" w:right="140" w:hanging="436"/>
        <w:spacing w:after="0" w:line="259"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180" w:right="360" w:hanging="436"/>
        <w:spacing w:after="0" w:line="268"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6"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180" w:right="540" w:hanging="436"/>
        <w:spacing w:after="0" w:line="268"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180" w:right="60" w:hanging="436"/>
        <w:spacing w:after="0" w:line="294"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180" w:right="260" w:hanging="436"/>
        <w:spacing w:after="0" w:line="268"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180" w:hanging="436"/>
        <w:spacing w:after="0" w:line="370" w:lineRule="auto"/>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4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180" w:right="360" w:hanging="436"/>
        <w:spacing w:after="0" w:line="306" w:lineRule="auto"/>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180" w:right="100" w:hanging="436"/>
        <w:spacing w:after="0" w:line="26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180" w:right="240" w:hanging="436"/>
        <w:spacing w:after="0" w:line="357" w:lineRule="auto"/>
        <w:tabs>
          <w:tab w:leader="none" w:pos="11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2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180" w:right="80" w:hanging="436"/>
        <w:spacing w:after="0" w:line="298" w:lineRule="auto"/>
        <w:tabs>
          <w:tab w:leader="none" w:pos="1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180" w:right="100" w:hanging="436"/>
        <w:spacing w:after="0" w:line="256"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180" w:right="20" w:hanging="436"/>
        <w:spacing w:after="0" w:line="255"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180" w:right="140" w:hanging="436"/>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jc w:val="both"/>
        <w:ind w:left="1180" w:right="240" w:hanging="436"/>
        <w:spacing w:after="0" w:line="259"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9"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52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180" w:right="240" w:hanging="436"/>
        <w:spacing w:after="0" w:line="26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180" w:right="72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2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200" w:righ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180" w:hanging="436"/>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83">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180" w:right="160" w:hanging="436"/>
        <w:spacing w:after="0" w:line="268"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84">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5">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filed on </w:t>
      </w:r>
      <w:hyperlink r:id="rId84">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6">
        <w:r>
          <w:rPr>
            <w:rFonts w:ascii="Arial" w:cs="Arial" w:eastAsia="Arial" w:hAnsi="Arial"/>
            <w:sz w:val="18"/>
            <w:szCs w:val="18"/>
            <w:u w:val="single" w:color="auto"/>
            <w:color w:val="0000EE"/>
          </w:rPr>
          <w:t>July 25, 2019</w:t>
        </w:r>
      </w:hyperlink>
      <w:r>
        <w:rPr>
          <w:rFonts w:ascii="Arial" w:cs="Arial" w:eastAsia="Arial" w:hAnsi="Arial"/>
          <w:sz w:val="18"/>
          <w:szCs w:val="18"/>
          <w:color w:val="auto"/>
        </w:rPr>
        <w:t>, respectively.</w:t>
      </w:r>
    </w:p>
    <w:p>
      <w:pPr>
        <w:spacing w:after="0" w:line="5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87">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90">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80" w:right="640" w:hanging="436"/>
        <w:spacing w:after="0" w:line="268"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91">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w:t>
      </w:r>
      <w:hyperlink r:id="rId9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180" w:right="340" w:hanging="436"/>
        <w:spacing w:after="0" w:line="332"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92">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5" w:lineRule="exact"/>
        <w:rPr>
          <w:rFonts w:ascii="Arial" w:cs="Arial" w:eastAsia="Arial" w:hAnsi="Arial"/>
          <w:sz w:val="18"/>
          <w:szCs w:val="18"/>
          <w:color w:val="auto"/>
        </w:rPr>
      </w:pPr>
    </w:p>
    <w:p>
      <w:pPr>
        <w:ind w:left="200" w:firstLine="441"/>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205740</wp:posOffset>
            </wp:positionV>
            <wp:extent cx="1397635" cy="488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€800,000,000 0.250% Notes due 2027</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€1,400,000,000 0.750% Notes due 2032</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€800,000,000 1.250% Notes due 2040</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£600,000,000 1.500% Notes due 2029</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£800,000,000 1.875%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1633220</wp:posOffset>
            </wp:positionV>
            <wp:extent cx="699770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699770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88" w:lineRule="exact"/>
        <w:rPr>
          <w:sz w:val="20"/>
          <w:szCs w:val="20"/>
          <w:color w:val="auto"/>
        </w:rPr>
      </w:pPr>
    </w:p>
    <w:p>
      <w:pPr>
        <w:ind w:left="200"/>
        <w:spacing w:after="0"/>
        <w:tabs>
          <w:tab w:leader="none" w:pos="5620" w:val="left"/>
          <w:tab w:leader="none" w:pos="10180" w:val="left"/>
        </w:tabs>
        <w:rPr>
          <w:sz w:val="20"/>
          <w:szCs w:val="20"/>
          <w:color w:val="auto"/>
        </w:rPr>
      </w:pPr>
      <w:r>
        <w:rPr>
          <w:rFonts w:ascii="Arial" w:cs="Arial" w:eastAsia="Arial" w:hAnsi="Arial"/>
          <w:sz w:val="20"/>
          <w:szCs w:val="20"/>
          <w:b w:val="1"/>
          <w:bCs w:val="1"/>
          <w:color w:val="auto"/>
        </w:rPr>
        <w:t>BNP PARIBAS</w:t>
      </w:r>
      <w:r>
        <w:rPr>
          <w:sz w:val="20"/>
          <w:szCs w:val="20"/>
          <w:color w:val="auto"/>
        </w:rPr>
        <w:tab/>
      </w:r>
      <w:r>
        <w:rPr>
          <w:rFonts w:ascii="Arial" w:cs="Arial" w:eastAsia="Arial" w:hAnsi="Arial"/>
          <w:sz w:val="20"/>
          <w:szCs w:val="20"/>
          <w:b w:val="1"/>
          <w:bCs w:val="1"/>
          <w:color w:val="auto"/>
        </w:rPr>
        <w:t>Citigroup</w:t>
      </w:r>
      <w:r>
        <w:rPr>
          <w:sz w:val="20"/>
          <w:szCs w:val="20"/>
          <w:color w:val="auto"/>
        </w:rPr>
        <w:tab/>
      </w:r>
      <w:r>
        <w:rPr>
          <w:rFonts w:ascii="Arial" w:cs="Arial" w:eastAsia="Arial" w:hAnsi="Arial"/>
          <w:sz w:val="16"/>
          <w:szCs w:val="16"/>
          <w:b w:val="1"/>
          <w:bCs w:val="1"/>
          <w:color w:val="auto"/>
        </w:rPr>
        <w:t>J.P. Morgan</w:t>
      </w:r>
    </w:p>
    <w:p>
      <w:pPr>
        <w:spacing w:after="0" w:line="22" w:lineRule="exact"/>
        <w:rPr>
          <w:sz w:val="20"/>
          <w:szCs w:val="20"/>
          <w:color w:val="auto"/>
        </w:rPr>
      </w:pPr>
    </w:p>
    <w:p>
      <w:pPr>
        <w:ind w:left="200"/>
        <w:spacing w:after="0"/>
        <w:tabs>
          <w:tab w:leader="none" w:pos="4960" w:val="left"/>
          <w:tab w:leader="none" w:pos="9340" w:val="left"/>
        </w:tabs>
        <w:rPr>
          <w:sz w:val="20"/>
          <w:szCs w:val="20"/>
          <w:color w:val="auto"/>
        </w:rPr>
      </w:pPr>
      <w:r>
        <w:rPr>
          <w:rFonts w:ascii="Arial" w:cs="Arial" w:eastAsia="Arial" w:hAnsi="Arial"/>
          <w:sz w:val="20"/>
          <w:szCs w:val="20"/>
          <w:b w:val="1"/>
          <w:bCs w:val="1"/>
          <w:color w:val="auto"/>
        </w:rPr>
        <w:t>Barclays</w:t>
      </w:r>
      <w:r>
        <w:rPr>
          <w:sz w:val="20"/>
          <w:szCs w:val="20"/>
          <w:color w:val="auto"/>
        </w:rPr>
        <w:tab/>
      </w:r>
      <w:r>
        <w:rPr>
          <w:rFonts w:ascii="Arial" w:cs="Arial" w:eastAsia="Arial" w:hAnsi="Arial"/>
          <w:sz w:val="20"/>
          <w:szCs w:val="20"/>
          <w:b w:val="1"/>
          <w:bCs w:val="1"/>
          <w:color w:val="auto"/>
        </w:rPr>
        <w:t>Deutsche Bank Securities</w:t>
      </w:r>
      <w:r>
        <w:rPr>
          <w:sz w:val="20"/>
          <w:szCs w:val="20"/>
          <w:color w:val="auto"/>
        </w:rPr>
        <w:tab/>
      </w:r>
      <w:r>
        <w:rPr>
          <w:rFonts w:ascii="Arial" w:cs="Arial" w:eastAsia="Arial" w:hAnsi="Arial"/>
          <w:sz w:val="18"/>
          <w:szCs w:val="18"/>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540385</wp:posOffset>
            </wp:positionV>
            <wp:extent cx="2735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February 5, 2020</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3"/>
    </w:lvl>
    <w:lvl w:ilvl="1">
      <w:lvlJc w:val="left"/>
      <w:lvlText w:val="•"/>
      <w:numFmt w:val="bullet"/>
      <w:start w:val="1"/>
    </w:lvl>
  </w:abstractNum>
  <w:abstractNum w:abstractNumId="4">
    <w:nsid w:val="2CA88611"/>
    <w:multiLevelType w:val="hybridMultilevel"/>
    <w:lvl w:ilvl="0">
      <w:lvlJc w:val="left"/>
      <w:lvlText w:val="(%1)"/>
      <w:numFmt w:val="decimal"/>
      <w:start w:val="215"/>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lvl w:ilvl="1">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lvl w:ilvl="1">
      <w:lvlJc w:val="left"/>
      <w:lvlText w:val="(%2)"/>
      <w:numFmt w:val="lowerLetter"/>
      <w:start w:val="1"/>
    </w:lvl>
  </w:abstractNum>
  <w:abstractNum w:abstractNumId="11">
    <w:nsid w:val="737B8DDC"/>
    <w:multiLevelType w:val="hybridMultilevel"/>
    <w:lvl w:ilvl="0">
      <w:lvlJc w:val="left"/>
      <w:lvlText w:val="(%1)"/>
      <w:numFmt w:val="decimal"/>
      <w:start w:val="3"/>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lowerRoman"/>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decimal"/>
      <w:start w:val="1"/>
    </w:lvl>
    <w:lvl w:ilvl="1">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2"/>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3"/>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lowerLetter"/>
      <w:start w:val="2"/>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jpe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7" Type="http://schemas.openxmlformats.org/officeDocument/2006/relationships/hyperlink" Target="http://www.sec.gov/ix?doc=/Archives/edgar/data/902739/000116669120000008/cmcsa-12312019x10k.htm" TargetMode="External"/><Relationship Id="rId83" Type="http://schemas.openxmlformats.org/officeDocument/2006/relationships/hyperlink" Target="http://www.sec.gov/Archives/edgar/data/902739/000116669119000005/cmcsa-12312018x10k.htm" TargetMode="External"/><Relationship Id="rId84" Type="http://schemas.openxmlformats.org/officeDocument/2006/relationships/hyperlink" Target="http://www.sec.gov/Archives/edgar/data/902739/000116669119000010/cmcsa-3312019x10q.htm" TargetMode="External"/><Relationship Id="rId85" Type="http://schemas.openxmlformats.org/officeDocument/2006/relationships/hyperlink" Target="http://www.sec.gov/ix?doc=/Archives/edgar/data/902739/000116669119000015/cmcsa-6302019x10q.htm" TargetMode="External"/><Relationship Id="rId86" Type="http://schemas.openxmlformats.org/officeDocument/2006/relationships/hyperlink" Target="http://www.sec.gov/Archives/edgar/data/902739/000116669119000015/cmcsa-6302019x10q.htm" TargetMode="External"/><Relationship Id="rId87" Type="http://schemas.openxmlformats.org/officeDocument/2006/relationships/hyperlink" Target="http://www.sec.gov/Archives/edgar/data/902739/000095010319006331/dp106765_8k.htm" TargetMode="External"/><Relationship Id="rId88" Type="http://schemas.openxmlformats.org/officeDocument/2006/relationships/hyperlink" Target="http://www.sec.gov/Archives/edgar/data/1166691/000095010319007912/dp108319_8k.htm" TargetMode="External"/><Relationship Id="rId89" Type="http://schemas.openxmlformats.org/officeDocument/2006/relationships/hyperlink" Target="http://www.sec.gov/Archives/edgar/data/902739/000095010319008213/dp108508_8k.htm" TargetMode="External"/><Relationship Id="rId90" Type="http://schemas.openxmlformats.org/officeDocument/2006/relationships/hyperlink" Target="http://www.sec.gov/Archives/edgar/data/1166691/000119312519210443/d736987d8ka.htm" TargetMode="External"/><Relationship Id="rId91" Type="http://schemas.openxmlformats.org/officeDocument/2006/relationships/hyperlink" Target="http://www.sec.gov/Archives/edgar/data/1166691/000119312519121456/d696198ddef14a.htm" TargetMode="External"/><Relationship Id="rId92"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2020-02-06T16:05:37Z</dcterms:created>
  <dcterms:modified xsi:type="dcterms:W3CDTF">2020-02-06T16:05:37Z</dcterms:modified>
</cp:coreProperties>
</file>