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6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 for the Transition Period from</w:t>
            </w:r>
          </w:p>
        </w:tc>
        <w:tc>
          <w:tcPr>
            <w:tcW w:w="620" w:type="dxa"/>
            <w:vAlign w:val="bottom"/>
          </w:tcPr>
          <w:p>
            <w:pPr>
              <w:ind w:left="460"/>
              <w:spacing w:after="0"/>
              <w:rPr>
                <w:sz w:val="20"/>
                <w:szCs w:val="20"/>
                <w:color w:val="auto"/>
              </w:rPr>
            </w:pPr>
            <w:r>
              <w:rPr>
                <w:rFonts w:ascii="Arial" w:cs="Arial" w:eastAsia="Arial" w:hAnsi="Arial"/>
                <w:sz w:val="18"/>
                <w:szCs w:val="18"/>
                <w:b w:val="1"/>
                <w:bCs w:val="1"/>
                <w:color w:val="auto"/>
                <w:w w:val="82"/>
              </w:rPr>
              <w:t>to</w:t>
            </w:r>
          </w:p>
        </w:tc>
      </w:tr>
      <w:tr>
        <w:trPr>
          <w:trHeight w:val="228"/>
        </w:trPr>
        <w:tc>
          <w:tcPr>
            <w:tcW w:w="30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2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956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620" w:type="dxa"/>
            <w:vAlign w:val="bottom"/>
          </w:tcPr>
          <w:p>
            <w:pPr>
              <w:spacing w:after="0"/>
              <w:rPr>
                <w:sz w:val="24"/>
                <w:szCs w:val="24"/>
                <w:color w:val="auto"/>
              </w:rPr>
            </w:pPr>
          </w:p>
        </w:tc>
      </w:tr>
      <w:tr>
        <w:trPr>
          <w:trHeight w:val="178"/>
        </w:trPr>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94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68580</wp:posOffset>
            </wp:positionV>
            <wp:extent cx="29330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57"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27-0000798</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Identification No.)</w:t>
      </w:r>
    </w:p>
    <w:p>
      <w:pPr>
        <w:spacing w:after="0" w:line="87"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 w:lineRule="exact"/>
        <w:rPr>
          <w:sz w:val="24"/>
          <w:szCs w:val="24"/>
          <w:color w:val="auto"/>
        </w:rPr>
      </w:pPr>
    </w:p>
    <w:p>
      <w:pPr>
        <w:ind w:left="20" w:right="4100"/>
        <w:spacing w:after="0" w:line="27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2007, there were 2,073,563,577 shares of our Class A Common Stock, 1,007,601,457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5"/>
              <w:spacing w:after="0" w:line="159"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80" w:type="dxa"/>
            <w:vAlign w:val="bottom"/>
            <w:gridSpan w:val="16"/>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460" w:type="dxa"/>
            <w:vAlign w:val="bottom"/>
            <w:tcBorders>
              <w:bottom w:val="single" w:sz="8" w:color="0000EE"/>
            </w:tcBorders>
            <w:gridSpan w:val="4"/>
          </w:tcPr>
          <w:p>
            <w:pPr>
              <w:spacing w:after="0" w:line="19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7480" w:type="dxa"/>
            <w:vAlign w:val="bottom"/>
            <w:gridSpan w:val="10"/>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4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June 30, 2007 and December 31, 2006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40" w:type="dxa"/>
            <w:vAlign w:val="bottom"/>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Operations for the Three and Six Months Ended June 30, 2007 and 2006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Cash Flows for the Six Months Ended June 30, 2007 and 2006 (Unaudited)</w:t>
              </w:r>
            </w:hyperlink>
          </w:p>
        </w:tc>
        <w:tc>
          <w:tcPr>
            <w:tcW w:w="6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Item 2.</w:t>
            </w:r>
          </w:p>
        </w:tc>
        <w:tc>
          <w:tcPr>
            <w:tcW w:w="47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1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26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68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22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1070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7640" w:type="dxa"/>
            <w:vAlign w:val="bottom"/>
            <w:gridSpan w:val="11"/>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806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Unregistered Sales of Equity Securities and Use of Proceeds</w:t>
              </w:r>
            </w:hyperlink>
          </w:p>
        </w:tc>
        <w:tc>
          <w:tcPr>
            <w:tcW w:w="470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4.</w:t>
            </w:r>
          </w:p>
        </w:tc>
        <w:tc>
          <w:tcPr>
            <w:tcW w:w="894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6.</w:t>
            </w:r>
          </w:p>
        </w:tc>
        <w:tc>
          <w:tcPr>
            <w:tcW w:w="3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28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36">
              <w:r>
                <w:rPr>
                  <w:rFonts w:ascii="Arial" w:cs="Arial" w:eastAsia="Arial" w:hAnsi="Arial"/>
                  <w:sz w:val="18"/>
                  <w:szCs w:val="18"/>
                  <w:b w:val="1"/>
                  <w:bCs w:val="1"/>
                  <w:color w:val="0000EE"/>
                  <w:w w:val="94"/>
                </w:rPr>
                <w:t>SIGNATURES</w:t>
              </w:r>
            </w:hyperlink>
          </w:p>
        </w:tc>
        <w:tc>
          <w:tcPr>
            <w:tcW w:w="6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120015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six months ended June 30, 2007.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a number of potentially material transactions and, through his beneficial ownership of the Class B common stock, our Chairman and CEO has considerable influence over our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w w:val="85"/>
              </w:rPr>
              <w:t>June 30,</w:t>
            </w:r>
          </w:p>
        </w:tc>
        <w:tc>
          <w:tcPr>
            <w:tcW w:w="110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8940" w:type="dxa"/>
            <w:vAlign w:val="bottom"/>
            <w:gridSpan w:val="2"/>
          </w:tcPr>
          <w:p>
            <w:pPr>
              <w:spacing w:after="0"/>
              <w:rPr>
                <w:sz w:val="20"/>
                <w:szCs w:val="20"/>
                <w:color w:val="auto"/>
              </w:rPr>
            </w:pPr>
            <w:r>
              <w:rPr>
                <w:rFonts w:ascii="Arial" w:cs="Arial" w:eastAsia="Arial" w:hAnsi="Arial"/>
                <w:sz w:val="14"/>
                <w:szCs w:val="14"/>
                <w:color w:val="auto"/>
              </w:rPr>
              <w:t>(in millions, except share data)</w:t>
            </w:r>
          </w:p>
        </w:tc>
        <w:tc>
          <w:tcPr>
            <w:tcW w:w="520" w:type="dxa"/>
            <w:vAlign w:val="bottom"/>
          </w:tcPr>
          <w:p>
            <w:pPr>
              <w:spacing w:after="0"/>
              <w:rPr>
                <w:sz w:val="14"/>
                <w:szCs w:val="14"/>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828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$174 and $157</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1,441</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878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3,542</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5,202</w:t>
            </w: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Investments</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6,211</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$17,629 and $15,506</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22,900</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Franchise rights</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57,914</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55,927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14,416</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$6,282 and $5,543</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5,165</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4,881</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608</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r>
      <w:tr>
        <w:trPr>
          <w:trHeight w:val="217"/>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86"/>
              </w:rPr>
              <w:t>110,756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110,405</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2,978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3,301</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3,032</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458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6,839</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7,440</w:t>
            </w: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27,794</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27,992</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26,533</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27,089</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7,487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6,476</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89"/>
              </w:rPr>
              <w:t>Class A common stock, $0.01 par value—authorized, 7,500,000,000 shares; issued, 2,439,024,327 and 2,425,818,710;</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outstanding, 2,073,563,577 and 2,060,357,960</w:t>
            </w:r>
          </w:p>
        </w:tc>
        <w:tc>
          <w:tcPr>
            <w:tcW w:w="5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24</w:t>
            </w:r>
          </w:p>
        </w:tc>
        <w:tc>
          <w:tcPr>
            <w:tcW w:w="40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08"/>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5"/>
              </w:rPr>
              <w:t>Class A Special common stock, $0.01 par value—authorized, 7,500,000,000 shares; issued, 1,078,536,221 and</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1,120,659,771; outstanding, 1,007,601,457 and 1,049,725,007</w:t>
            </w:r>
          </w:p>
        </w:tc>
        <w:tc>
          <w:tcPr>
            <w:tcW w:w="52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B common stock, $0.01 par value—authorized, 75,000,000 shares; issued and outstanding, 9,444,375</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Additional capital</w:t>
            </w:r>
          </w:p>
        </w:tc>
        <w:tc>
          <w:tcPr>
            <w:tcW w:w="5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42,408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42,401</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6,951</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5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(7,517)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w:t>
            </w: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41,825</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r>
      <w:tr>
        <w:trPr>
          <w:trHeight w:val="217"/>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86"/>
              </w:rPr>
              <w:t>110,756</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110,405</w:t>
            </w: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64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554"/>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980" w:type="dxa"/>
            <w:vAlign w:val="bottom"/>
          </w:tcPr>
          <w:p>
            <w:pPr>
              <w:jc w:val="right"/>
              <w:ind w:right="5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w w:val="93"/>
              </w:rPr>
              <w:t>7,712</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5,908</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w w:val="87"/>
              </w:rPr>
              <w:t>15,100</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w w:val="93"/>
              </w:rPr>
              <w:t>2,754</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2,130</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940" w:type="dxa"/>
            <w:vAlign w:val="bottom"/>
          </w:tcPr>
          <w:p>
            <w:pPr>
              <w:jc w:val="right"/>
              <w:ind w:right="414"/>
              <w:spacing w:after="0"/>
              <w:rPr>
                <w:sz w:val="20"/>
                <w:szCs w:val="20"/>
                <w:color w:val="auto"/>
              </w:rPr>
            </w:pPr>
            <w:r>
              <w:rPr>
                <w:rFonts w:ascii="Arial" w:cs="Arial" w:eastAsia="Arial" w:hAnsi="Arial"/>
                <w:sz w:val="18"/>
                <w:szCs w:val="18"/>
                <w:color w:val="auto"/>
                <w:w w:val="93"/>
              </w:rPr>
              <w:t>1,946</w:t>
            </w:r>
          </w:p>
        </w:tc>
        <w:tc>
          <w:tcPr>
            <w:tcW w:w="12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7"/>
              </w:rPr>
              <w:t>1,467</w:t>
            </w: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w w:val="93"/>
              </w:rPr>
              <w:t>1,252</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w w:val="93"/>
              </w:rPr>
              <w:t>6,244</w:t>
            </w:r>
          </w:p>
        </w:tc>
        <w:tc>
          <w:tcPr>
            <w:tcW w:w="1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4,735</w:t>
            </w:r>
          </w:p>
        </w:tc>
        <w:tc>
          <w:tcPr>
            <w:tcW w:w="3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w w:val="87"/>
              </w:rPr>
              <w:t>12,371</w:t>
            </w:r>
          </w:p>
        </w:tc>
        <w:tc>
          <w:tcPr>
            <w:tcW w:w="1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940" w:type="dxa"/>
            <w:vAlign w:val="bottom"/>
          </w:tcPr>
          <w:p>
            <w:pPr>
              <w:jc w:val="right"/>
              <w:ind w:right="414"/>
              <w:spacing w:after="0"/>
              <w:rPr>
                <w:sz w:val="20"/>
                <w:szCs w:val="20"/>
                <w:color w:val="auto"/>
              </w:rPr>
            </w:pPr>
            <w:r>
              <w:rPr>
                <w:rFonts w:ascii="Arial" w:cs="Arial" w:eastAsia="Arial" w:hAnsi="Arial"/>
                <w:sz w:val="18"/>
                <w:szCs w:val="18"/>
                <w:color w:val="auto"/>
                <w:w w:val="93"/>
              </w:rPr>
              <w:t>1,468</w:t>
            </w:r>
          </w:p>
        </w:tc>
        <w:tc>
          <w:tcPr>
            <w:tcW w:w="12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7"/>
              </w:rPr>
              <w:t>1,173</w:t>
            </w: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8"/>
                <w:szCs w:val="18"/>
                <w:color w:val="auto"/>
                <w:w w:val="94"/>
              </w:rPr>
              <w:t>(1,118)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tcPr>
          <w:p>
            <w:pPr>
              <w:spacing w:after="0"/>
              <w:rPr>
                <w:sz w:val="18"/>
                <w:szCs w:val="18"/>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(409)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w w:val="93"/>
              </w:rPr>
              <w:t>1,029</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588</w:t>
            </w:r>
          </w:p>
        </w:tc>
        <w:tc>
          <w:tcPr>
            <w:tcW w:w="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399</w:t>
            </w:r>
          </w:p>
        </w:tc>
        <w:tc>
          <w:tcPr>
            <w:tcW w:w="3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b w:val="1"/>
                <w:bCs w:val="1"/>
                <w:color w:val="auto"/>
              </w:rPr>
              <w:t>1,425</w:t>
            </w:r>
          </w:p>
        </w:tc>
        <w:tc>
          <w:tcPr>
            <w:tcW w:w="1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588</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460</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b w:val="1"/>
                <w:bCs w:val="1"/>
                <w:color w:val="auto"/>
              </w:rPr>
              <w:t>1,425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9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0.19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0.15</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b w:val="1"/>
                <w:bCs w:val="1"/>
                <w:color w:val="auto"/>
              </w:rPr>
              <w:t>0.46</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9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0.19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0.15</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394"/>
              <w:spacing w:after="0"/>
              <w:rPr>
                <w:sz w:val="20"/>
                <w:szCs w:val="20"/>
                <w:color w:val="auto"/>
              </w:rPr>
            </w:pPr>
            <w:r>
              <w:rPr>
                <w:rFonts w:ascii="Arial" w:cs="Arial" w:eastAsia="Arial" w:hAnsi="Arial"/>
                <w:sz w:val="18"/>
                <w:szCs w:val="18"/>
                <w:b w:val="1"/>
                <w:bCs w:val="1"/>
                <w:color w:val="auto"/>
              </w:rPr>
              <w:t>0.45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1,425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2,477</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569</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 and amortization on discontinued operations</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Share-based compensation expense</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Noncash interest expense (income), net</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 of trading securities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483</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Noncash contribution expense</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Minority interest</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Change in accounts receivable, net</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4,390</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3,184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590</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Retirements and repayments of debt</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(1,320)</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(1,252)</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(1,596)</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(3,058)</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(229)</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(770)</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investments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805</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(purchases) of short-term investments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ind w:left="8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(3,205)</w:t>
            </w: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1,239</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1,168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2007, our Board of Directors approved a three-for-two stock split in the form of a 50% stock dividend (the “Stock Split”) which was paid on February 21, 2007 to shareholders of record on February 14, 2007. The stock dividend was in the form of an additional 0.5 share for every share held and was payable in shares of Class A common stock on the existing Class A common stock and payable in shares of Class A Special common stock on the existing Class A Special common stock and Class B common stock with cash being paid in lieu of fractional shares. The number of shares outstanding and related prices, per share amounts, share conversions and share-based data have been adjusted to reflect the Stock Split for all prior periods presented.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in our segment presentation to be consistent with our management reporting presentation (see Note 12).</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2007, the Financial Accounting Standards Board (“FASB”) issued Statement of Financial Accounting Standards (“SFAS”) No. 159, “The Fair Value Option for Financial Assets and Financial Liabilities” (“SFAS No. 159”). SFAS No. 159 provides the option to report certain financial assets and liabilities at fair value, with the intent to mitigate volatility in financial reporting that can occur when related assets and liabilities are recorded on different bases. This statement is effective for us beginning January 1, 2008. We do not expect SFAS No. 159 will have a material impact on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Interpretation No. 48</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2006, the FASB issued Financial Interpretation No. 48, “Accounting for Uncertainty in Income Taxes—an Interpretation of FASB Statement No. 109” (“FIN 48”). FIN 48 clarifies the recognition threshold and measurement of a tax position taken on a tax return. FIN 48 also requires expanded disclosure with respect to the uncertainty in income taxes. Effective January 1, 2007, we adopted the provisions of FIN 48. See Note 9 for further detail regarding the adoption of this interpretation.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 liability for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postretirement benefit related to collateral assignment split-dollar life insurance arrangements in accordance with either SFAS No. 106, “Employers’ Accounting for Postretirement Benefits Other Than Pensions,” or APB No. 12, “Omnibus Opinion.” Entities should recognize the effects of applying EITF 06-10 through either (i) a change in accounting principle through a cumulative-effect adjustment to retained earnings or to other components of equity or net assets in the statement of financial position as of the beginning of the year of adoption or (ii) a change in accounting principle through retrospective application to all prior periods. The provisions of EITF 06-10 are effective for us as of January 1, 2008 and are not expected to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Basic earnings per common share (“Basic EPS”) is computed by dividing income from continuing operations for common stockholders by the weighted-average number of common shares outstanding during the period.</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restricted share units. Diluted earnings per common share (“Diluted EPS”) considers the impact of potentially dilutive securities except in periods in which there is a loss because the inclusion of the potential common shares would have an antidilutive effect.</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both the three and six months ended June 30, 2007 excludes approximately 39 million potential common shares and Diluted EPS for the three and six months ended June 30, 2006 excludes approximately 146 million and 169 million potential common shares, respectively, related to our share-based compensation plans, because the inclusion of the potential common shares would have an antidilutive effect.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the numerator and denominator of the computations of Diluted EPS from continuing operations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87"/>
              </w:rPr>
              <w:t>Three Months Ended June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ind w:left="22"/>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800" w:type="dxa"/>
            <w:vAlign w:val="bottom"/>
          </w:tcPr>
          <w:p>
            <w:pPr>
              <w:jc w:val="right"/>
              <w:ind w:right="59"/>
              <w:spacing w:after="0"/>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ind w:right="84"/>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rPr>
              <w:t>Income</w:t>
            </w: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80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$588</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3,113</w:t>
            </w:r>
          </w:p>
        </w:tc>
        <w:tc>
          <w:tcPr>
            <w:tcW w:w="900" w:type="dxa"/>
            <w:vAlign w:val="bottom"/>
            <w:tcBorders>
              <w:top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$0.19</w:t>
            </w:r>
          </w:p>
        </w:tc>
        <w:tc>
          <w:tcPr>
            <w:tcW w:w="660" w:type="dxa"/>
            <w:vAlign w:val="bottom"/>
            <w:tcBorders>
              <w:top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color w:val="auto"/>
              </w:rPr>
              <w:t>$399</w:t>
            </w:r>
          </w:p>
        </w:tc>
        <w:tc>
          <w:tcPr>
            <w:tcW w:w="64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3,168</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80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90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$588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$0.19</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$399</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3,184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7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ind w:left="22"/>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800" w:type="dxa"/>
            <w:vAlign w:val="bottom"/>
          </w:tcPr>
          <w:p>
            <w:pPr>
              <w:jc w:val="right"/>
              <w:ind w:right="59"/>
              <w:spacing w:after="0"/>
              <w:rPr>
                <w:sz w:val="20"/>
                <w:szCs w:val="20"/>
                <w:color w:val="auto"/>
              </w:rPr>
            </w:pPr>
            <w:r>
              <w:rPr>
                <w:rFonts w:ascii="Arial" w:cs="Arial" w:eastAsia="Arial" w:hAnsi="Arial"/>
                <w:sz w:val="14"/>
                <w:szCs w:val="14"/>
                <w:b w:val="1"/>
                <w:bCs w:val="1"/>
                <w:color w:val="auto"/>
              </w:rPr>
              <w:t>Income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ind w:right="84"/>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rPr>
              <w:t>Income</w:t>
            </w: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80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$1,425</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3,119</w:t>
            </w:r>
          </w:p>
        </w:tc>
        <w:tc>
          <w:tcPr>
            <w:tcW w:w="900" w:type="dxa"/>
            <w:vAlign w:val="bottom"/>
            <w:tcBorders>
              <w:top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$0.46</w:t>
            </w:r>
          </w:p>
        </w:tc>
        <w:tc>
          <w:tcPr>
            <w:tcW w:w="660" w:type="dxa"/>
            <w:vAlign w:val="bottom"/>
            <w:tcBorders>
              <w:top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color w:val="auto"/>
              </w:rPr>
              <w:t>$837</w:t>
            </w:r>
          </w:p>
        </w:tc>
        <w:tc>
          <w:tcPr>
            <w:tcW w:w="64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3,185</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80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90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$1,425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$0.45</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$837</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0" w:type="dxa"/>
            <w:vAlign w:val="bottom"/>
            <w:tcBorders>
              <w:bottom w:val="single" w:sz="8" w:color="auto"/>
            </w:tcBorders>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2006, we initiated the dissolution of Texas and Kansas City Cable Partners (“TKCCP”), our 50%-50% cable system partnership with Time Warner Cable (“TWC”). On January 1, 2007, the distribution of assets by TKCCP was completed and we received the cable system serving Houston, Texas (“Houston Asset Pool”) and TWC received the cable systems serving Kansas City, south and west Texas, and New Mexico (“Kansas City Asset Pool”). We accounted for the distribution of assets by TKCCP as a sale of our 50% interest in the Kansas City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Asset Pool in exchange for acquiring an additional 50% interest in the Houston Asset Pool. This transaction resulted in an increase of approximately 700,000 video subscribers.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in accordance with SFAS No. 141, “Business Combinations.” The valuation of assets acquired and the estimated gain are based on preliminary valuations. Refinements may occur as these valuations are finalized. The results of operations for the Houston Asset Pool have been included in our consolidated financial statements since the date of the distribution of assets by TKCCP (January 1, 2007) and are reported in our Cable segment. The exchange of our 50% interest in the Kansas City Asset Pool for TWC’s 50% interest in the Houston Asset Pool is considered a noncash investing activity.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2006, we completed transactions with Adelphia and Time Warner that resulted in a net increase of approximately 1.7 million video subscribers, a net cash payment by us of approximately $1.5 billion, the disposition of our ownership interests in TWC and Time Warner Entertainment (“TWE”) and the assets of two cable system partnerships, and the transfer of our previously owned cable systems in Los Angeles, Cleveland and Dallas (“Comcast Exchange Systems”). We collectively refer to these transactions as the “Adelphia and Time Warner transactions.”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Comcast Exchange Systems transferred to TWC are reported as discontinued operations and are presented in accordance with SFAS No. 144, “Accounting for the Impairment or Disposal of Long-Lived Assets.” The following represents the operating results of the Comcast Exchange Systems for the three and six months ended June 30, 2006: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740" w:type="dxa"/>
            <w:vAlign w:val="bottom"/>
            <w:gridSpan w:val="2"/>
          </w:tcPr>
          <w:p>
            <w:pPr>
              <w:ind w:left="288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2"/>
          </w:tcPr>
          <w:p>
            <w:pPr>
              <w:ind w:left="60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40" w:type="dxa"/>
            <w:vAlign w:val="bottom"/>
          </w:tcPr>
          <w:p>
            <w:pPr>
              <w:spacing w:after="0"/>
              <w:rPr>
                <w:sz w:val="14"/>
                <w:szCs w:val="14"/>
                <w:color w:val="auto"/>
              </w:rPr>
            </w:pPr>
          </w:p>
        </w:tc>
        <w:tc>
          <w:tcPr>
            <w:tcW w:w="1700" w:type="dxa"/>
            <w:vAlign w:val="bottom"/>
          </w:tcPr>
          <w:p>
            <w:pPr>
              <w:jc w:val="right"/>
              <w:ind w:right="756"/>
              <w:spacing w:after="0"/>
              <w:rPr>
                <w:sz w:val="20"/>
                <w:szCs w:val="20"/>
                <w:color w:val="auto"/>
              </w:rPr>
            </w:pPr>
            <w:r>
              <w:rPr>
                <w:rFonts w:ascii="Arial" w:cs="Arial" w:eastAsia="Arial" w:hAnsi="Arial"/>
                <w:sz w:val="14"/>
                <w:szCs w:val="14"/>
                <w:b w:val="1"/>
                <w:bCs w:val="1"/>
                <w:color w:val="auto"/>
                <w:w w:val="92"/>
              </w:rPr>
              <w:t>June 30, 2006</w:t>
            </w:r>
          </w:p>
        </w:tc>
        <w:tc>
          <w:tcPr>
            <w:tcW w:w="720" w:type="dxa"/>
            <w:vAlign w:val="bottom"/>
          </w:tcPr>
          <w:p>
            <w:pPr>
              <w:spacing w:after="0"/>
              <w:rPr>
                <w:sz w:val="14"/>
                <w:szCs w:val="14"/>
                <w:color w:val="auto"/>
              </w:rPr>
            </w:pPr>
          </w:p>
        </w:tc>
        <w:tc>
          <w:tcPr>
            <w:tcW w:w="1020" w:type="dxa"/>
            <w:vAlign w:val="bottom"/>
          </w:tcPr>
          <w:p>
            <w:pPr>
              <w:jc w:val="right"/>
              <w:ind w:right="116"/>
              <w:spacing w:after="0"/>
              <w:rPr>
                <w:sz w:val="20"/>
                <w:szCs w:val="20"/>
                <w:color w:val="auto"/>
              </w:rPr>
            </w:pPr>
            <w:r>
              <w:rPr>
                <w:rFonts w:ascii="Arial" w:cs="Arial" w:eastAsia="Arial" w:hAnsi="Arial"/>
                <w:sz w:val="14"/>
                <w:szCs w:val="14"/>
                <w:b w:val="1"/>
                <w:bCs w:val="1"/>
                <w:color w:val="auto"/>
                <w:w w:val="87"/>
              </w:rPr>
              <w:t>June 30, 2006</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3040" w:type="dxa"/>
            <w:vAlign w:val="bottom"/>
            <w:tcBorders>
              <w:top w:val="single" w:sz="8" w:color="auto"/>
            </w:tcBorders>
            <w:shd w:val="clear" w:color="auto" w:fill="E5E5E5"/>
          </w:tcPr>
          <w:p>
            <w:pPr>
              <w:ind w:left="288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40" w:type="dxa"/>
            <w:vAlign w:val="bottom"/>
          </w:tcPr>
          <w:p>
            <w:pPr>
              <w:ind w:left="28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6"/>
              <w:spacing w:after="0"/>
              <w:rPr>
                <w:sz w:val="20"/>
                <w:szCs w:val="20"/>
                <w:color w:val="auto"/>
              </w:rPr>
            </w:pPr>
            <w:r>
              <w:rPr>
                <w:rFonts w:ascii="Arial" w:cs="Arial" w:eastAsia="Arial" w:hAnsi="Arial"/>
                <w:sz w:val="18"/>
                <w:szCs w:val="18"/>
                <w:color w:val="auto"/>
              </w:rPr>
              <w:t>54</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Income tax benefit (expense)</w:t>
            </w:r>
          </w:p>
        </w:tc>
        <w:tc>
          <w:tcPr>
            <w:tcW w:w="3040" w:type="dxa"/>
            <w:vAlign w:val="bottom"/>
            <w:shd w:val="clear" w:color="auto" w:fill="E5E5E5"/>
          </w:tcPr>
          <w:p>
            <w:pPr>
              <w:ind w:left="28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7</w:t>
            </w:r>
          </w:p>
        </w:tc>
        <w:tc>
          <w:tcPr>
            <w:tcW w:w="720" w:type="dxa"/>
            <w:vAlign w:val="bottom"/>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3040" w:type="dxa"/>
            <w:vAlign w:val="bottom"/>
          </w:tcPr>
          <w:p>
            <w:pPr>
              <w:ind w:left="28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6"/>
              <w:spacing w:after="0"/>
              <w:rPr>
                <w:sz w:val="20"/>
                <w:szCs w:val="20"/>
                <w:color w:val="auto"/>
              </w:rPr>
            </w:pPr>
            <w:r>
              <w:rPr>
                <w:rFonts w:ascii="Arial" w:cs="Arial" w:eastAsia="Arial" w:hAnsi="Arial"/>
                <w:sz w:val="18"/>
                <w:szCs w:val="18"/>
                <w:color w:val="auto"/>
              </w:rPr>
              <w:t>61</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Adelphia and Time Warner transactions and the TKCCP transaction each occurred on January 1, 2006. This information is based on historical results of operations, adjusted for purchase price allocations, and is not necessarily indicative of what the results would have been had we operated the cable systems since January 1, 2006.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80" w:type="dxa"/>
            <w:vAlign w:val="bottom"/>
            <w:gridSpan w:val="2"/>
          </w:tcPr>
          <w:p>
            <w:pPr>
              <w:ind w:left="352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3"/>
          </w:tcPr>
          <w:p>
            <w:pPr>
              <w:ind w:left="56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52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3660" w:type="dxa"/>
            <w:vAlign w:val="bottom"/>
          </w:tcPr>
          <w:p>
            <w:pPr>
              <w:spacing w:after="0"/>
              <w:rPr>
                <w:sz w:val="14"/>
                <w:szCs w:val="14"/>
                <w:color w:val="auto"/>
              </w:rPr>
            </w:pPr>
          </w:p>
        </w:tc>
        <w:tc>
          <w:tcPr>
            <w:tcW w:w="1620" w:type="dxa"/>
            <w:vAlign w:val="bottom"/>
          </w:tcPr>
          <w:p>
            <w:pPr>
              <w:jc w:val="right"/>
              <w:ind w:right="675"/>
              <w:spacing w:after="0"/>
              <w:rPr>
                <w:sz w:val="20"/>
                <w:szCs w:val="20"/>
                <w:color w:val="auto"/>
              </w:rPr>
            </w:pPr>
            <w:r>
              <w:rPr>
                <w:rFonts w:ascii="Arial" w:cs="Arial" w:eastAsia="Arial" w:hAnsi="Arial"/>
                <w:sz w:val="14"/>
                <w:szCs w:val="14"/>
                <w:b w:val="1"/>
                <w:bCs w:val="1"/>
                <w:color w:val="auto"/>
                <w:w w:val="92"/>
              </w:rPr>
              <w:t>June 30, 2006</w:t>
            </w:r>
          </w:p>
        </w:tc>
        <w:tc>
          <w:tcPr>
            <w:tcW w:w="6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2006</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3660" w:type="dxa"/>
            <w:vAlign w:val="bottom"/>
            <w:tcBorders>
              <w:top w:val="single" w:sz="8" w:color="auto"/>
            </w:tcBorders>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color w:val="auto"/>
              </w:rPr>
              <w:t>6,854</w:t>
            </w:r>
          </w:p>
        </w:tc>
        <w:tc>
          <w:tcPr>
            <w:tcW w:w="660" w:type="dxa"/>
            <w:vAlign w:val="bottom"/>
            <w:tcBorders>
              <w:top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13,361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660" w:type="dxa"/>
            <w:vAlign w:val="bottom"/>
          </w:tcPr>
          <w:p>
            <w:pPr>
              <w:ind w:left="35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55"/>
              <w:spacing w:after="0"/>
              <w:rPr>
                <w:sz w:val="20"/>
                <w:szCs w:val="20"/>
                <w:color w:val="auto"/>
              </w:rPr>
            </w:pPr>
            <w:r>
              <w:rPr>
                <w:rFonts w:ascii="Arial" w:cs="Arial" w:eastAsia="Arial" w:hAnsi="Arial"/>
                <w:sz w:val="18"/>
                <w:szCs w:val="18"/>
                <w:color w:val="auto"/>
              </w:rPr>
              <w:t>427</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366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61</w:t>
            </w: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3660" w:type="dxa"/>
            <w:vAlign w:val="bottom"/>
          </w:tcPr>
          <w:p>
            <w:pPr>
              <w:ind w:left="35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55"/>
              <w:spacing w:after="0"/>
              <w:rPr>
                <w:sz w:val="20"/>
                <w:szCs w:val="20"/>
                <w:color w:val="auto"/>
              </w:rPr>
            </w:pPr>
            <w:r>
              <w:rPr>
                <w:rFonts w:ascii="Arial" w:cs="Arial" w:eastAsia="Arial" w:hAnsi="Arial"/>
                <w:sz w:val="18"/>
                <w:szCs w:val="18"/>
                <w:color w:val="auto"/>
              </w:rPr>
              <w:t>488</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Basic EPS</w:t>
            </w:r>
          </w:p>
        </w:tc>
        <w:tc>
          <w:tcPr>
            <w:tcW w:w="3660" w:type="dxa"/>
            <w:vAlign w:val="bottom"/>
            <w:shd w:val="clear" w:color="auto" w:fill="E5E5E5"/>
          </w:tcPr>
          <w:p>
            <w:pPr>
              <w:ind w:left="35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0.15</w:t>
            </w: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EPS</w:t>
            </w:r>
          </w:p>
        </w:tc>
        <w:tc>
          <w:tcPr>
            <w:tcW w:w="3660" w:type="dxa"/>
            <w:vAlign w:val="bottom"/>
          </w:tcPr>
          <w:p>
            <w:pPr>
              <w:ind w:left="35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55"/>
              <w:spacing w:after="0"/>
              <w:rPr>
                <w:sz w:val="20"/>
                <w:szCs w:val="20"/>
                <w:color w:val="auto"/>
              </w:rPr>
            </w:pPr>
            <w:r>
              <w:rPr>
                <w:rFonts w:ascii="Arial" w:cs="Arial" w:eastAsia="Arial" w:hAnsi="Arial"/>
                <w:sz w:val="18"/>
                <w:szCs w:val="18"/>
                <w:color w:val="auto"/>
              </w:rPr>
              <w:t>0.15</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60" w:type="dxa"/>
            <w:vAlign w:val="bottom"/>
          </w:tcPr>
          <w:p>
            <w:pPr>
              <w:ind w:left="1140"/>
              <w:spacing w:after="0"/>
              <w:rPr>
                <w:sz w:val="20"/>
                <w:szCs w:val="20"/>
                <w:color w:val="auto"/>
              </w:rPr>
            </w:pPr>
            <w:r>
              <w:rPr>
                <w:rFonts w:ascii="Arial" w:cs="Arial" w:eastAsia="Arial" w:hAnsi="Arial"/>
                <w:sz w:val="18"/>
                <w:szCs w:val="18"/>
                <w:color w:val="auto"/>
              </w:rPr>
              <w:t>7</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0" w:type="dxa"/>
            <w:vAlign w:val="bottom"/>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4"/>
                <w:szCs w:val="14"/>
                <w:color w:val="auto"/>
              </w:rPr>
            </w:pPr>
          </w:p>
        </w:tc>
        <w:tc>
          <w:tcPr>
            <w:tcW w:w="700" w:type="dxa"/>
            <w:vAlign w:val="bottom"/>
          </w:tcPr>
          <w:p>
            <w:pPr>
              <w:jc w:val="right"/>
              <w:ind w:right="333"/>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7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Cablevision Systems Corporation</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186</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7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Discovery Holding Company</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Embarq Corporation</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GSI Commerce</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59</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Liberty Capital</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588</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7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Liberty Global</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617</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Liberty Interactive</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558</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20" w:type="dxa"/>
            <w:vAlign w:val="bottom"/>
          </w:tcPr>
          <w:p>
            <w:pPr>
              <w:spacing w:after="0"/>
              <w:rPr>
                <w:sz w:val="18"/>
                <w:szCs w:val="18"/>
                <w:color w:val="auto"/>
              </w:rPr>
            </w:pPr>
          </w:p>
        </w:tc>
        <w:tc>
          <w:tcPr>
            <w:tcW w:w="7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Sprint Nextel</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41</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Time Warner, Inc.</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20" w:type="dxa"/>
            <w:vAlign w:val="bottom"/>
          </w:tcPr>
          <w:p>
            <w:pPr>
              <w:spacing w:after="0"/>
              <w:rPr>
                <w:sz w:val="18"/>
                <w:szCs w:val="18"/>
                <w:color w:val="auto"/>
              </w:rPr>
            </w:pPr>
          </w:p>
        </w:tc>
        <w:tc>
          <w:tcPr>
            <w:tcW w:w="7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Vodafone</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77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4"/>
              </w:rPr>
              <w:t>2,570</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3,513</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Equity method, principally cable-related and SpectrumCo, LLC</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2,375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5,394</w:t>
            </w:r>
          </w:p>
        </w:tc>
      </w:tr>
      <w:tr>
        <w:trPr>
          <w:trHeight w:val="216"/>
        </w:trPr>
        <w:tc>
          <w:tcPr>
            <w:tcW w:w="20" w:type="dxa"/>
            <w:vAlign w:val="bottom"/>
          </w:tcPr>
          <w:p>
            <w:pPr>
              <w:spacing w:after="0"/>
              <w:rPr>
                <w:sz w:val="18"/>
                <w:szCs w:val="18"/>
                <w:color w:val="auto"/>
              </w:rPr>
            </w:pPr>
          </w:p>
        </w:tc>
        <w:tc>
          <w:tcPr>
            <w:tcW w:w="77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Cost method, principally AirTouch</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1,661</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1,675</w:t>
            </w:r>
          </w:p>
        </w:tc>
      </w:tr>
      <w:tr>
        <w:trPr>
          <w:trHeight w:val="210"/>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Total investments</w:t>
            </w:r>
          </w:p>
        </w:tc>
        <w:tc>
          <w:tcPr>
            <w:tcW w:w="7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6,606</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16"/>
        </w:trPr>
        <w:tc>
          <w:tcPr>
            <w:tcW w:w="20" w:type="dxa"/>
            <w:vAlign w:val="bottom"/>
          </w:tcPr>
          <w:p>
            <w:pPr>
              <w:spacing w:after="0"/>
              <w:rPr>
                <w:sz w:val="18"/>
                <w:szCs w:val="18"/>
                <w:color w:val="auto"/>
              </w:rPr>
            </w:pPr>
          </w:p>
        </w:tc>
        <w:tc>
          <w:tcPr>
            <w:tcW w:w="77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395</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1,735</w:t>
            </w:r>
          </w:p>
        </w:tc>
      </w:tr>
      <w:tr>
        <w:trPr>
          <w:trHeight w:val="217"/>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Noncurrent investments</w:t>
            </w: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4"/>
              </w:rPr>
              <w:t>6,211</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8,847</w:t>
            </w:r>
          </w:p>
        </w:tc>
      </w:tr>
    </w:tbl>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cost, fair value and unrealized gains related to our available-for-sale securities, which consist principally of our investment in Time Warner are presented in the following table:</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50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4"/>
                <w:szCs w:val="14"/>
                <w:color w:val="auto"/>
              </w:rPr>
            </w:pPr>
          </w:p>
        </w:tc>
        <w:tc>
          <w:tcPr>
            <w:tcW w:w="720" w:type="dxa"/>
            <w:vAlign w:val="bottom"/>
          </w:tcPr>
          <w:p>
            <w:pPr>
              <w:jc w:val="right"/>
              <w:ind w:right="357"/>
              <w:spacing w:after="0"/>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Cost</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317</w:t>
            </w:r>
          </w:p>
        </w:tc>
        <w:tc>
          <w:tcPr>
            <w:tcW w:w="52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Unrealized gains</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101</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17"/>
        </w:trPr>
        <w:tc>
          <w:tcPr>
            <w:tcW w:w="20" w:type="dxa"/>
            <w:vAlign w:val="bottom"/>
          </w:tcPr>
          <w:p>
            <w:pPr>
              <w:spacing w:after="0"/>
              <w:rPr>
                <w:sz w:val="18"/>
                <w:szCs w:val="18"/>
                <w:color w:val="auto"/>
              </w:rPr>
            </w:pPr>
          </w:p>
        </w:tc>
        <w:tc>
          <w:tcPr>
            <w:tcW w:w="7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Fair value</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b w:val="1"/>
                <w:bCs w:val="1"/>
                <w:color w:val="auto"/>
              </w:rPr>
              <w:t>418</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1,190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our interest in TKCCP, totaling approximately $3.0 billion, as an equity method investment through January 1, 2007, the date the Houston Asset Pool was distributed to us (see Note 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LP (“Insight Midwest”), a 50%-50% cable system partnership with Insight. Under the terms of the agreement, we will receive cable systems serving approximately 684,000 video subscribers in Illinois and Indiana, together with approximately $1.34 billion of debt allocated to such cable systems (“Comcast Asset Pool”). Insight will receive cable systems serving approximately 639,000 video subscribers, together with approximately $1.26 billion of debt allocated to such cable systems (“Insight Asset Pool”). We will continue to account for our interest in Insight Midwest as an equity method investment until the Comcast Asset Pool is distributed to us. Closing of the transaction is subject to customary government and other approvals and is expected on or before December 31, 2007. Effective April 1, 2007, we are reporting our share of the earnings and losses of Insight Midwest based solely on the operating results of the Comcast Asset Pool.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components of investment income (loss),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gridSpan w:val="3"/>
          </w:tcPr>
          <w:p>
            <w:pPr>
              <w:jc w:val="right"/>
              <w:ind w:right="535"/>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168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2"/>
              </w:rPr>
              <w:t>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2"/>
                <w:szCs w:val="12"/>
                <w:color w:val="auto"/>
              </w:rPr>
            </w:pPr>
          </w:p>
        </w:tc>
        <w:tc>
          <w:tcPr>
            <w:tcW w:w="80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5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83"/>
              </w:rPr>
              <w:t>2007</w:t>
            </w:r>
          </w:p>
        </w:tc>
        <w:tc>
          <w:tcPr>
            <w:tcW w:w="680" w:type="dxa"/>
            <w:vAlign w:val="bottom"/>
          </w:tcPr>
          <w:p>
            <w:pPr>
              <w:spacing w:after="0"/>
              <w:rPr>
                <w:sz w:val="12"/>
                <w:szCs w:val="12"/>
                <w:color w:val="auto"/>
              </w:rPr>
            </w:pPr>
          </w:p>
        </w:tc>
        <w:tc>
          <w:tcPr>
            <w:tcW w:w="5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45</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68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7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680" w:type="dxa"/>
            <w:vAlign w:val="bottom"/>
          </w:tcPr>
          <w:p>
            <w:pPr>
              <w:spacing w:after="0"/>
              <w:rPr>
                <w:sz w:val="18"/>
                <w:szCs w:val="18"/>
                <w:color w:val="auto"/>
              </w:rPr>
            </w:pPr>
          </w:p>
        </w:tc>
        <w:tc>
          <w:tcPr>
            <w:tcW w:w="800" w:type="dxa"/>
            <w:vAlign w:val="bottom"/>
          </w:tcPr>
          <w:p>
            <w:pPr>
              <w:jc w:val="right"/>
              <w:ind w:right="195"/>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w w:val="93"/>
              </w:rPr>
              <w:t>Mark to market adjustments on derivatives related to trading securities and hedged items</w:t>
            </w:r>
          </w:p>
        </w:tc>
        <w:tc>
          <w:tcPr>
            <w:tcW w:w="7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48</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(419)</w:t>
            </w: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126</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14</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for the six months ended June 30, 2007 are presented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Corporate</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80" w:type="dxa"/>
            <w:vAlign w:val="bottom"/>
          </w:tcPr>
          <w:p>
            <w:pPr>
              <w:jc w:val="right"/>
              <w:ind w:right="296"/>
              <w:spacing w:after="0"/>
              <w:rPr>
                <w:sz w:val="20"/>
                <w:szCs w:val="20"/>
                <w:color w:val="auto"/>
              </w:rPr>
            </w:pPr>
            <w:r>
              <w:rPr>
                <w:rFonts w:ascii="Arial" w:cs="Arial" w:eastAsia="Arial" w:hAnsi="Arial"/>
                <w:sz w:val="14"/>
                <w:szCs w:val="14"/>
                <w:b w:val="1"/>
                <w:bCs w:val="1"/>
                <w:color w:val="auto"/>
              </w:rPr>
              <w:t>Cable</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Programming</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and Other</w:t>
            </w:r>
          </w:p>
        </w:tc>
        <w:tc>
          <w:tcPr>
            <w:tcW w:w="86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2006</w:t>
            </w:r>
          </w:p>
        </w:tc>
        <w:tc>
          <w:tcPr>
            <w:tcW w:w="138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$12,010</w:t>
            </w:r>
          </w:p>
        </w:tc>
        <w:tc>
          <w:tcPr>
            <w:tcW w:w="52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1,441</w:t>
            </w:r>
          </w:p>
        </w:tc>
        <w:tc>
          <w:tcPr>
            <w:tcW w:w="48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317</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Settlements or adjustments</w:t>
            </w:r>
          </w:p>
        </w:tc>
        <w:tc>
          <w:tcPr>
            <w:tcW w:w="1380" w:type="dxa"/>
            <w:vAlign w:val="bottom"/>
          </w:tcPr>
          <w:p>
            <w:pPr>
              <w:jc w:val="right"/>
              <w:ind w:right="176"/>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13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489</w:t>
            </w:r>
          </w:p>
        </w:tc>
        <w:tc>
          <w:tcPr>
            <w:tcW w:w="5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155</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Balance, June 30, 2007</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$ 12,511</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1,433</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$14,416</w:t>
            </w:r>
          </w:p>
        </w:tc>
        <w:tc>
          <w:tcPr>
            <w:tcW w:w="20" w:type="dxa"/>
            <w:vAlign w:val="bottom"/>
            <w:tcBorders>
              <w:bottom w:val="single" w:sz="8" w:color="auto"/>
            </w:tcBorders>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Settlements or adjustments are primarily related to valuation refinements related to the Adelphia and Time Warner transactions and the adoption of FIN 48.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are primarily related to the acquisition of the Houston Asset Pool and various smaller acquisitions.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2007, we issued $575 million principal amount of 6.625% notes due 2056. We used the net proceeds of this offering for the repayment of certain debt obligations, working capital and general corporate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Repayments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2007, we redeemed $186 million principal amount of 8.15% senior notes due 2032. In March 2007, we redeemed $268 million principal amount of 9.65% debt supporting trust preferred securities due 2027. In April 2007, we repaid a $185 million term loan due 2008. In May 2007, we repaid all $600 million principal amount of 8.375% senior notes at maturity. These redemptions and repayments were funded with available cash and with the proceeds from the May 2007 notes offering.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Effective January 1, 2006, we adopted SFAS No. 123R, “Share-Based Payment” (“SFAS No. 123R”), which requires the cost of all share-based payments to employees to be recognized in the financial statements based on their fair values at grant date, or the date of later modification, over the requisite service period.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Stock Split, all outstanding share-based awards were modified as required under the terms of our equity plans. This modification did not change the fair value of outstanding awards. Prior to this modification, compensation costs related to awards granted before the adoption of SFAS No. 123R were recognized under an accelerated recognition method. As a result of the Stock Split modification, the remaining unrecognized compensation costs related to all awards are recognized on a straight-line basis over the remaining requisite service period. The impact of this change was not material to our consolidated financial statements.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2007, 12.5 million stock options and 4.9 million restricted share units (“RSUs”) were granted related to our annual management grant program. The fair values associated with these grants were $9.47 per stock option and $25.44 per RSU.</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expense recognized related to stock options and RSU awards is summarized in the table below:</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3"/>
          </w:tcPr>
          <w:p>
            <w:pPr>
              <w:jc w:val="right"/>
              <w:ind w:right="377"/>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40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4"/>
        </w:trPr>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4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83"/>
              </w:rPr>
              <w:t>2007</w:t>
            </w:r>
          </w:p>
        </w:tc>
        <w:tc>
          <w:tcPr>
            <w:tcW w:w="640" w:type="dxa"/>
            <w:vAlign w:val="bottom"/>
          </w:tcPr>
          <w:p>
            <w:pPr>
              <w:jc w:val="right"/>
              <w:ind w:right="59"/>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5"/>
                <w:szCs w:val="15"/>
                <w:color w:val="auto"/>
              </w:rPr>
            </w:pPr>
          </w:p>
        </w:tc>
        <w:tc>
          <w:tcPr>
            <w:tcW w:w="3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76"/>
              </w:rPr>
              <w:t>2007</w:t>
            </w:r>
          </w:p>
        </w:tc>
        <w:tc>
          <w:tcPr>
            <w:tcW w:w="620" w:type="dxa"/>
            <w:vAlign w:val="bottom"/>
          </w:tcPr>
          <w:p>
            <w:pPr>
              <w:jc w:val="right"/>
              <w:ind w:right="39"/>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36"/>
        </w:trPr>
        <w:tc>
          <w:tcPr>
            <w:tcW w:w="61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50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78</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2007, there was $293 million and $285 million of unrecognized pretax compensation cost related to nonvested stock options and nonvested RSUs, respectively.</w:t>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Effective with the March 2007 grant, we are granting net-settled stock options instead of cash-settled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This change will result in fewer shares issued into the market and no cash proceeds will be received by us upon exercise of options (as compared to options granted prior to the March 2007 grant).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three and six months ended June 30, 2007 and 2006 is presented in the following table:</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6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w w:val="89"/>
              </w:rPr>
              <w:t>2007</w:t>
            </w:r>
          </w:p>
        </w:tc>
        <w:tc>
          <w:tcPr>
            <w:tcW w:w="740" w:type="dxa"/>
            <w:vAlign w:val="bottom"/>
          </w:tcPr>
          <w:p>
            <w:pPr>
              <w:spacing w:after="0"/>
              <w:rPr>
                <w:sz w:val="12"/>
                <w:szCs w:val="12"/>
                <w:color w:val="auto"/>
              </w:rPr>
            </w:pPr>
          </w:p>
        </w:tc>
        <w:tc>
          <w:tcPr>
            <w:tcW w:w="80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w w:val="89"/>
              </w:rPr>
              <w:t>2006</w:t>
            </w:r>
          </w:p>
        </w:tc>
        <w:tc>
          <w:tcPr>
            <w:tcW w:w="9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588</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460</w:t>
            </w: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$ 1,425</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Unrealized (losses) gains on marketable securities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18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w w:val="94"/>
              </w:rPr>
              <w:t>Reclassification adjustments for losses (gains) included in net income</w:t>
            </w: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7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3</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72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547</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481</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$ 1,339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946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Income Taxes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the provisions of FIN 48 on January 1, 2007. FIN 48 prescribes the recognition threshold and measurement attribute for the financial statement recognition and measurement of uncertain tax positions taken or expected to be taken in a tax return. As a result of this adoption, we recognized a $35 million decrease in our reserves for uncertain tax positions, a $25 million increase in goodwill, a $60 million increase in retained earnings and a reclassification of approximately $960 million between deferred income taxes and other noncurrent liabilities to conform with the balance sheet presentation requirements of FIN</w:t>
      </w:r>
    </w:p>
    <w:p>
      <w:pPr>
        <w:spacing w:after="0" w:line="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total uncertain tax positions as of January 1, 2007 were $2.1 billion, excluding the federal benefits on state tax positions that have been recorded as</w:t>
      </w:r>
    </w:p>
    <w:p>
      <w:pPr>
        <w:spacing w:after="0" w:line="18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income taxes; this amount includes a $500 million tax payment for which we are seeking a refund. If we were to recognize the tax benefit for such positions, approximately $550 million would impact our effective tax rate.</w:t>
      </w:r>
    </w:p>
    <w:p>
      <w:pPr>
        <w:spacing w:after="0" w:line="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file a consolidated federal income tax return and income tax returns with various states. Our federal and our state income tax return examinations, with limited exceptions, have been completed through 1999. The Internal Revenue Service (“IRS”) and various states are currently conducting examinations of our income tax returns for the years 2000 through 2004. The IRS has proposed certain adjustments principally related to certain financing transactions. We are currently evaluating those proposed adjustments, but if the adjustments are accepted or otherwise are sustained, such adjustments would not have a material impact on our effective tax rate. In addition, the statutes of limitations could expire for certain of our state tax returns over the next 12 months, which could result in favorable adjustments to our uncertain tax positions. Such adjustments are not expected to have a material impact on our effective tax rate.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 As of January 1, 2007, we had accrued approximately $700 million of interest associated with our uncertain tax positions. For the three and six months ended June 30, 2007, we recognized $30 million and $52 million, respectively, of interest, net of deferred tax benefit, within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Statement of Cash Flows—Supplemental Information</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2006, we began presenting our cash overdrafts resulting from checks drawn on zero balance accounts (“book overdrafts”) within accounts payable and accrued expenses related to trade creditors. Previously, these book overdrafts were included within cash and cash equivalents. Our financial statements reflect this revised presentation for 2006. Accordingly, the reported amounts of our cash and cash equivalents and accounts payable and accrued expenses related to trade creditors increased as of June 30, 2006 by $195 million and net cash provided by operating activities for the six months ended June 30, 2006 decreased by $59 million.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cash payments we made for interest and income taxes during the three and six months ended June 30, 2007 and 2006:</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6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2007</w:t>
            </w:r>
          </w:p>
        </w:tc>
        <w:tc>
          <w:tcPr>
            <w:tcW w:w="740" w:type="dxa"/>
            <w:vAlign w:val="bottom"/>
          </w:tcPr>
          <w:p>
            <w:pPr>
              <w:spacing w:after="0"/>
              <w:rPr>
                <w:sz w:val="12"/>
                <w:szCs w:val="12"/>
                <w:color w:val="auto"/>
              </w:rPr>
            </w:pPr>
          </w:p>
        </w:tc>
        <w:tc>
          <w:tcPr>
            <w:tcW w:w="80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46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83"/>
              </w:rPr>
              <w:t>2007</w:t>
            </w:r>
          </w:p>
        </w:tc>
        <w:tc>
          <w:tcPr>
            <w:tcW w:w="74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99"/>
              </w:rPr>
              <w:t>416</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rPr>
              <w:t>410</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1,078</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613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9"/>
              <w:spacing w:after="0"/>
              <w:rPr>
                <w:sz w:val="20"/>
                <w:szCs w:val="20"/>
                <w:color w:val="auto"/>
              </w:rPr>
            </w:pPr>
            <w:r>
              <w:rPr>
                <w:rFonts w:ascii="Arial" w:cs="Arial" w:eastAsia="Arial" w:hAnsi="Arial"/>
                <w:sz w:val="18"/>
                <w:szCs w:val="18"/>
                <w:color w:val="auto"/>
              </w:rPr>
              <w:t>395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647</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2007,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exchanged our 50% interest in the Kansas City Asset Pool for TWC’s 50% interest in the Houston Asset Pool, which is considered a noncash investing activity</w:t>
      </w:r>
    </w:p>
    <w:p>
      <w:pPr>
        <w:spacing w:after="0" w:line="37"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settled the remaining outstanding $49 million face amount of exchangeable notes by delivering approximately 1.8 million of the 2.2 million underlying Vodafone ADRs to the counterparty, which is considered a noncash financing and investing activity</w:t>
      </w:r>
    </w:p>
    <w:p>
      <w:pPr>
        <w:spacing w:after="0" w:line="1" w:lineRule="exact"/>
        <w:rPr>
          <w:rFonts w:ascii="Arial" w:cs="Arial" w:eastAsia="Arial" w:hAnsi="Arial"/>
          <w:sz w:val="16"/>
          <w:szCs w:val="16"/>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capital leases totaling $42 million, which is considered a noncash investing and financing activity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May 2008 and March 2011. Although there can be no assurance, we believe that we will not be required to meet our obligations under such commitments. The total notional amount of our commitments was $965 million as of June 30, 2007, at which time there were no quoted market prices for similar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Home Cases</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under Section 16(b) of the Securities Exchange Act of 1934 (purported to have arisen in connection with certain transactions relating to At Home stock effected under the March 2000 agreements).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Southern District of New York actions (item (i) above), the court dismissed all claims. The plaintiffs appealed this decision, and the Court of Appeals for the Second Circuit denied the plaintiffs’ appeal and a subsequent petition for rehearing.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The plaintiffs recommenced the breach of fiduciary duty claim in Delaware Chancery Court. The Court has set a trial date in October 2007.</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terms of our 2002 acquisition of AT&amp;T Corp.’s cable business, we are contractually liable for 50% of any liabilities of AT&amp;T in the action described in item (i) above (in which we are also a defendant).</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pursuant to antitrust statutes, including treble damages.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motion to dismiss the Pennsylvania case on the pleadings was denied and a class of “Philadelphia Cluster” subscribers was certified. Plaintiffs are seeking to certify a class for the “Chicago Cluster.” We have moved to dismiss the Massachusetts case, which was recently transferred to the Eastern District of Pennsylvania, and plaintiffs are seeking to consolidate it with the Pennsylvania case.</w:t>
      </w:r>
    </w:p>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Our financial data by business segment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2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Cable (a)</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Corporate and</w:t>
            </w: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Eliminations(f)</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w w:val="97"/>
              </w:rPr>
              <w:t>(b)(c)</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Programming(d)</w:t>
            </w:r>
          </w:p>
        </w:tc>
        <w:tc>
          <w:tcPr>
            <w:tcW w:w="16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Other(e)(f)(c)</w:t>
            </w:r>
          </w:p>
        </w:tc>
        <w:tc>
          <w:tcPr>
            <w:tcW w:w="580" w:type="dxa"/>
            <w:vAlign w:val="bottom"/>
          </w:tcPr>
          <w:p>
            <w:pPr>
              <w:spacing w:after="0"/>
              <w:rPr>
                <w:sz w:val="14"/>
                <w:szCs w:val="14"/>
                <w:color w:val="auto"/>
              </w:rPr>
            </w:pPr>
          </w:p>
        </w:tc>
        <w:tc>
          <w:tcPr>
            <w:tcW w:w="1060" w:type="dxa"/>
            <w:vAlign w:val="bottom"/>
          </w:tcPr>
          <w:p>
            <w:pPr>
              <w:jc w:val="right"/>
              <w:ind w:right="693"/>
              <w:spacing w:after="0"/>
              <w:rPr>
                <w:sz w:val="20"/>
                <w:szCs w:val="20"/>
                <w:color w:val="auto"/>
              </w:rPr>
            </w:pPr>
            <w:r>
              <w:rPr>
                <w:rFonts w:ascii="Arial" w:cs="Arial" w:eastAsia="Arial" w:hAnsi="Arial"/>
                <w:sz w:val="14"/>
                <w:szCs w:val="14"/>
                <w:b w:val="1"/>
                <w:bCs w:val="1"/>
                <w:color w:val="auto"/>
              </w:rPr>
              <w:t>(g)</w:t>
            </w:r>
          </w:p>
        </w:tc>
        <w:tc>
          <w:tcPr>
            <w:tcW w:w="46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2007</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7,330</w:t>
            </w:r>
          </w:p>
        </w:tc>
        <w:tc>
          <w:tcPr>
            <w:tcW w:w="7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334</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103</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6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3,031</w:t>
            </w:r>
          </w:p>
        </w:tc>
        <w:tc>
          <w:tcPr>
            <w:tcW w:w="7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75</w:t>
            </w:r>
          </w:p>
        </w:tc>
        <w:tc>
          <w:tcPr>
            <w:tcW w:w="68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(92)</w:t>
            </w:r>
          </w:p>
        </w:tc>
        <w:tc>
          <w:tcPr>
            <w:tcW w:w="58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w:t>
            </w:r>
          </w:p>
        </w:tc>
        <w:tc>
          <w:tcPr>
            <w:tcW w:w="46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1,471</w:t>
            </w:r>
          </w:p>
        </w:tc>
        <w:tc>
          <w:tcPr>
            <w:tcW w:w="76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1,560</w:t>
            </w: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29</w:t>
            </w: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(124)</w:t>
            </w: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w:t>
            </w: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1,586</w:t>
            </w:r>
          </w:p>
        </w:tc>
        <w:tc>
          <w:tcPr>
            <w:tcW w:w="7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2006</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5,599</w:t>
            </w:r>
          </w:p>
        </w:tc>
        <w:tc>
          <w:tcPr>
            <w:tcW w:w="7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273</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73</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(37)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6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2,327</w:t>
            </w:r>
          </w:p>
        </w:tc>
        <w:tc>
          <w:tcPr>
            <w:tcW w:w="7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59</w:t>
            </w:r>
          </w:p>
        </w:tc>
        <w:tc>
          <w:tcPr>
            <w:tcW w:w="68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(74)</w:t>
            </w:r>
          </w:p>
        </w:tc>
        <w:tc>
          <w:tcPr>
            <w:tcW w:w="58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1,078</w:t>
            </w:r>
          </w:p>
        </w:tc>
        <w:tc>
          <w:tcPr>
            <w:tcW w:w="76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1,249</w:t>
            </w: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18</w:t>
            </w: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(97)</w:t>
            </w: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w:t>
            </w: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915</w:t>
            </w:r>
          </w:p>
        </w:tc>
        <w:tc>
          <w:tcPr>
            <w:tcW w:w="7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2007</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14,328</w:t>
            </w:r>
          </w:p>
        </w:tc>
        <w:tc>
          <w:tcPr>
            <w:tcW w:w="7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636</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258</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(122)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6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5,824</w:t>
            </w:r>
          </w:p>
        </w:tc>
        <w:tc>
          <w:tcPr>
            <w:tcW w:w="7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140</w:t>
            </w:r>
          </w:p>
        </w:tc>
        <w:tc>
          <w:tcPr>
            <w:tcW w:w="68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(187)</w:t>
            </w:r>
          </w:p>
        </w:tc>
        <w:tc>
          <w:tcPr>
            <w:tcW w:w="58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w:t>
            </w:r>
          </w:p>
        </w:tc>
        <w:tc>
          <w:tcPr>
            <w:tcW w:w="46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2,911</w:t>
            </w:r>
          </w:p>
        </w:tc>
        <w:tc>
          <w:tcPr>
            <w:tcW w:w="76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2,913</w:t>
            </w: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47</w:t>
            </w: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(239)</w:t>
            </w: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8</w:t>
            </w: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3,029</w:t>
            </w:r>
          </w:p>
        </w:tc>
        <w:tc>
          <w:tcPr>
            <w:tcW w:w="7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2006</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10,868</w:t>
            </w:r>
          </w:p>
        </w:tc>
        <w:tc>
          <w:tcPr>
            <w:tcW w:w="76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512</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202</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(79)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11,503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6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4,432</w:t>
            </w:r>
          </w:p>
        </w:tc>
        <w:tc>
          <w:tcPr>
            <w:tcW w:w="7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109</w:t>
            </w:r>
          </w:p>
        </w:tc>
        <w:tc>
          <w:tcPr>
            <w:tcW w:w="68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w:t>
            </w:r>
          </w:p>
        </w:tc>
        <w:tc>
          <w:tcPr>
            <w:tcW w:w="46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2,112</w:t>
            </w:r>
          </w:p>
        </w:tc>
        <w:tc>
          <w:tcPr>
            <w:tcW w:w="76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2,320</w:t>
            </w:r>
          </w:p>
        </w:tc>
        <w:tc>
          <w:tcPr>
            <w:tcW w:w="7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27</w:t>
            </w: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(177)</w:t>
            </w:r>
          </w:p>
        </w:tc>
        <w:tc>
          <w:tcPr>
            <w:tcW w:w="5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7</w:t>
            </w: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1,740</w:t>
            </w:r>
          </w:p>
        </w:tc>
        <w:tc>
          <w:tcPr>
            <w:tcW w:w="7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six months ended June 30, 2007 and 2006, Cable segment revenues were derived from the following services: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80" w:type="dxa"/>
            <w:vAlign w:val="bottom"/>
            <w:gridSpan w:val="2"/>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2"/>
          </w:tcPr>
          <w:p>
            <w:pPr>
              <w:jc w:val="right"/>
              <w:ind w:right="806"/>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2006</w:t>
            </w: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E5E5E5"/>
          </w:tcPr>
          <w:p>
            <w:pPr>
              <w:spacing w:after="0"/>
              <w:rPr>
                <w:sz w:val="20"/>
                <w:szCs w:val="20"/>
                <w:color w:val="auto"/>
              </w:rPr>
            </w:pPr>
            <w:r>
              <w:rPr>
                <w:rFonts w:ascii="Arial" w:cs="Arial" w:eastAsia="Arial" w:hAnsi="Arial"/>
                <w:sz w:val="18"/>
                <w:szCs w:val="18"/>
                <w:color w:val="auto"/>
              </w:rPr>
              <w:t>Video</w:t>
            </w:r>
          </w:p>
        </w:tc>
        <w:tc>
          <w:tcPr>
            <w:tcW w:w="4660" w:type="dxa"/>
            <w:vAlign w:val="bottom"/>
            <w:gridSpan w:val="2"/>
            <w:shd w:val="clear" w:color="auto" w:fill="E5E5E5"/>
          </w:tcPr>
          <w:p>
            <w:pPr>
              <w:jc w:val="right"/>
              <w:ind w:right="526"/>
              <w:spacing w:after="0"/>
              <w:rPr>
                <w:sz w:val="20"/>
                <w:szCs w:val="20"/>
                <w:color w:val="auto"/>
              </w:rPr>
            </w:pPr>
            <w:r>
              <w:rPr>
                <w:rFonts w:ascii="Arial" w:cs="Arial" w:eastAsia="Arial" w:hAnsi="Arial"/>
                <w:sz w:val="18"/>
                <w:szCs w:val="18"/>
                <w:color w:val="auto"/>
              </w:rPr>
              <w:t>60.9%</w:t>
            </w:r>
          </w:p>
        </w:tc>
        <w:tc>
          <w:tcPr>
            <w:tcW w:w="104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63.1%</w:t>
            </w:r>
          </w:p>
        </w:tc>
        <w:tc>
          <w:tcPr>
            <w:tcW w:w="1480" w:type="dxa"/>
            <w:vAlign w:val="bottom"/>
            <w:shd w:val="clear" w:color="auto" w:fill="E5E5E5"/>
          </w:tcPr>
          <w:p>
            <w:pPr>
              <w:jc w:val="right"/>
              <w:ind w:right="499"/>
              <w:spacing w:after="0"/>
              <w:rPr>
                <w:sz w:val="20"/>
                <w:szCs w:val="20"/>
                <w:color w:val="auto"/>
              </w:rPr>
            </w:pPr>
            <w:r>
              <w:rPr>
                <w:rFonts w:ascii="Arial" w:cs="Arial" w:eastAsia="Arial" w:hAnsi="Arial"/>
                <w:sz w:val="18"/>
                <w:szCs w:val="18"/>
                <w:color w:val="auto"/>
              </w:rPr>
              <w:t>61.6%</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High-speed Internet</w:t>
            </w:r>
          </w:p>
        </w:tc>
        <w:tc>
          <w:tcPr>
            <w:tcW w:w="4660" w:type="dxa"/>
            <w:vAlign w:val="bottom"/>
            <w:gridSpan w:val="2"/>
          </w:tcPr>
          <w:p>
            <w:pPr>
              <w:jc w:val="right"/>
              <w:ind w:right="666"/>
              <w:spacing w:after="0"/>
              <w:rPr>
                <w:sz w:val="20"/>
                <w:szCs w:val="20"/>
                <w:color w:val="auto"/>
              </w:rPr>
            </w:pPr>
            <w:r>
              <w:rPr>
                <w:rFonts w:ascii="Arial" w:cs="Arial" w:eastAsia="Arial" w:hAnsi="Arial"/>
                <w:sz w:val="18"/>
                <w:szCs w:val="18"/>
                <w:color w:val="auto"/>
              </w:rPr>
              <w:t>21.7</w:t>
            </w:r>
          </w:p>
        </w:tc>
        <w:tc>
          <w:tcPr>
            <w:tcW w:w="1040" w:type="dxa"/>
            <w:vAlign w:val="bottom"/>
          </w:tcPr>
          <w:p>
            <w:pPr>
              <w:jc w:val="right"/>
              <w:ind w:right="435"/>
              <w:spacing w:after="0"/>
              <w:rPr>
                <w:sz w:val="20"/>
                <w:szCs w:val="20"/>
                <w:color w:val="auto"/>
              </w:rPr>
            </w:pPr>
            <w:r>
              <w:rPr>
                <w:rFonts w:ascii="Arial" w:cs="Arial" w:eastAsia="Arial" w:hAnsi="Arial"/>
                <w:sz w:val="18"/>
                <w:szCs w:val="18"/>
                <w:color w:val="auto"/>
              </w:rPr>
              <w:t>20.2</w:t>
            </w:r>
          </w:p>
        </w:tc>
        <w:tc>
          <w:tcPr>
            <w:tcW w:w="1480" w:type="dxa"/>
            <w:vAlign w:val="bottom"/>
          </w:tcPr>
          <w:p>
            <w:pPr>
              <w:jc w:val="right"/>
              <w:ind w:right="639"/>
              <w:spacing w:after="0"/>
              <w:rPr>
                <w:sz w:val="20"/>
                <w:szCs w:val="20"/>
                <w:color w:val="auto"/>
              </w:rPr>
            </w:pPr>
            <w:r>
              <w:rPr>
                <w:rFonts w:ascii="Arial" w:cs="Arial" w:eastAsia="Arial" w:hAnsi="Arial"/>
                <w:sz w:val="18"/>
                <w:szCs w:val="18"/>
                <w:color w:val="auto"/>
              </w:rPr>
              <w:t>21.7</w:t>
            </w: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4660" w:type="dxa"/>
            <w:vAlign w:val="bottom"/>
            <w:gridSpan w:val="2"/>
            <w:shd w:val="clear" w:color="auto" w:fill="E5E5E5"/>
          </w:tcPr>
          <w:p>
            <w:pPr>
              <w:jc w:val="right"/>
              <w:ind w:right="666"/>
              <w:spacing w:after="0"/>
              <w:rPr>
                <w:sz w:val="20"/>
                <w:szCs w:val="20"/>
                <w:color w:val="auto"/>
              </w:rPr>
            </w:pPr>
            <w:r>
              <w:rPr>
                <w:rFonts w:ascii="Arial" w:cs="Arial" w:eastAsia="Arial" w:hAnsi="Arial"/>
                <w:sz w:val="18"/>
                <w:szCs w:val="18"/>
                <w:color w:val="auto"/>
              </w:rPr>
              <w:t>5.7</w:t>
            </w:r>
          </w:p>
        </w:tc>
        <w:tc>
          <w:tcPr>
            <w:tcW w:w="104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3.4</w:t>
            </w:r>
          </w:p>
        </w:tc>
        <w:tc>
          <w:tcPr>
            <w:tcW w:w="1480" w:type="dxa"/>
            <w:vAlign w:val="bottom"/>
            <w:shd w:val="clear" w:color="auto" w:fill="E5E5E5"/>
          </w:tcPr>
          <w:p>
            <w:pPr>
              <w:jc w:val="right"/>
              <w:ind w:right="639"/>
              <w:spacing w:after="0"/>
              <w:rPr>
                <w:sz w:val="20"/>
                <w:szCs w:val="20"/>
                <w:color w:val="auto"/>
              </w:rPr>
            </w:pPr>
            <w:r>
              <w:rPr>
                <w:rFonts w:ascii="Arial" w:cs="Arial" w:eastAsia="Arial" w:hAnsi="Arial"/>
                <w:sz w:val="18"/>
                <w:szCs w:val="18"/>
                <w:color w:val="auto"/>
              </w:rPr>
              <w:t>5.4</w:t>
            </w: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Advertising</w:t>
            </w:r>
          </w:p>
        </w:tc>
        <w:tc>
          <w:tcPr>
            <w:tcW w:w="4660" w:type="dxa"/>
            <w:vAlign w:val="bottom"/>
            <w:gridSpan w:val="2"/>
          </w:tcPr>
          <w:p>
            <w:pPr>
              <w:jc w:val="right"/>
              <w:ind w:right="666"/>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435"/>
              <w:spacing w:after="0"/>
              <w:rPr>
                <w:sz w:val="20"/>
                <w:szCs w:val="20"/>
                <w:color w:val="auto"/>
              </w:rPr>
            </w:pPr>
            <w:r>
              <w:rPr>
                <w:rFonts w:ascii="Arial" w:cs="Arial" w:eastAsia="Arial" w:hAnsi="Arial"/>
                <w:sz w:val="18"/>
                <w:szCs w:val="18"/>
                <w:color w:val="auto"/>
              </w:rPr>
              <w:t>6.3</w:t>
            </w:r>
          </w:p>
        </w:tc>
        <w:tc>
          <w:tcPr>
            <w:tcW w:w="1480" w:type="dxa"/>
            <w:vAlign w:val="bottom"/>
          </w:tcPr>
          <w:p>
            <w:pPr>
              <w:jc w:val="right"/>
              <w:ind w:right="639"/>
              <w:spacing w:after="0"/>
              <w:rPr>
                <w:sz w:val="20"/>
                <w:szCs w:val="20"/>
                <w:color w:val="auto"/>
              </w:rPr>
            </w:pPr>
            <w:r>
              <w:rPr>
                <w:rFonts w:ascii="Arial" w:cs="Arial" w:eastAsia="Arial" w:hAnsi="Arial"/>
                <w:sz w:val="18"/>
                <w:szCs w:val="18"/>
                <w:color w:val="auto"/>
              </w:rPr>
              <w:t>5.0</w:t>
            </w: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E5E5E5"/>
            </w:tcBorders>
            <w:shd w:val="clear" w:color="auto" w:fill="E5E5E5"/>
          </w:tcPr>
          <w:p>
            <w:pPr>
              <w:spacing w:after="0"/>
              <w:rPr>
                <w:sz w:val="18"/>
                <w:szCs w:val="18"/>
                <w:color w:val="auto"/>
              </w:rPr>
            </w:pPr>
          </w:p>
        </w:tc>
        <w:tc>
          <w:tcPr>
            <w:tcW w:w="1840" w:type="dxa"/>
            <w:vAlign w:val="bottom"/>
            <w:tcBorders>
              <w:bottom w:val="single" w:sz="8" w:color="auto"/>
            </w:tcBorders>
            <w:shd w:val="clear" w:color="auto" w:fill="E5E5E5"/>
          </w:tcPr>
          <w:p>
            <w:pPr>
              <w:jc w:val="right"/>
              <w:ind w:right="666"/>
              <w:spacing w:after="0"/>
              <w:rPr>
                <w:sz w:val="20"/>
                <w:szCs w:val="20"/>
                <w:color w:val="auto"/>
              </w:rPr>
            </w:pPr>
            <w:r>
              <w:rPr>
                <w:rFonts w:ascii="Arial" w:cs="Arial" w:eastAsia="Arial" w:hAnsi="Arial"/>
                <w:sz w:val="18"/>
                <w:szCs w:val="18"/>
                <w:color w:val="auto"/>
              </w:rPr>
              <w:t>6.3</w:t>
            </w:r>
          </w:p>
        </w:tc>
        <w:tc>
          <w:tcPr>
            <w:tcW w:w="104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7.0</w:t>
            </w:r>
          </w:p>
        </w:tc>
        <w:tc>
          <w:tcPr>
            <w:tcW w:w="1480" w:type="dxa"/>
            <w:vAlign w:val="bottom"/>
            <w:tcBorders>
              <w:bottom w:val="single" w:sz="8" w:color="auto"/>
            </w:tcBorders>
            <w:shd w:val="clear" w:color="auto" w:fill="E5E5E5"/>
          </w:tcPr>
          <w:p>
            <w:pPr>
              <w:jc w:val="right"/>
              <w:ind w:right="639"/>
              <w:spacing w:after="0"/>
              <w:rPr>
                <w:sz w:val="20"/>
                <w:szCs w:val="20"/>
                <w:color w:val="auto"/>
              </w:rPr>
            </w:pPr>
            <w:r>
              <w:rPr>
                <w:rFonts w:ascii="Arial" w:cs="Arial" w:eastAsia="Arial" w:hAnsi="Arial"/>
                <w:sz w:val="18"/>
                <w:szCs w:val="18"/>
                <w:color w:val="auto"/>
              </w:rPr>
              <w:t>6.3</w:t>
            </w: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gridSpan w:val="2"/>
          </w:tcPr>
          <w:p>
            <w:pPr>
              <w:jc w:val="right"/>
              <w:ind w:right="486"/>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ind w:right="255"/>
              <w:spacing w:after="0"/>
              <w:rPr>
                <w:sz w:val="20"/>
                <w:szCs w:val="20"/>
                <w:color w:val="auto"/>
              </w:rPr>
            </w:pPr>
            <w:r>
              <w:rPr>
                <w:rFonts w:ascii="Arial" w:cs="Arial" w:eastAsia="Arial" w:hAnsi="Arial"/>
                <w:sz w:val="18"/>
                <w:szCs w:val="18"/>
                <w:b w:val="1"/>
                <w:bCs w:val="1"/>
                <w:color w:val="auto"/>
              </w:rPr>
              <w:t>100%</w:t>
            </w:r>
          </w:p>
        </w:tc>
        <w:tc>
          <w:tcPr>
            <w:tcW w:w="1480" w:type="dxa"/>
            <w:vAlign w:val="bottom"/>
          </w:tcPr>
          <w:p>
            <w:pPr>
              <w:jc w:val="right"/>
              <w:ind w:right="459"/>
              <w:spacing w:after="0"/>
              <w:rPr>
                <w:sz w:val="20"/>
                <w:szCs w:val="20"/>
                <w:color w:val="auto"/>
              </w:rPr>
            </w:pPr>
            <w:r>
              <w:rPr>
                <w:rFonts w:ascii="Arial" w:cs="Arial" w:eastAsia="Arial" w:hAnsi="Arial"/>
                <w:sz w:val="18"/>
                <w:szCs w:val="18"/>
                <w:b w:val="1"/>
                <w:bCs w:val="1"/>
                <w:color w:val="auto"/>
              </w:rPr>
              <w:t>100%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20" w:type="dxa"/>
            <w:vAlign w:val="bottom"/>
          </w:tcPr>
          <w:p>
            <w:pPr>
              <w:jc w:val="right"/>
              <w:ind w:right="435"/>
              <w:spacing w:after="0"/>
              <w:rPr>
                <w:sz w:val="20"/>
                <w:szCs w:val="20"/>
                <w:color w:val="auto"/>
              </w:rPr>
            </w:pPr>
            <w:r>
              <w:rPr>
                <w:rFonts w:ascii="Arial" w:cs="Arial" w:eastAsia="Arial" w:hAnsi="Arial"/>
                <w:sz w:val="18"/>
                <w:szCs w:val="18"/>
                <w:color w:val="auto"/>
              </w:rPr>
              <w:t>14</w:t>
            </w:r>
          </w:p>
        </w:tc>
        <w:tc>
          <w:tcPr>
            <w:tcW w:w="18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42" w:lineRule="exact"/>
        <w:rPr>
          <w:sz w:val="20"/>
          <w:szCs w:val="20"/>
          <w:color w:val="auto"/>
        </w:rPr>
      </w:pPr>
    </w:p>
    <w:p>
      <w:pPr>
        <w:jc w:val="both"/>
        <w:ind w:left="460" w:right="2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regional sports and news networks (Comcast SportsNet, Comcast SportsNet Mid-Atlantic, Comcast SportsNet Chicago, Comcast SportsNet West, Cable Sports Southeast, MountainWest Sports Network, CN8-The Comcast Network and, effective June 30, 2007, Sports Channel New England and Bay Area SportsNet) are included in our Cable segment.</w:t>
      </w:r>
    </w:p>
    <w:p>
      <w:pPr>
        <w:spacing w:after="0" w:line="45"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2006 Cable segment and Corporate and Other amounts have been adjusted for segment reclassifications to be consistent with our 2007 management reporting presentation. The adjustments resulted in the reclassification of revenue for the three and six months ended June 30, 2006 of $13 million and $26 million, respectively, and the reclassification of operating income (loss) before depreciation and amortization of $8 million and $17 million, respectively, from our Cable segment to Corporate and Other.</w:t>
      </w:r>
    </w:p>
    <w:p>
      <w:pPr>
        <w:spacing w:after="0" w:line="4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Programming includes our consolidated national programming networks (E!, Style, The Golf Channel, VERSUS, G4 and AZN Television) and other entertainment-related businesses.</w:t>
      </w:r>
    </w:p>
    <w:p>
      <w:pPr>
        <w:spacing w:after="0" w:line="37"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and Other includes Comcast Spectacor, Comcast Interactive Media, a portion of operating results of our less than wholly owned technology development ventures (see “(f)” below), corporate activities and all other businesses not presented in our Cable or Programming segments.</w:t>
      </w:r>
    </w:p>
    <w:p>
      <w:pPr>
        <w:spacing w:after="0" w:line="1"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4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Programming segment generates revenue by selling cable network programming to our Cable segment, which represents a substantial majority of the revenue elimination amount</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Programming segment when negotiating programming contracts that are recorded as a reduction of programming expenses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Programming segment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99"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 each other’s debt securities. Comcast MO Group, CCH and Comcast MO of Delaware are collectively referred to as the “Combined CCHMO Parents.”</w:t>
      </w:r>
    </w:p>
    <w:p>
      <w:pPr>
        <w:spacing w:after="0" w:line="7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Comcast Corporation unconditionally guarantees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both of which were issued by Comcast Holdings. Accordingly, we have included Comcast Holdings’ condensed consolidated information for all periods presented. Our condensed consolidating financial information is presented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June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5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7"/>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3"/>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w w:val="82"/>
              </w:rPr>
              <w:t>Parent</w:t>
            </w:r>
          </w:p>
        </w:tc>
        <w:tc>
          <w:tcPr>
            <w:tcW w:w="20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w w:val="87"/>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846</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3,474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6,211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w w:val="83"/>
              </w:rPr>
              <w:t>65,340</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31,666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38,992</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42,141</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24,856</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(205,127)</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22,838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22,900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57,914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14,416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14,416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5,165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3"/>
              </w:rPr>
              <w:t>65,693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3"/>
              </w:rPr>
              <w:t>31,682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39,011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42,141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24,887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112,469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(205,127)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110,756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2,977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2,119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5,288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3"/>
              </w:rPr>
              <w:t>15,907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4,052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3,032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6,221</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19,637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6,267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stockholders’ equity</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3"/>
              </w:rPr>
              <w:t>41,790</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26,988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35,438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38,992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23,004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80,705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(205,127)</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41,790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3"/>
              </w:rPr>
              <w:t>41,825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26,988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35,438</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38,992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23,004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80,705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(205,127)</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3"/>
              </w:rPr>
              <w:t>65,693</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3"/>
              </w:rPr>
              <w:t>31,682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83"/>
              </w:rPr>
              <w:t>39,011</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42,141</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3"/>
              </w:rPr>
              <w:t>24,887</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112,469</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(205,127)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110,756</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right="94"/>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5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7"/>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3"/>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61"/>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w w:val="82"/>
              </w:rPr>
              <w:t>Parent</w:t>
            </w:r>
          </w:p>
        </w:tc>
        <w:tc>
          <w:tcPr>
            <w:tcW w:w="20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w w:val="87"/>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1,450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w w:val="83"/>
              </w:rPr>
              <w:t>62,622</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31,152</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37,757</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41,151</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24,250</w:t>
            </w:r>
          </w:p>
        </w:tc>
        <w:tc>
          <w:tcPr>
            <w:tcW w:w="24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1,629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21,230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55,927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13,768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3"/>
              </w:rPr>
              <w:t>62,907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3"/>
              </w:rPr>
              <w:t>31,169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37,778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41,151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24,281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111,680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(198,561)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2,851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563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600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5,466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Long term-debt, less current portion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3"/>
              </w:rPr>
              <w:t>15,358</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4,397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3,046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4,638</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21,564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76</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stockholders’ equity</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3"/>
              </w:rPr>
              <w:t>41,132</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25,879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34,197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37,757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22,300</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78,428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3"/>
              </w:rPr>
              <w:t>41,167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25,879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34,197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37,757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22,300</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78,428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3"/>
              </w:rPr>
              <w:t>62,907</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3"/>
              </w:rPr>
              <w:t>31,169</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83"/>
              </w:rPr>
              <w:t>37,778</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41,151</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3"/>
              </w:rPr>
              <w:t>24,281</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6"/>
              </w:rPr>
              <w:t>111,680</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(198,561)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right="94"/>
              <w:spacing w:after="0"/>
              <w:rPr>
                <w:sz w:val="20"/>
                <w:szCs w:val="20"/>
                <w:color w:val="auto"/>
              </w:rPr>
            </w:pPr>
            <w:r>
              <w:rPr>
                <w:rFonts w:ascii="Arial" w:cs="Arial" w:eastAsia="Arial" w:hAnsi="Arial"/>
                <w:sz w:val="18"/>
                <w:szCs w:val="18"/>
                <w:color w:val="auto"/>
                <w:w w:val="99"/>
              </w:rPr>
              <w:t>17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June 30, 2007</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Non-</w:t>
            </w:r>
          </w:p>
        </w:tc>
        <w:tc>
          <w:tcPr>
            <w:tcW w:w="360" w:type="dxa"/>
            <w:vAlign w:val="bottom"/>
          </w:tcPr>
          <w:p>
            <w:pPr>
              <w:spacing w:after="0"/>
              <w:rPr>
                <w:sz w:val="12"/>
                <w:szCs w:val="12"/>
                <w:color w:val="auto"/>
              </w:rPr>
            </w:pPr>
          </w:p>
        </w:tc>
        <w:tc>
          <w:tcPr>
            <w:tcW w:w="840" w:type="dxa"/>
            <w:vAlign w:val="bottom"/>
          </w:tcPr>
          <w:p>
            <w:pPr>
              <w:jc w:val="center"/>
              <w:ind w:right="333"/>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6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CCCL</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CCCH</w:t>
            </w:r>
          </w:p>
        </w:tc>
        <w:tc>
          <w:tcPr>
            <w:tcW w:w="102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CCHMO</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2"/>
          </w:tcPr>
          <w:p>
            <w:pPr>
              <w:jc w:val="right"/>
              <w:ind w:right="193"/>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3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0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Parents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7,712</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7,712</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(381)</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7,712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r>
      <w:tr>
        <w:trPr>
          <w:trHeight w:val="210"/>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4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2,754</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84</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(381)</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292</w:t>
            </w: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6,322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r>
      <w:tr>
        <w:trPr>
          <w:trHeight w:val="210"/>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83</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1,390</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1,468</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(260)</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(91)</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(80)</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0"/>
              </w:rPr>
              <w:t>Equity in net (losses) income of affiliates, net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702</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474</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412</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445</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(2,448)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445</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6"/>
              </w:rPr>
              <w:t>383</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337</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391</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(2,448)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(439)</w:t>
            </w:r>
          </w:p>
        </w:tc>
      </w:tr>
      <w:tr>
        <w:trPr>
          <w:trHeight w:val="201"/>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89"/>
              </w:rPr>
              <w:t>Income (loss) from continuing operations before</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income taxes and minority interest</w:t>
            </w:r>
          </w:p>
        </w:tc>
        <w:tc>
          <w:tcPr>
            <w:tcW w:w="46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383</w:t>
            </w:r>
          </w:p>
        </w:tc>
        <w:tc>
          <w:tcPr>
            <w:tcW w:w="2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337</w:t>
            </w:r>
          </w:p>
        </w:tc>
        <w:tc>
          <w:tcPr>
            <w:tcW w:w="4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1,486</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(2,448)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18"/>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(616)</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(453)</w:t>
            </w:r>
          </w:p>
        </w:tc>
      </w:tr>
      <w:tr>
        <w:trPr>
          <w:trHeight w:val="201"/>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89"/>
              </w:rPr>
              <w:t>Income (loss) from continuing operations before</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588</w:t>
            </w:r>
          </w:p>
        </w:tc>
        <w:tc>
          <w:tcPr>
            <w:tcW w:w="28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415</w:t>
            </w:r>
          </w:p>
        </w:tc>
        <w:tc>
          <w:tcPr>
            <w:tcW w:w="2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364</w:t>
            </w:r>
          </w:p>
        </w:tc>
        <w:tc>
          <w:tcPr>
            <w:tcW w:w="4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870</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(2,448)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8"/>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588</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415</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364</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412</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375</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882</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(2,448)</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r>
      <w:tr>
        <w:trPr>
          <w:trHeight w:val="36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ind w:right="212"/>
              <w:spacing w:after="0"/>
              <w:rPr>
                <w:sz w:val="20"/>
                <w:szCs w:val="20"/>
                <w:color w:val="auto"/>
              </w:rPr>
            </w:pPr>
            <w:r>
              <w:rPr>
                <w:rFonts w:ascii="Arial" w:cs="Arial" w:eastAsia="Arial" w:hAnsi="Arial"/>
                <w:sz w:val="18"/>
                <w:szCs w:val="18"/>
                <w:color w:val="auto"/>
                <w:w w:val="99"/>
              </w:rPr>
              <w:t>18</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June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Comcast</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5,908</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5,908</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(330)</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5,908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r>
      <w:tr>
        <w:trPr>
          <w:trHeight w:val="210"/>
        </w:trPr>
        <w:tc>
          <w:tcPr>
            <w:tcW w:w="20" w:type="dxa"/>
            <w:vAlign w:val="bottom"/>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2,130</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2,130</w:t>
            </w: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48</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77</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1,530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1,467</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902</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232</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233</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4,794</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r>
      <w:tr>
        <w:trPr>
          <w:trHeight w:val="210"/>
        </w:trPr>
        <w:tc>
          <w:tcPr>
            <w:tcW w:w="20" w:type="dxa"/>
            <w:vAlign w:val="bottom"/>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1,114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1,173</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5"/>
              </w:rPr>
              <w:t>(173)</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0"/>
              </w:rPr>
              <w:t>(103)</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(82)</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0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580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623</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(2,872)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498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557</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514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(2,872)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(409)</w:t>
            </w:r>
          </w:p>
        </w:tc>
      </w:tr>
      <w:tr>
        <w:trPr>
          <w:trHeight w:val="201"/>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w w:val="90"/>
              </w:rPr>
              <w:t>Income (loss) from continuing operations before income</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taxes and minority interest</w:t>
            </w:r>
          </w:p>
        </w:tc>
        <w:tc>
          <w:tcPr>
            <w:tcW w:w="40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498</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1,150</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18"/>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(369)</w:t>
            </w:r>
          </w:p>
        </w:tc>
      </w:tr>
      <w:tr>
        <w:trPr>
          <w:trHeight w:val="201"/>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526</w:t>
            </w:r>
          </w:p>
        </w:tc>
        <w:tc>
          <w:tcPr>
            <w:tcW w:w="3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8"/>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526</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580</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501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669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(2,872)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10"/>
        </w:trPr>
        <w:tc>
          <w:tcPr>
            <w:tcW w:w="20" w:type="dxa"/>
            <w:vAlign w:val="bottom"/>
          </w:tcPr>
          <w:p>
            <w:pPr>
              <w:spacing w:after="0"/>
              <w:rPr>
                <w:sz w:val="18"/>
                <w:szCs w:val="18"/>
                <w:color w:val="auto"/>
              </w:rPr>
            </w:pPr>
          </w:p>
        </w:tc>
        <w:tc>
          <w:tcPr>
            <w:tcW w:w="40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r>
      <w:tr>
        <w:trPr>
          <w:trHeight w:val="217"/>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460</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535</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526</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580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501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730</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(2,872)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r>
      <w:tr>
        <w:trPr>
          <w:trHeight w:val="36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Six Months Ended June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2"/>
                <w:szCs w:val="12"/>
                <w:color w:val="auto"/>
              </w:rPr>
            </w:pPr>
          </w:p>
        </w:tc>
        <w:tc>
          <w:tcPr>
            <w:tcW w:w="780" w:type="dxa"/>
            <w:vAlign w:val="bottom"/>
          </w:tcPr>
          <w:p>
            <w:pPr>
              <w:jc w:val="center"/>
              <w:ind w:right="253"/>
              <w:spacing w:after="0" w:line="149" w:lineRule="exact"/>
              <w:rPr>
                <w:sz w:val="20"/>
                <w:szCs w:val="20"/>
                <w:color w:val="auto"/>
              </w:rPr>
            </w:pPr>
            <w:r>
              <w:rPr>
                <w:rFonts w:ascii="Arial" w:cs="Arial" w:eastAsia="Arial" w:hAnsi="Arial"/>
                <w:sz w:val="14"/>
                <w:szCs w:val="14"/>
                <w:b w:val="1"/>
                <w:bCs w:val="1"/>
                <w:color w:val="auto"/>
                <w:w w:val="80"/>
              </w:rPr>
              <w:t>and</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Comcast</w:t>
            </w:r>
          </w:p>
        </w:tc>
        <w:tc>
          <w:tcPr>
            <w:tcW w:w="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CCCL</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CCCH</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CCHMO</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Comcast</w:t>
            </w:r>
          </w:p>
        </w:tc>
        <w:tc>
          <w:tcPr>
            <w:tcW w:w="980" w:type="dxa"/>
            <w:vAlign w:val="bottom"/>
            <w:gridSpan w:val="2"/>
          </w:tcPr>
          <w:p>
            <w:pPr>
              <w:jc w:val="right"/>
              <w:ind w:right="113"/>
              <w:spacing w:after="0" w:line="149" w:lineRule="exact"/>
              <w:rPr>
                <w:sz w:val="20"/>
                <w:szCs w:val="20"/>
                <w:color w:val="auto"/>
              </w:rPr>
            </w:pPr>
            <w:r>
              <w:rPr>
                <w:rFonts w:ascii="Arial" w:cs="Arial" w:eastAsia="Arial" w:hAnsi="Arial"/>
                <w:sz w:val="14"/>
                <w:szCs w:val="14"/>
                <w:b w:val="1"/>
                <w:bCs w:val="1"/>
                <w:color w:val="auto"/>
              </w:rPr>
              <w:t>Guarantor</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2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8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Parents</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98"/>
              </w:rPr>
              <w:t>15,100</w:t>
            </w:r>
          </w:p>
        </w:tc>
        <w:tc>
          <w:tcPr>
            <w:tcW w:w="2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15,100</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9"/>
              </w:rPr>
              <w:t>105</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105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15,100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r>
      <w:tr>
        <w:trPr>
          <w:trHeight w:val="210"/>
        </w:trPr>
        <w:tc>
          <w:tcPr>
            <w:tcW w:w="20" w:type="dxa"/>
            <w:vAlign w:val="bottom"/>
          </w:tcPr>
          <w:p>
            <w:pPr>
              <w:spacing w:after="0"/>
              <w:rPr>
                <w:sz w:val="18"/>
                <w:szCs w:val="18"/>
                <w:color w:val="auto"/>
              </w:rPr>
            </w:pPr>
          </w:p>
        </w:tc>
        <w:tc>
          <w:tcPr>
            <w:tcW w:w="4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3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5,513</w:t>
            </w:r>
          </w:p>
        </w:tc>
        <w:tc>
          <w:tcPr>
            <w:tcW w:w="28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5,513</w:t>
            </w:r>
          </w:p>
        </w:tc>
      </w:tr>
      <w:tr>
        <w:trPr>
          <w:trHeight w:val="216"/>
        </w:trPr>
        <w:tc>
          <w:tcPr>
            <w:tcW w:w="20" w:type="dxa"/>
            <w:vAlign w:val="bottom"/>
          </w:tcPr>
          <w:p>
            <w:pPr>
              <w:spacing w:after="0"/>
              <w:rPr>
                <w:sz w:val="18"/>
                <w:szCs w:val="18"/>
                <w:color w:val="auto"/>
              </w:rPr>
            </w:pPr>
          </w:p>
        </w:tc>
        <w:tc>
          <w:tcPr>
            <w:tcW w:w="4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105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3,966</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3,812</w:t>
            </w: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569</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569</w:t>
            </w: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105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12,522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r>
      <w:tr>
        <w:trPr>
          <w:trHeight w:val="210"/>
        </w:trPr>
        <w:tc>
          <w:tcPr>
            <w:tcW w:w="20" w:type="dxa"/>
            <w:vAlign w:val="bottom"/>
          </w:tcPr>
          <w:p>
            <w:pPr>
              <w:spacing w:after="0"/>
              <w:rPr>
                <w:sz w:val="18"/>
                <w:szCs w:val="18"/>
                <w:color w:val="auto"/>
              </w:rPr>
            </w:pPr>
          </w:p>
        </w:tc>
        <w:tc>
          <w:tcPr>
            <w:tcW w:w="44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2,578</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5"/>
              </w:rPr>
              <w:t>(189)</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4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1,651</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855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1,211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7"/>
              </w:rPr>
              <w:t>1,291</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(5,741)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10"/>
        </w:trPr>
        <w:tc>
          <w:tcPr>
            <w:tcW w:w="20" w:type="dxa"/>
            <w:vAlign w:val="bottom"/>
          </w:tcPr>
          <w:p>
            <w:pPr>
              <w:spacing w:after="0"/>
              <w:rPr>
                <w:sz w:val="18"/>
                <w:szCs w:val="18"/>
                <w:color w:val="auto"/>
              </w:rPr>
            </w:pPr>
          </w:p>
        </w:tc>
        <w:tc>
          <w:tcPr>
            <w:tcW w:w="448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1,144</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9"/>
              </w:rPr>
              <w:t>666</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1,055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7"/>
              </w:rPr>
              <w:t>1,169</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655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711</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(5,741)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(341)</w:t>
            </w:r>
          </w:p>
        </w:tc>
      </w:tr>
      <w:tr>
        <w:trPr>
          <w:trHeight w:val="201"/>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0"/>
              </w:rPr>
              <w:t>Income (loss) from continuing operations before income taxes</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and minority interest</w:t>
            </w:r>
          </w:p>
        </w:tc>
        <w:tc>
          <w:tcPr>
            <w:tcW w:w="3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1,304</w:t>
            </w:r>
          </w:p>
        </w:tc>
        <w:tc>
          <w:tcPr>
            <w:tcW w:w="200" w:type="dxa"/>
            <w:vAlign w:val="bottom"/>
          </w:tcPr>
          <w:p>
            <w:pPr>
              <w:spacing w:after="0"/>
              <w:rPr>
                <w:sz w:val="19"/>
                <w:szCs w:val="19"/>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w w:val="99"/>
              </w:rPr>
              <w:t>666</w:t>
            </w:r>
          </w:p>
        </w:tc>
        <w:tc>
          <w:tcPr>
            <w:tcW w:w="2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1,055</w:t>
            </w:r>
          </w:p>
        </w:tc>
        <w:tc>
          <w:tcPr>
            <w:tcW w:w="24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1,169</w:t>
            </w:r>
          </w:p>
        </w:tc>
        <w:tc>
          <w:tcPr>
            <w:tcW w:w="280" w:type="dxa"/>
            <w:vAlign w:val="bottom"/>
          </w:tcPr>
          <w:p>
            <w:pPr>
              <w:spacing w:after="0"/>
              <w:rPr>
                <w:sz w:val="19"/>
                <w:szCs w:val="19"/>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3,289</w:t>
            </w:r>
          </w:p>
        </w:tc>
        <w:tc>
          <w:tcPr>
            <w:tcW w:w="28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(5,741)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18"/>
        </w:trPr>
        <w:tc>
          <w:tcPr>
            <w:tcW w:w="20" w:type="dxa"/>
            <w:vAlign w:val="bottom"/>
          </w:tcPr>
          <w:p>
            <w:pPr>
              <w:spacing w:after="0"/>
              <w:rPr>
                <w:sz w:val="18"/>
                <w:szCs w:val="18"/>
                <w:color w:val="auto"/>
              </w:rPr>
            </w:pPr>
          </w:p>
        </w:tc>
        <w:tc>
          <w:tcPr>
            <w:tcW w:w="4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(1,301)</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r>
      <w:tr>
        <w:trPr>
          <w:trHeight w:val="201"/>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9"/>
              </w:rPr>
              <w:t>Income (loss) from continuing operations before minority</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1,425</w:t>
            </w:r>
          </w:p>
        </w:tc>
        <w:tc>
          <w:tcPr>
            <w:tcW w:w="200" w:type="dxa"/>
            <w:vAlign w:val="bottom"/>
          </w:tcPr>
          <w:p>
            <w:pPr>
              <w:spacing w:after="0"/>
              <w:rPr>
                <w:sz w:val="19"/>
                <w:szCs w:val="19"/>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w w:val="99"/>
              </w:rPr>
              <w:t>733</w:t>
            </w:r>
          </w:p>
        </w:tc>
        <w:tc>
          <w:tcPr>
            <w:tcW w:w="2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1,111</w:t>
            </w:r>
          </w:p>
        </w:tc>
        <w:tc>
          <w:tcPr>
            <w:tcW w:w="24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1,211</w:t>
            </w:r>
          </w:p>
        </w:tc>
        <w:tc>
          <w:tcPr>
            <w:tcW w:w="280" w:type="dxa"/>
            <w:vAlign w:val="bottom"/>
          </w:tcPr>
          <w:p>
            <w:pPr>
              <w:spacing w:after="0"/>
              <w:rPr>
                <w:sz w:val="19"/>
                <w:szCs w:val="19"/>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(5,741)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18"/>
        </w:trPr>
        <w:tc>
          <w:tcPr>
            <w:tcW w:w="20" w:type="dxa"/>
            <w:vAlign w:val="bottom"/>
          </w:tcPr>
          <w:p>
            <w:pPr>
              <w:spacing w:after="0"/>
              <w:rPr>
                <w:sz w:val="18"/>
                <w:szCs w:val="18"/>
                <w:color w:val="auto"/>
              </w:rPr>
            </w:pPr>
          </w:p>
        </w:tc>
        <w:tc>
          <w:tcPr>
            <w:tcW w:w="4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1,425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1,111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7"/>
              </w:rPr>
              <w:t>1,211</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682</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(5,741)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w:t>
            </w:r>
          </w:p>
        </w:tc>
      </w:tr>
      <w:tr>
        <w:trPr>
          <w:trHeight w:val="36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Six Months Ended June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Comcast</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w w:val="98"/>
              </w:rPr>
              <w:t>11,503</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11,503</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150</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150</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11,503</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r>
      <w:tr>
        <w:trPr>
          <w:trHeight w:val="210"/>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3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4,203</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150</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3,007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2,889</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1,778</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445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449</w:t>
            </w: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150</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9,433</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r>
      <w:tr>
        <w:trPr>
          <w:trHeight w:val="210"/>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2,070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2,177</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5"/>
              </w:rPr>
              <w:t>(207)</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(164)</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1,060</w:t>
            </w:r>
          </w:p>
        </w:tc>
        <w:tc>
          <w:tcPr>
            <w:tcW w:w="24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783</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734</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630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(4,047)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738</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576</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570</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686</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609</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(4,047)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(817)</w:t>
            </w:r>
          </w:p>
        </w:tc>
      </w:tr>
      <w:tr>
        <w:trPr>
          <w:trHeight w:val="201"/>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0"/>
              </w:rPr>
              <w:t>Income (loss) from continuing operations before income</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taxes and minority interest</w:t>
            </w:r>
          </w:p>
        </w:tc>
        <w:tc>
          <w:tcPr>
            <w:tcW w:w="36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576</w:t>
            </w:r>
          </w:p>
        </w:tc>
        <w:tc>
          <w:tcPr>
            <w:tcW w:w="36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570</w:t>
            </w:r>
          </w:p>
        </w:tc>
        <w:tc>
          <w:tcPr>
            <w:tcW w:w="3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2,121</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18"/>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(776)</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(516)</w:t>
            </w:r>
          </w:p>
        </w:tc>
      </w:tr>
      <w:tr>
        <w:trPr>
          <w:trHeight w:val="201"/>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648</w:t>
            </w:r>
          </w:p>
        </w:tc>
        <w:tc>
          <w:tcPr>
            <w:tcW w:w="36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627</w:t>
            </w:r>
          </w:p>
        </w:tc>
        <w:tc>
          <w:tcPr>
            <w:tcW w:w="3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734</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1,345</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18"/>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648</w:t>
            </w:r>
          </w:p>
        </w:tc>
        <w:tc>
          <w:tcPr>
            <w:tcW w:w="3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627</w:t>
            </w:r>
          </w:p>
        </w:tc>
        <w:tc>
          <w:tcPr>
            <w:tcW w:w="3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734</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w:t>
            </w: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926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648</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627</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734</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611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1,427</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(4,047)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r>
      <w:tr>
        <w:trPr>
          <w:trHeight w:val="36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Six Months Ended June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74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0"/>
              </w:rPr>
              <w:t>(122)</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(98)</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4,956</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0"/>
              </w:rPr>
              <w:t>(600)</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(494)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4"/>
              </w:rPr>
              <w:t>(1,252)</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(337)</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0"/>
              </w:rPr>
              <w:t>(600)</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(234)</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(425)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(1,596)</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98</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334</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(1,738)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(3,052)</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(770)</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8"/>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6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4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56</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334</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(4,901)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(3,205)</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1,162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1,239</w:t>
            </w: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36</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792</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w:t>
            </w: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Six Months Ended June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0"/>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5"/>
              </w:rPr>
              <w:t>(114)</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(117)</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3,432</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2,587</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(1,905)</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(1,388)</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1,003</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(644)</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(1,142)</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733</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117</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7"/>
              </w:rPr>
              <w:t>1,113</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8"/>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(1,098)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99"/>
              </w:rPr>
              <w:t>733</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117</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1,113</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(3,187)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(2,319)</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947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947</w:t>
            </w: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1,161</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the largest cable operator in the United States and offer a variety of consumer entertainment and communication products and services. As of June 30, 2007, our cable systems served approximately 24.1 million video subscribers, 12.4 million high-speed Internet subscribers and 3.5 million phone subscribers and passed approximately 47.9 million homes in 39 states and the District of Columbia. We classify our operations in two reportable segments: Cable and Programming. Our Cable segment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 Our Programming segment consists of our six national programming networks, E!, Style, The Golf Channel, VERSUS, G4, and AZN Television, and other entertainment-related businesses. Revenue from our Programming segment is earned primarily from advertising revenues and from monthly per subscriber license fees paid by cable and satellite distributors.</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comparability of our results of operations for the three and six months ended June 30, 2007 is impacted by the dissolution of the Texas and Kansas City Cable Partnership (“TKCCP”) in January 2007 and the Adelphia and Time Warner transactions in July 2006. The TKCCP dissolution resulted in the acquisition of a cable system serving approximately 700,000 video subscribers in Houston, Texas and a significant nonoperating gain recognized in connection with the divestiture of our portion of the partnership’s investment in cable systems serving Kansas City, south and west Texas, and New Mexico. The Adelphia and Time Warner transactions resulted in the acquisition of cable systems serving approximately 2.8 million video subscribers and the disposition of our previously owned cable systems located in Los Angeles, Cleveland and Dallas, which are presented as discontinued operations. Other highlights and business developments for the six months ended June 30, 2007 include the following:</w:t>
      </w:r>
    </w:p>
    <w:p>
      <w:pPr>
        <w:spacing w:after="0" w:line="24" w:lineRule="exact"/>
        <w:rPr>
          <w:sz w:val="20"/>
          <w:szCs w:val="20"/>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revenue growth of 31.3% and consolidated operating income growth of 25.4%, both driven by results in our Cable segment</w:t>
      </w:r>
    </w:p>
    <w:p>
      <w:pPr>
        <w:spacing w:after="0" w:line="37" w:lineRule="exact"/>
        <w:rPr>
          <w:rFonts w:ascii="Arial" w:cs="Arial" w:eastAsia="Arial" w:hAnsi="Arial"/>
          <w:sz w:val="18"/>
          <w:szCs w:val="18"/>
          <w:color w:val="auto"/>
        </w:rPr>
      </w:pPr>
    </w:p>
    <w:p>
      <w:pPr>
        <w:jc w:val="both"/>
        <w:ind w:left="1020" w:right="126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Cable segment revenue growth of 31.8% and growth in operating income before depreciation and amortization of 31.4%, both driven by growth from acquisitions, as well as growth in revenue generating units (“RGUs”) and the success of our triple play offering</w:t>
      </w:r>
    </w:p>
    <w:p>
      <w:pPr>
        <w:spacing w:after="0" w:line="45"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 of approximately 47 million shares of our Class A Special common stock pursuant to our Board-authorized share repurchase program for approximately $1.3 billion</w:t>
      </w:r>
    </w:p>
    <w:p>
      <w:pPr>
        <w:spacing w:after="0" w:line="37" w:lineRule="exact"/>
        <w:rPr>
          <w:rFonts w:ascii="Arial" w:cs="Arial" w:eastAsia="Arial" w:hAnsi="Arial"/>
          <w:sz w:val="18"/>
          <w:szCs w:val="18"/>
          <w:color w:val="auto"/>
        </w:rPr>
      </w:pPr>
    </w:p>
    <w:p>
      <w:pPr>
        <w:jc w:val="both"/>
        <w:ind w:left="1020" w:right="1240" w:hanging="215"/>
        <w:spacing w:after="0" w:line="289"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agreements to (i) acquire Fandango, an online entertainment site and movie-ticket service, which closed in April 2007, (ii) acquire Rainbow Media Holdings LLC’s 60% interest in Bay Area SportsNet and its 50% interest in Sports Channel New England, expanding our regional sports networks, which closed in June 2007, (iii) divide the assets and liabilities of Insight Midwest partnership that, upon closing of the transaction, will result in our 100% ownership of cable systems serving subscribers in Illinois and Indiana, (iv) acquire the cable systems of Patriot Media serving subscribers in the Central New Jersey area; the Insight Midwest and Patriot Media transactions are subject to closing conditions, including government and other approvals, and are all expected to close by the end of 2007 (refer to Note 4 to our consolidated financial statements for information about acquisitions and other significant events)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provides further details of these highlights and insights into our consolidated financial statements.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JUNE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88"/>
              </w:rPr>
              <w:t>Three Months Ended</w:t>
            </w:r>
          </w:p>
        </w:tc>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Increase /</w:t>
            </w:r>
          </w:p>
        </w:tc>
        <w:tc>
          <w:tcPr>
            <w:tcW w:w="220" w:type="dxa"/>
            <w:vAlign w:val="bottom"/>
          </w:tcPr>
          <w:p>
            <w:pPr>
              <w:spacing w:after="0"/>
              <w:rPr>
                <w:sz w:val="14"/>
                <w:szCs w:val="14"/>
                <w:color w:val="auto"/>
              </w:rPr>
            </w:pPr>
          </w:p>
        </w:tc>
        <w:tc>
          <w:tcPr>
            <w:tcW w:w="160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w w:val="95"/>
              </w:rPr>
              <w:t>Six Months Ended</w:t>
            </w: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Increase /</w:t>
            </w: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(Decrease)</w:t>
            </w:r>
          </w:p>
        </w:tc>
      </w:tr>
      <w:tr>
        <w:trPr>
          <w:trHeight w:val="237"/>
        </w:trPr>
        <w:tc>
          <w:tcPr>
            <w:tcW w:w="4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0"/>
                <w:szCs w:val="20"/>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20"/>
                <w:szCs w:val="20"/>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89"/>
              </w:rPr>
              <w:t>2006</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0"/>
                <w:szCs w:val="20"/>
                <w:color w:val="auto"/>
              </w:rPr>
            </w:pPr>
          </w:p>
        </w:tc>
        <w:tc>
          <w:tcPr>
            <w:tcW w:w="680" w:type="dxa"/>
            <w:vAlign w:val="bottom"/>
          </w:tcPr>
          <w:p>
            <w:pPr>
              <w:jc w:val="right"/>
              <w:ind w:right="274"/>
              <w:spacing w:after="0"/>
              <w:rPr>
                <w:sz w:val="20"/>
                <w:szCs w:val="20"/>
                <w:color w:val="auto"/>
              </w:rPr>
            </w:pPr>
            <w:r>
              <w:rPr>
                <w:rFonts w:ascii="Arial" w:cs="Arial" w:eastAsia="Arial" w:hAnsi="Arial"/>
                <w:sz w:val="14"/>
                <w:szCs w:val="14"/>
                <w:b w:val="1"/>
                <w:bCs w:val="1"/>
                <w:color w:val="auto"/>
                <w:w w:val="96"/>
              </w:rPr>
              <w:t>2006</w:t>
            </w:r>
          </w:p>
        </w:tc>
        <w:tc>
          <w:tcPr>
            <w:tcW w:w="9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3"/>
              </w:rPr>
              <w:t>7,712</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5,908</w:t>
            </w:r>
          </w:p>
        </w:tc>
        <w:tc>
          <w:tcPr>
            <w:tcW w:w="104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87"/>
              </w:rPr>
              <w:t>15,100</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83"/>
              </w:rPr>
              <w:t>11,503</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Operating, selling, general and administrative (excluding</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w w:val="93"/>
              </w:rPr>
              <w:t>4,700</w:t>
            </w:r>
          </w:p>
        </w:tc>
        <w:tc>
          <w:tcPr>
            <w:tcW w:w="26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3"/>
              </w:rPr>
              <w:t>3,597</w:t>
            </w:r>
          </w:p>
        </w:tc>
        <w:tc>
          <w:tcPr>
            <w:tcW w:w="10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9,325</w:t>
            </w:r>
          </w:p>
        </w:tc>
        <w:tc>
          <w:tcPr>
            <w:tcW w:w="24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7,092</w:t>
            </w:r>
          </w:p>
        </w:tc>
        <w:tc>
          <w:tcPr>
            <w:tcW w:w="9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w w:val="93"/>
              </w:rPr>
              <w:t>1,252</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905</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1,785</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292</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233</w:t>
            </w:r>
          </w:p>
        </w:tc>
        <w:tc>
          <w:tcPr>
            <w:tcW w:w="1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449</w:t>
            </w:r>
          </w:p>
        </w:tc>
        <w:tc>
          <w:tcPr>
            <w:tcW w:w="9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26.5</w:t>
            </w: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w w:val="93"/>
              </w:rPr>
              <w:t>1,468</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1,173</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2,729</w:t>
            </w:r>
          </w:p>
        </w:tc>
        <w:tc>
          <w:tcPr>
            <w:tcW w:w="24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2,177</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(409)</w:t>
            </w:r>
          </w:p>
        </w:tc>
        <w:tc>
          <w:tcPr>
            <w:tcW w:w="1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(817)</w:t>
            </w:r>
          </w:p>
        </w:tc>
        <w:tc>
          <w:tcPr>
            <w:tcW w:w="92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(58.3)</w:t>
            </w:r>
          </w:p>
        </w:tc>
      </w:tr>
      <w:tr>
        <w:trPr>
          <w:trHeight w:val="201"/>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4"/>
              </w:rPr>
              <w:t>Income from continuing operations before income taxes and</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9"/>
                <w:szCs w:val="19"/>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w w:val="93"/>
              </w:rPr>
              <w:t>1,029</w:t>
            </w:r>
          </w:p>
        </w:tc>
        <w:tc>
          <w:tcPr>
            <w:tcW w:w="26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764</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1,360</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75.6</w:t>
            </w:r>
          </w:p>
        </w:tc>
      </w:tr>
      <w:tr>
        <w:trPr>
          <w:trHeight w:val="218"/>
        </w:trPr>
        <w:tc>
          <w:tcPr>
            <w:tcW w:w="20" w:type="dxa"/>
            <w:vAlign w:val="bottom"/>
          </w:tcPr>
          <w:p>
            <w:pPr>
              <w:spacing w:after="0"/>
              <w:rPr>
                <w:sz w:val="18"/>
                <w:szCs w:val="18"/>
                <w:color w:val="auto"/>
              </w:rPr>
            </w:pPr>
          </w:p>
        </w:tc>
        <w:tc>
          <w:tcPr>
            <w:tcW w:w="45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(453)</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(369)</w:t>
            </w:r>
          </w:p>
        </w:tc>
        <w:tc>
          <w:tcPr>
            <w:tcW w:w="1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(979)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(516)</w:t>
            </w:r>
          </w:p>
        </w:tc>
        <w:tc>
          <w:tcPr>
            <w:tcW w:w="9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89.6</w:t>
            </w: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Income from continuing operations before minority interest</w:t>
            </w:r>
          </w:p>
        </w:tc>
        <w:tc>
          <w:tcPr>
            <w:tcW w:w="4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395</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844</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67.1</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n/m</w:t>
            </w: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4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b w:val="1"/>
                <w:bCs w:val="1"/>
                <w:color w:val="auto"/>
              </w:rPr>
              <w:t>588</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rPr>
              <w:t>399</w:t>
            </w:r>
          </w:p>
        </w:tc>
        <w:tc>
          <w:tcPr>
            <w:tcW w:w="1040" w:type="dxa"/>
            <w:vAlign w:val="bottom"/>
          </w:tcPr>
          <w:p>
            <w:pPr>
              <w:jc w:val="right"/>
              <w:ind w:right="215"/>
              <w:spacing w:after="0"/>
              <w:rPr>
                <w:sz w:val="20"/>
                <w:szCs w:val="20"/>
                <w:color w:val="auto"/>
              </w:rPr>
            </w:pPr>
            <w:r>
              <w:rPr>
                <w:rFonts w:ascii="Arial" w:cs="Arial" w:eastAsia="Arial" w:hAnsi="Arial"/>
                <w:sz w:val="18"/>
                <w:szCs w:val="18"/>
                <w:b w:val="1"/>
                <w:bCs w:val="1"/>
                <w:color w:val="auto"/>
              </w:rPr>
              <w:t>47.6</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b w:val="1"/>
                <w:bCs w:val="1"/>
                <w:color w:val="auto"/>
              </w:rPr>
              <w:t>1,425</w:t>
            </w:r>
          </w:p>
        </w:tc>
        <w:tc>
          <w:tcPr>
            <w:tcW w:w="24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b w:val="1"/>
                <w:bCs w:val="1"/>
                <w:color w:val="auto"/>
              </w:rPr>
              <w:t>837</w:t>
            </w:r>
          </w:p>
        </w:tc>
        <w:tc>
          <w:tcPr>
            <w:tcW w:w="920" w:type="dxa"/>
            <w:vAlign w:val="bottom"/>
          </w:tcPr>
          <w:p>
            <w:pPr>
              <w:jc w:val="right"/>
              <w:ind w:right="95"/>
              <w:spacing w:after="0"/>
              <w:rPr>
                <w:sz w:val="20"/>
                <w:szCs w:val="20"/>
                <w:color w:val="auto"/>
              </w:rPr>
            </w:pPr>
            <w:r>
              <w:rPr>
                <w:rFonts w:ascii="Arial" w:cs="Arial" w:eastAsia="Arial" w:hAnsi="Arial"/>
                <w:sz w:val="18"/>
                <w:szCs w:val="18"/>
                <w:b w:val="1"/>
                <w:bCs w:val="1"/>
                <w:color w:val="auto"/>
              </w:rPr>
              <w:t>70.3</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Discontinued operations, net of tax</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61</w:t>
            </w:r>
          </w:p>
        </w:tc>
        <w:tc>
          <w:tcPr>
            <w:tcW w:w="1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89</w:t>
            </w:r>
          </w:p>
        </w:tc>
        <w:tc>
          <w:tcPr>
            <w:tcW w:w="9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588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460</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926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revenues for the three and six months ended June 30, 2007 compared to the same periods in 2006. Cable segment and Programming segment revenues are discussed separately below in “Segment Operating Results.” The remaining changes relate to our other business activities, primarily Comcast Spectacor and growth in Comcast Interactive Media.</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operating, selling, general and administrative expenses for the three and six months ended June 30, 2007 compared to the same periods in 2006. Cable segment and Programming segment operating, selling, general and administrative expenses are discussed separately below in “Segment Operating Results.” The remaining changes relate to our other business activities, primarily Comcast Spectacor, whose expenses were negatively affected by player contract termination costs in the first quarter of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depreciation expense for the three and six months ended June 30, 2007 compared to the same periods in 2006 are primarily a result of the effects of capital expenditures and the depreciation associated with our newly acquired cable systems.</w:t>
      </w:r>
    </w:p>
    <w:p>
      <w:pPr>
        <w:spacing w:after="0" w:line="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increases in amortization expense for the three and six months ended June 30, 2007 compared to the same periods in 2006 are primarily a result of the increase in the amortization expense of our franchise-related customer relationship intangible assets associated with our newly acquired cable systems.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adjustments have been made to our 2006 segment presentation to conform to our 2007 management reporting presentation. See Note 12 to our consolidated financial statements for further discussion of these adjustments.</w:t>
      </w:r>
    </w:p>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12). You should not consider this measure a substitute for operating income (loss), net income (loss), net cash provided by operating activities, or other measures of performance or liquidity we have reported in accordance with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comparability of the results of operations of our Cable segment is impacted by the acquisition of the cable system serving Houston, Texas in January 2007, the Adelphia and Time Warner transactions in July 2006, and the acquisition of the cable systems of Susquehanna Communications in April 2006. We collectively refer to the cable systems acquired in these transactions as the “newly acquired cable systems.” The newly acquired cable systems accounted for approximately $1.0 billion and $2.1 billion of increased revenues for the three and six months ended June 30, 2007, respectively.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Cable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5"/>
              </w:rPr>
              <w:t>June 30,</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2007</w:t>
            </w:r>
          </w:p>
        </w:tc>
        <w:tc>
          <w:tcPr>
            <w:tcW w:w="640" w:type="dxa"/>
            <w:vAlign w:val="bottom"/>
          </w:tcPr>
          <w:p>
            <w:pPr>
              <w:spacing w:after="0"/>
              <w:rPr>
                <w:sz w:val="12"/>
                <w:szCs w:val="12"/>
                <w:color w:val="auto"/>
              </w:rPr>
            </w:pPr>
          </w:p>
        </w:tc>
        <w:tc>
          <w:tcPr>
            <w:tcW w:w="7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2"/>
                <w:szCs w:val="12"/>
                <w:color w:val="auto"/>
              </w:rPr>
            </w:pPr>
          </w:p>
        </w:tc>
        <w:tc>
          <w:tcPr>
            <w:tcW w:w="780" w:type="dxa"/>
            <w:vAlign w:val="bottom"/>
          </w:tcPr>
          <w:p>
            <w:pPr>
              <w:jc w:val="right"/>
              <w:ind w:right="496"/>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1700" w:type="dxa"/>
            <w:vAlign w:val="bottom"/>
            <w:tcBorders>
              <w:top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4,465</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3,530</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935</w:t>
            </w:r>
          </w:p>
        </w:tc>
        <w:tc>
          <w:tcPr>
            <w:tcW w:w="90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High-speed Internet</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1,589</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1,131</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458</w:t>
            </w:r>
          </w:p>
        </w:tc>
        <w:tc>
          <w:tcPr>
            <w:tcW w:w="900" w:type="dxa"/>
            <w:vAlign w:val="bottom"/>
          </w:tcPr>
          <w:p>
            <w:pPr>
              <w:ind w:left="4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0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420</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227</w:t>
            </w:r>
          </w:p>
        </w:tc>
        <w:tc>
          <w:tcPr>
            <w:tcW w:w="9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Advertising</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351</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48</w:t>
            </w:r>
          </w:p>
        </w:tc>
        <w:tc>
          <w:tcPr>
            <w:tcW w:w="900" w:type="dxa"/>
            <w:vAlign w:val="bottom"/>
          </w:tcPr>
          <w:p>
            <w:pPr>
              <w:ind w:left="4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28</w:t>
            </w:r>
          </w:p>
        </w:tc>
        <w:tc>
          <w:tcPr>
            <w:tcW w:w="9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Franchise fees</w:t>
            </w:r>
          </w:p>
        </w:tc>
        <w:tc>
          <w:tcPr>
            <w:tcW w:w="10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35</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7,330</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5,599</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w w:val="97"/>
              </w:rPr>
              <w:t>1,731</w:t>
            </w:r>
          </w:p>
        </w:tc>
        <w:tc>
          <w:tcPr>
            <w:tcW w:w="9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2,576</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1,965</w:t>
            </w:r>
          </w:p>
        </w:tc>
        <w:tc>
          <w:tcPr>
            <w:tcW w:w="4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611</w:t>
            </w:r>
          </w:p>
        </w:tc>
        <w:tc>
          <w:tcPr>
            <w:tcW w:w="900" w:type="dxa"/>
            <w:vAlign w:val="bottom"/>
          </w:tcPr>
          <w:p>
            <w:pPr>
              <w:ind w:left="4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Borders>
              <w:bottom w:val="single" w:sz="8" w:color="E5E5E5"/>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1,723</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1,307</w:t>
            </w:r>
          </w:p>
        </w:tc>
        <w:tc>
          <w:tcPr>
            <w:tcW w:w="4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416</w:t>
            </w:r>
          </w:p>
        </w:tc>
        <w:tc>
          <w:tcPr>
            <w:tcW w:w="9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w w:val="96"/>
              </w:rPr>
              <w:t>Operating income before depreciation and amortization</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3"/>
              </w:rPr>
              <w:t>3,031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b w:val="1"/>
                <w:bCs w:val="1"/>
                <w:color w:val="auto"/>
              </w:rPr>
              <w:t>2,327</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8"/>
                <w:szCs w:val="18"/>
                <w:b w:val="1"/>
                <w:bCs w:val="1"/>
                <w:color w:val="auto"/>
              </w:rPr>
              <w:t>704</w:t>
            </w:r>
          </w:p>
        </w:tc>
        <w:tc>
          <w:tcPr>
            <w:tcW w:w="900" w:type="dxa"/>
            <w:vAlign w:val="bottom"/>
          </w:tcPr>
          <w:p>
            <w:pPr>
              <w:ind w:left="400"/>
              <w:spacing w:after="0"/>
              <w:rPr>
                <w:sz w:val="20"/>
                <w:szCs w:val="20"/>
                <w:color w:val="auto"/>
              </w:rPr>
            </w:pPr>
            <w:r>
              <w:rPr>
                <w:rFonts w:ascii="Arial" w:cs="Arial" w:eastAsia="Arial" w:hAnsi="Arial"/>
                <w:sz w:val="18"/>
                <w:szCs w:val="18"/>
                <w:b w:val="1"/>
                <w:bCs w:val="1"/>
                <w:color w:val="auto"/>
                <w:w w:val="93"/>
              </w:rPr>
              <w:t>30.3%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26</w:t>
            </w:r>
          </w:p>
        </w:tc>
        <w:tc>
          <w:tcPr>
            <w:tcW w:w="6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2"/>
              </w:rPr>
              <w:t>June 30,</w:t>
            </w: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7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2006</w:t>
            </w:r>
          </w:p>
        </w:tc>
        <w:tc>
          <w:tcPr>
            <w:tcW w:w="380" w:type="dxa"/>
            <w:vAlign w:val="bottom"/>
          </w:tcPr>
          <w:p>
            <w:pPr>
              <w:spacing w:after="0"/>
              <w:rPr>
                <w:sz w:val="12"/>
                <w:szCs w:val="12"/>
                <w:color w:val="auto"/>
              </w:rPr>
            </w:pPr>
          </w:p>
        </w:tc>
        <w:tc>
          <w:tcPr>
            <w:tcW w:w="7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8,827</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6,911</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w w:val="97"/>
              </w:rPr>
              <w:t>1,916</w:t>
            </w:r>
          </w:p>
        </w:tc>
        <w:tc>
          <w:tcPr>
            <w:tcW w:w="86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93"/>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High-speed Internet</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3,116</w:t>
            </w:r>
          </w:p>
        </w:tc>
        <w:tc>
          <w:tcPr>
            <w:tcW w:w="5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2,192</w:t>
            </w:r>
          </w:p>
        </w:tc>
        <w:tc>
          <w:tcPr>
            <w:tcW w:w="380" w:type="dxa"/>
            <w:vAlign w:val="bottom"/>
          </w:tcPr>
          <w:p>
            <w:pPr>
              <w:spacing w:after="0"/>
              <w:rPr>
                <w:sz w:val="18"/>
                <w:szCs w:val="18"/>
                <w:color w:val="auto"/>
              </w:rPr>
            </w:pPr>
          </w:p>
        </w:tc>
        <w:tc>
          <w:tcPr>
            <w:tcW w:w="740" w:type="dxa"/>
            <w:vAlign w:val="bottom"/>
          </w:tcPr>
          <w:p>
            <w:pPr>
              <w:jc w:val="right"/>
              <w:ind w:right="196"/>
              <w:spacing w:after="0"/>
              <w:rPr>
                <w:sz w:val="20"/>
                <w:szCs w:val="20"/>
                <w:color w:val="auto"/>
              </w:rPr>
            </w:pPr>
            <w:r>
              <w:rPr>
                <w:rFonts w:ascii="Arial" w:cs="Arial" w:eastAsia="Arial" w:hAnsi="Arial"/>
                <w:sz w:val="18"/>
                <w:szCs w:val="18"/>
                <w:color w:val="auto"/>
              </w:rPr>
              <w:t>924</w:t>
            </w:r>
          </w:p>
        </w:tc>
        <w:tc>
          <w:tcPr>
            <w:tcW w:w="860" w:type="dxa"/>
            <w:vAlign w:val="bottom"/>
          </w:tcPr>
          <w:p>
            <w:pPr>
              <w:ind w:left="3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773</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410</w:t>
            </w:r>
          </w:p>
        </w:tc>
        <w:tc>
          <w:tcPr>
            <w:tcW w:w="860" w:type="dxa"/>
            <w:vAlign w:val="bottom"/>
            <w:shd w:val="clear" w:color="auto" w:fill="E5E5E5"/>
          </w:tcPr>
          <w:p>
            <w:pPr>
              <w:ind w:left="28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Advertising</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w:t>
            </w:r>
          </w:p>
        </w:tc>
        <w:tc>
          <w:tcPr>
            <w:tcW w:w="5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627</w:t>
            </w:r>
          </w:p>
        </w:tc>
        <w:tc>
          <w:tcPr>
            <w:tcW w:w="380" w:type="dxa"/>
            <w:vAlign w:val="bottom"/>
          </w:tcPr>
          <w:p>
            <w:pPr>
              <w:spacing w:after="0"/>
              <w:rPr>
                <w:sz w:val="18"/>
                <w:szCs w:val="18"/>
                <w:color w:val="auto"/>
              </w:rPr>
            </w:pPr>
          </w:p>
        </w:tc>
        <w:tc>
          <w:tcPr>
            <w:tcW w:w="740" w:type="dxa"/>
            <w:vAlign w:val="bottom"/>
          </w:tcPr>
          <w:p>
            <w:pPr>
              <w:jc w:val="right"/>
              <w:ind w:right="196"/>
              <w:spacing w:after="0"/>
              <w:rPr>
                <w:sz w:val="20"/>
                <w:szCs w:val="20"/>
                <w:color w:val="auto"/>
              </w:rPr>
            </w:pPr>
            <w:r>
              <w:rPr>
                <w:rFonts w:ascii="Arial" w:cs="Arial" w:eastAsia="Arial" w:hAnsi="Arial"/>
                <w:sz w:val="18"/>
                <w:szCs w:val="18"/>
                <w:color w:val="auto"/>
              </w:rPr>
              <w:t>85</w:t>
            </w:r>
          </w:p>
        </w:tc>
        <w:tc>
          <w:tcPr>
            <w:tcW w:w="860" w:type="dxa"/>
            <w:vAlign w:val="bottom"/>
          </w:tcPr>
          <w:p>
            <w:pPr>
              <w:ind w:left="3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492</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439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53</w:t>
            </w:r>
          </w:p>
        </w:tc>
        <w:tc>
          <w:tcPr>
            <w:tcW w:w="860" w:type="dxa"/>
            <w:vAlign w:val="bottom"/>
            <w:shd w:val="clear" w:color="auto" w:fill="E5E5E5"/>
          </w:tcPr>
          <w:p>
            <w:pPr>
              <w:ind w:left="3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Franchise fees</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72</w:t>
            </w: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14,328</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3"/>
              </w:rPr>
              <w:t>10,868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w w:val="97"/>
              </w:rPr>
              <w:t>3,460</w:t>
            </w:r>
          </w:p>
        </w:tc>
        <w:tc>
          <w:tcPr>
            <w:tcW w:w="860" w:type="dxa"/>
            <w:vAlign w:val="bottom"/>
            <w:shd w:val="clear" w:color="auto" w:fill="E5E5E5"/>
          </w:tcPr>
          <w:p>
            <w:pPr>
              <w:ind w:left="3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5,126</w:t>
            </w:r>
          </w:p>
        </w:tc>
        <w:tc>
          <w:tcPr>
            <w:tcW w:w="5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3,868</w:t>
            </w:r>
          </w:p>
        </w:tc>
        <w:tc>
          <w:tcPr>
            <w:tcW w:w="380" w:type="dxa"/>
            <w:vAlign w:val="bottom"/>
          </w:tcPr>
          <w:p>
            <w:pPr>
              <w:spacing w:after="0"/>
              <w:rPr>
                <w:sz w:val="18"/>
                <w:szCs w:val="18"/>
                <w:color w:val="auto"/>
              </w:rPr>
            </w:pPr>
          </w:p>
        </w:tc>
        <w:tc>
          <w:tcPr>
            <w:tcW w:w="740" w:type="dxa"/>
            <w:vAlign w:val="bottom"/>
          </w:tcPr>
          <w:p>
            <w:pPr>
              <w:jc w:val="right"/>
              <w:ind w:right="196"/>
              <w:spacing w:after="0"/>
              <w:rPr>
                <w:sz w:val="20"/>
                <w:szCs w:val="20"/>
                <w:color w:val="auto"/>
              </w:rPr>
            </w:pPr>
            <w:r>
              <w:rPr>
                <w:rFonts w:ascii="Arial" w:cs="Arial" w:eastAsia="Arial" w:hAnsi="Arial"/>
                <w:sz w:val="18"/>
                <w:szCs w:val="18"/>
                <w:color w:val="auto"/>
                <w:w w:val="97"/>
              </w:rPr>
              <w:t>1,258</w:t>
            </w:r>
          </w:p>
        </w:tc>
        <w:tc>
          <w:tcPr>
            <w:tcW w:w="860" w:type="dxa"/>
            <w:vAlign w:val="bottom"/>
          </w:tcPr>
          <w:p>
            <w:pPr>
              <w:ind w:left="3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3,378</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2,568</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810</w:t>
            </w:r>
          </w:p>
        </w:tc>
        <w:tc>
          <w:tcPr>
            <w:tcW w:w="8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4,432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7"/>
              </w:rPr>
              <w:t>1,392</w:t>
            </w: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3"/>
              </w:rPr>
              <w:t>31.4%</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Revenues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u w:val="single" w:color="auto"/>
          <w:color w:val="auto"/>
        </w:rPr>
        <w:t>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video revenues continue to grow due to rate increases, subscriber growth in our digital cable services, including the demand for advanced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DVR and HDTV and the addition of our newly acquired systems. During the six months ended June 30, 2007, we added approximately 1.5 million digital cable subscribers. Our newly acquired cable systems contributed approximately $666 million and $1.4 billion to our video revenue growth for the three and six months ended June 30, 2007, respectively. As of June 30, 2007, approximately 59% of our 24.1 million video subscribers subscribed to at least one of our digital cable services. In addition, our average monthly video revenue per video subscriber increased to $60.91.</w:t>
      </w:r>
    </w:p>
    <w:p>
      <w:pPr>
        <w:spacing w:after="0" w:line="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u w:val="single" w:color="auto"/>
          <w:color w:val="auto"/>
        </w:rPr>
        <w:t>High-Speed Internet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high-speed Internet revenue for the three and six months ended June 30, 2007 compared to the same periods in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reflects an increase in subscribers and the addition of our newly acquired cable systems. During the six months ended June 30, 2007, we added approximately 900,000 high-speed Internet subscribers. Our newly acquired systems contributed approximately $218 million and $438 million to our high-speed Internet revenue growth for the three and six months ended June 30, 2007, respectively. Average monthly revenue per subscriber has remained relatively stable. We expect that the rate of subscriber and revenue growth may slow as the market continues to mature and competition increases.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u w:val="single" w:color="auto"/>
          <w:color w:val="auto"/>
        </w:rPr>
        <w:t>Phone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two phone services, Comcast Digital Voice, our IP-enabled phone service, and our circuit-switched local phone service. Revenues increased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subscriber growth in our Comcast Digital Voice service, partially offset by the loss of circuit-switched subscribers. During the six months ended June 30, 2007, we added approximately 1.2 million Comcast Digital Voice subscribers. Our newly acquired systems contributed approximately $27 million and $54 million to our phone revenue growth for the three and six months ended June 30, 2007, respectively. We expect the number of phone subscribers will grow as we continue to expand Comcast Digital Voice to new markets in 2007. We expect the number of subscribers to our circuit-switched local phone service to continue to decrease as our marketing efforts are now focused on Comcast Digital Voice.</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advertising revenue for the three and six months ended June 30, 2007 compared to the same periods in 2006 are due to the addition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newly acquired cable systems. We expect the impact of the newly acquired cable systems to be the primary driver of the expected increases in revenues for the second half of 2007.</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u w:val="single" w:color="auto"/>
          <w:color w:val="auto"/>
        </w:rPr>
        <w:t>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generate revenues from our regional sports and news networks, video installation services, commissions from third-party electronic retailing,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for other services, such as providing businesses with data connectivity and networked applications.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u w:val="single" w:color="auto"/>
          <w:color w:val="auto"/>
        </w:rPr>
        <w:t>Franchise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franchise fees collected from our cable subscribers for the three and six months ended June 30, 2007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in 2006 are primarily a result of the increase in our revenues upon which the fees apply.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JUNE 30,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Expenses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primarily as a result of growth in subscribers to our cable services and the addition of our newly acquired cable systems. For the three and six months ended June 30, 2007, our newly acquired cable systems contributed approximately $390 million and $780 million, respectively, to our increases in Cable segment operating expenses. The remaining increases were primarily a result of costs associated with the delivery of these services and additional personnel to handle service calls and provide customer support.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Selling, General and Administrative Expenses</w:t>
      </w:r>
    </w:p>
    <w:p>
      <w:pPr>
        <w:spacing w:after="0" w:line="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Selling, general and administrative expenses increased primarily as a result of growth in the number of subscribers to our cable services and the addition of our newly acquired systems. For the three and six months ended June 30, 2007, our newly acquired cable systems contributed approximately $240 million and $480 million, respectively, to our increases in Cable segment selling, general and administrative expenses. The remaining increases were primarily a result of additional employees needed to provide customer and other administrative services, as well as additional marketing costs associated with attracting new subscribers.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Programming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88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9"/>
              </w:rPr>
              <w:t>Three Months Ended</w:t>
            </w: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85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7"/>
              </w:rPr>
              <w:t>Increase/(Decrease)</w:t>
            </w:r>
          </w:p>
        </w:tc>
        <w:tc>
          <w:tcPr>
            <w:tcW w:w="0" w:type="dxa"/>
            <w:vAlign w:val="bottom"/>
          </w:tcPr>
          <w:p>
            <w:pPr>
              <w:spacing w:after="0"/>
              <w:rPr>
                <w:sz w:val="1"/>
                <w:szCs w:val="1"/>
                <w:color w:val="auto"/>
              </w:rPr>
            </w:pPr>
          </w:p>
        </w:tc>
      </w:tr>
      <w:tr>
        <w:trPr>
          <w:trHeight w:val="161"/>
        </w:trPr>
        <w:tc>
          <w:tcPr>
            <w:tcW w:w="4960" w:type="dxa"/>
            <w:vAlign w:val="bottom"/>
            <w:vMerge w:val="continue"/>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680" w:type="dxa"/>
            <w:vAlign w:val="bottom"/>
          </w:tcPr>
          <w:p>
            <w:pPr>
              <w:jc w:val="right"/>
              <w:ind w:right="47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51764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580"/>
        <w:spacing w:after="0"/>
        <w:rPr>
          <w:sz w:val="20"/>
          <w:szCs w:val="20"/>
          <w:color w:val="auto"/>
        </w:rPr>
      </w:pPr>
      <w:r>
        <w:rPr>
          <w:rFonts w:ascii="Arial" w:cs="Arial" w:eastAsia="Arial" w:hAnsi="Arial"/>
          <w:sz w:val="18"/>
          <w:szCs w:val="18"/>
          <w:color w:val="auto"/>
        </w:rPr>
        <w:t>Revenues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Operating, selling, general and administrative expenses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Operating income before depreciation and amortization</w:t>
      </w:r>
    </w:p>
    <w:p>
      <w:pPr>
        <w:spacing w:after="0" w:line="200" w:lineRule="exact"/>
        <w:rPr>
          <w:sz w:val="20"/>
          <w:szCs w:val="20"/>
          <w:color w:val="auto"/>
        </w:rPr>
      </w:pPr>
    </w:p>
    <w:p>
      <w:pPr>
        <w:spacing w:after="0" w:line="35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334</w:t>
            </w: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273</w:t>
            </w:r>
          </w:p>
        </w:tc>
        <w:tc>
          <w:tcPr>
            <w:tcW w:w="6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61</w:t>
            </w:r>
          </w:p>
        </w:tc>
        <w:tc>
          <w:tcPr>
            <w:tcW w:w="1020" w:type="dxa"/>
            <w:vAlign w:val="bottom"/>
          </w:tcPr>
          <w:p>
            <w:pPr>
              <w:ind w:left="520"/>
              <w:spacing w:after="0" w:line="202" w:lineRule="exact"/>
              <w:rPr>
                <w:sz w:val="20"/>
                <w:szCs w:val="20"/>
                <w:color w:val="auto"/>
              </w:rPr>
            </w:pPr>
            <w:r>
              <w:rPr>
                <w:rFonts w:ascii="Arial" w:cs="Arial" w:eastAsia="Arial" w:hAnsi="Arial"/>
                <w:sz w:val="18"/>
                <w:szCs w:val="18"/>
                <w:color w:val="auto"/>
                <w:w w:val="93"/>
              </w:rPr>
              <w:t>22.2%</w:t>
            </w:r>
          </w:p>
        </w:tc>
      </w:tr>
      <w:tr>
        <w:trPr>
          <w:trHeight w:val="223"/>
        </w:trPr>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259</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214</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45</w:t>
            </w: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20.8</w:t>
            </w:r>
          </w:p>
        </w:tc>
      </w:tr>
      <w:tr>
        <w:trPr>
          <w:trHeight w:val="218"/>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75</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59</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16</w:t>
            </w: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3"/>
              </w:rPr>
              <w:t>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-153670</wp:posOffset>
            </wp:positionV>
            <wp:extent cx="651764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8"/>
              </w:rPr>
              <w:t>Six Months Ended</w:t>
            </w: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5"/>
        </w:trPr>
        <w:tc>
          <w:tcPr>
            <w:tcW w:w="1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85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7"/>
              </w:rPr>
              <w:t>Increase/(Decrease)</w:t>
            </w:r>
          </w:p>
        </w:tc>
      </w:tr>
      <w:tr>
        <w:trPr>
          <w:trHeight w:val="142"/>
        </w:trPr>
        <w:tc>
          <w:tcPr>
            <w:tcW w:w="12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6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4820" w:space="720"/>
            <w:col w:w="5880"/>
          </w:cols>
          <w:pgMar w:left="240" w:top="459"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636</w:t>
            </w:r>
          </w:p>
        </w:tc>
        <w:tc>
          <w:tcPr>
            <w:tcW w:w="56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512</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432"/>
              <w:spacing w:after="0"/>
              <w:rPr>
                <w:sz w:val="20"/>
                <w:szCs w:val="20"/>
                <w:color w:val="auto"/>
              </w:rPr>
            </w:pPr>
            <w:r>
              <w:rPr>
                <w:rFonts w:ascii="Arial" w:cs="Arial" w:eastAsia="Arial" w:hAnsi="Arial"/>
                <w:sz w:val="18"/>
                <w:szCs w:val="18"/>
                <w:color w:val="auto"/>
              </w:rPr>
              <w:t>124</w:t>
            </w:r>
          </w:p>
        </w:tc>
        <w:tc>
          <w:tcPr>
            <w:tcW w:w="1020" w:type="dxa"/>
            <w:vAlign w:val="bottom"/>
            <w:tcBorders>
              <w:top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w w:val="93"/>
              </w:rPr>
              <w:t>24.3%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496</w:t>
            </w: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403</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93</w:t>
            </w: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23.2</w:t>
            </w:r>
          </w:p>
        </w:tc>
      </w:tr>
      <w:tr>
        <w:trPr>
          <w:trHeight w:val="217"/>
        </w:trPr>
        <w:tc>
          <w:tcPr>
            <w:tcW w:w="4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8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140</w:t>
            </w:r>
          </w:p>
        </w:tc>
        <w:tc>
          <w:tcPr>
            <w:tcW w:w="5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109</w:t>
            </w: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32"/>
              <w:spacing w:after="0"/>
              <w:rPr>
                <w:sz w:val="20"/>
                <w:szCs w:val="20"/>
                <w:color w:val="auto"/>
              </w:rPr>
            </w:pPr>
            <w:r>
              <w:rPr>
                <w:rFonts w:ascii="Arial" w:cs="Arial" w:eastAsia="Arial" w:hAnsi="Arial"/>
                <w:sz w:val="18"/>
                <w:szCs w:val="18"/>
                <w:b w:val="1"/>
                <w:bCs w:val="1"/>
                <w:color w:val="auto"/>
              </w:rPr>
              <w:t>31</w:t>
            </w:r>
          </w:p>
        </w:tc>
        <w:tc>
          <w:tcPr>
            <w:tcW w:w="10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3"/>
              </w:rPr>
              <w:t>28.2%</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Revenues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increases in revenues for the three and six months ended June 30, 2007 compared to the same periods in 2006 are primarily a result of increases in advertising and license fee revenues. For both the three and six months ended June 30, 2007, approximately 13% of our Programming segment revenues were generated from our Cable segment. For the three and six months ended June 30, 2006, approximately 10% and 11%, respectively, of our Programming segment revenues were generated from our Cable segment. These amounts are eliminated in our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Operating, Selling, General and Administrative Expenses</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increases in expenses for the three and six months ended June 30, 2007 compared to the same periods in 2006 are primarily a result of an increase in the production of and programming rights costs for new and live-event programming for our cable networks, including the PGA TOUR on The Golf Channel.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Pr>
          <w:p>
            <w:pPr>
              <w:spacing w:after="0"/>
              <w:rPr>
                <w:sz w:val="14"/>
                <w:szCs w:val="14"/>
                <w:color w:val="auto"/>
              </w:rPr>
            </w:pPr>
          </w:p>
        </w:tc>
        <w:tc>
          <w:tcPr>
            <w:tcW w:w="17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w w:val="83"/>
              </w:rPr>
              <w:t>2007</w:t>
            </w:r>
          </w:p>
        </w:tc>
        <w:tc>
          <w:tcPr>
            <w:tcW w:w="740" w:type="dxa"/>
            <w:vAlign w:val="bottom"/>
          </w:tcPr>
          <w:p>
            <w:pPr>
              <w:spacing w:after="0"/>
              <w:rPr>
                <w:sz w:val="12"/>
                <w:szCs w:val="12"/>
                <w:color w:val="auto"/>
              </w:rPr>
            </w:pPr>
          </w:p>
        </w:tc>
        <w:tc>
          <w:tcPr>
            <w:tcW w:w="82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54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2007</w:t>
            </w:r>
          </w:p>
        </w:tc>
        <w:tc>
          <w:tcPr>
            <w:tcW w:w="72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(496)</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(1,118)</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740" w:type="dxa"/>
            <w:vAlign w:val="bottom"/>
          </w:tcPr>
          <w:p>
            <w:pPr>
              <w:spacing w:after="0"/>
              <w:rPr>
                <w:sz w:val="18"/>
                <w:szCs w:val="18"/>
                <w:color w:val="auto"/>
              </w:rPr>
            </w:pPr>
          </w:p>
        </w:tc>
        <w:tc>
          <w:tcPr>
            <w:tcW w:w="820" w:type="dxa"/>
            <w:vAlign w:val="bottom"/>
          </w:tcPr>
          <w:p>
            <w:pPr>
              <w:jc w:val="right"/>
              <w:ind w:right="296"/>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8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(12)</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85</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(439)</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(409)</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(341)</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interest expense for the three and six months ended June 30, 2007 compared to the same periods in 2006 are primarily the result of an increase in our average debt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(Loss), Net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2007 and 2006 are presented in a table in Note 5 to our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income for the six months ended June 30, 2007 consists principally of a pretax gain of approximately $500 million on the sale of our 50% interest in the Kansas City Asset Pool in connection with the TKCCP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Income tax expense for the three and six months ended June 30, 2007 reflects an income tax rate higher than the federal statutory rate primarily as a result of state income taxes and interest on uncertain tax positions. Our deferred income taxes will be impacted by the enactment of new tax legislation in the state of Michigan in July 2007. Unless it is modified, the new legislation will require us to record additional deferred state income tax expense and liabilities in the third quarter of 2007 related to differences between our recorded book basis and our tax basis, principally related to our acquired indefinite-lived intangible assets. If the Michigan legislation remains unchanged, we expect our 2007 annual effective tax rate to be at the high end of the range of 40% to 45%. Excluding the effects of recording this noncash tax expense, we expect our effective tax rate to be at the low end of this range. We do not expect these deferred taxes to become due and payable in the foreseeable future. Income tax expense for the three and six months ended June 30, 2006 reflects an income tax rate higher than the federal statutory rate primarily due to state income taxes, adjustments to prior year accruals, including related interest, offset by a favorable resolution of certain tax matters.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businesses generate significant cash flow from operating activities. The proceeds from monetizing our nonstrategic investments have also provided us with a significant source of cash flow.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repurchase our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cash provided by operating activities was $4.4 billion for the six months ended June 30, 2007, as a result of our operating income before depreciation and amortization, the timing of interest and income tax payments, proceeds from the sale of trading securities and changes in other operating assets and liabilities.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2007, the net change in our operating assets and liabilities was a decrease of $171 million. The decrease was the result of a decrease in our accounts receivable of $72 million, a decrease in our accounts payable and accrued expenses related to trade creditors of $80 million, and a decrease in other operating assets and liabilities of $163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financing activities was $1.6 billion for the six months ended June 30, 2007 and consisted principally of our debt repayments of $1.3 billion and repurchases of approximately 47 million shares of our Class A Special common stock for $1.3 billion (recognized on a settlement date or cash basis). These cash outflows were partially offset by cash proceeds received from borrowings of $590 million and the issuance of shares primarily under our share-based compensation plans of $334 million.</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June 30, 2007, amounts available under these facilities totaled approximately $4.5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As of June 30, 2007, the maximum dollar value of shares that may be repurchased under our Board-authorized share repurchase program is approximately $1.8 billion. We expect such repurchases to continue from time to time in the open market or in private transactions, subject to market conditions.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 7 to our consolidated financial statements for further discussion of our financing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$3.2 billion for the six months ended June 30, 2007 and consisted principally of capital expenditures of $3.1 billion, cash paid for intangible assets of $229 million and acquisitions of $770 million. These cash outflows were partially offset by proceeds received from the sale of investments of $805 million.</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most significant recurring investing activity has been capital expenditures and we expect that this will continue in the future. More specifically, with respect to the second half of 2007, capital expenditures for digital set-top boxes are expected to be less than in the first half of 2007 (in part because existing inventory levels of low-cost set top boxes are expected to be sufficient to satisfy expected demand for these boxes), even though capital expenditures for purchases of advanced digital set-top boxes are expected to continue during the second half of 2007.</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evaluate the unit of account used to test for impairment of our cable franchise rights periodically to ensure testing is performed at an appropriate level. Prior to 2007, we used our cable regions as the unit of account. Frequent reorganizations of our regions and further management centralization of our cable operations led us to conclude that our cable divisions are more reflective of how we manage and operate the assets and, therefore, are the appropriate unit of account. Consequently, effective April 1, 2007 (our annual impairment testing date), we changed the unit of account to cable divisions from cable regions. We tested for impairment at the region level prior to combining our 29 regions into 5 divisions to confirm that no impairment existed prior to the change.</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our accounting judgments and estimates that we have identified as critical in the preparation of our consolidated financial statements, please refer to our 2006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2006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 regarding disclosure controls and procedures</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11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2006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summary of our repurchases during the three months ended June 30, 2007, under our Board-authorized share repurchase program, on a trade-date basis, is as follows: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60" w:type="dxa"/>
            <w:vAlign w:val="bottom"/>
          </w:tcPr>
          <w:p>
            <w:pPr>
              <w:spacing w:after="0"/>
              <w:rPr>
                <w:sz w:val="12"/>
                <w:szCs w:val="12"/>
                <w:color w:val="auto"/>
              </w:rPr>
            </w:pPr>
          </w:p>
        </w:tc>
        <w:tc>
          <w:tcPr>
            <w:tcW w:w="11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9"/>
              </w:rPr>
              <w:t>Total Dollars</w:t>
            </w:r>
          </w:p>
        </w:tc>
        <w:tc>
          <w:tcPr>
            <w:tcW w:w="16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91"/>
              </w:rPr>
              <w:t>Maximum Dollar Value</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60" w:type="dxa"/>
            <w:vAlign w:val="bottom"/>
          </w:tcPr>
          <w:p>
            <w:pPr>
              <w:spacing w:after="0"/>
              <w:rPr>
                <w:sz w:val="12"/>
                <w:szCs w:val="12"/>
                <w:color w:val="auto"/>
              </w:rPr>
            </w:pPr>
          </w:p>
        </w:tc>
        <w:tc>
          <w:tcPr>
            <w:tcW w:w="11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3"/>
              </w:rPr>
              <w:t>Purchased</w:t>
            </w:r>
          </w:p>
        </w:tc>
        <w:tc>
          <w:tcPr>
            <w:tcW w:w="166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89"/>
              </w:rPr>
              <w:t>of Shares that May Yet</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81"/>
              </w:rPr>
              <w:t>of Shares</w:t>
            </w:r>
          </w:p>
        </w:tc>
        <w:tc>
          <w:tcPr>
            <w:tcW w:w="13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60" w:type="dxa"/>
            <w:vAlign w:val="bottom"/>
          </w:tcPr>
          <w:p>
            <w:pPr>
              <w:spacing w:after="0"/>
              <w:rPr>
                <w:sz w:val="12"/>
                <w:szCs w:val="12"/>
                <w:color w:val="auto"/>
              </w:rPr>
            </w:pPr>
          </w:p>
        </w:tc>
        <w:tc>
          <w:tcPr>
            <w:tcW w:w="11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8"/>
              </w:rPr>
              <w:t>Under</w:t>
            </w:r>
          </w:p>
        </w:tc>
        <w:tc>
          <w:tcPr>
            <w:tcW w:w="36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 Purchased Under</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tcPr>
          <w:p>
            <w:pPr>
              <w:jc w:val="center"/>
              <w:ind w:left="202"/>
              <w:spacing w:after="0"/>
              <w:rPr>
                <w:sz w:val="20"/>
                <w:szCs w:val="20"/>
                <w:color w:val="auto"/>
              </w:rPr>
            </w:pPr>
            <w:r>
              <w:rPr>
                <w:rFonts w:ascii="Arial" w:cs="Arial" w:eastAsia="Arial" w:hAnsi="Arial"/>
                <w:sz w:val="14"/>
                <w:szCs w:val="14"/>
                <w:b w:val="1"/>
                <w:bCs w:val="1"/>
                <w:color w:val="auto"/>
                <w:w w:val="83"/>
              </w:rPr>
              <w:t>Purchased</w:t>
            </w:r>
          </w:p>
        </w:tc>
        <w:tc>
          <w:tcPr>
            <w:tcW w:w="38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w w:val="89"/>
              </w:rPr>
              <w:t>per Share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360" w:type="dxa"/>
            <w:vAlign w:val="bottom"/>
          </w:tcPr>
          <w:p>
            <w:pPr>
              <w:spacing w:after="0"/>
              <w:rPr>
                <w:sz w:val="14"/>
                <w:szCs w:val="14"/>
                <w:color w:val="auto"/>
              </w:rPr>
            </w:pPr>
          </w:p>
        </w:tc>
        <w:tc>
          <w:tcPr>
            <w:tcW w:w="1180" w:type="dxa"/>
            <w:vAlign w:val="bottom"/>
          </w:tcPr>
          <w:p>
            <w:pPr>
              <w:jc w:val="center"/>
              <w:ind w:right="302"/>
              <w:spacing w:after="0"/>
              <w:rPr>
                <w:sz w:val="20"/>
                <w:szCs w:val="20"/>
                <w:color w:val="auto"/>
              </w:rPr>
            </w:pPr>
            <w:r>
              <w:rPr>
                <w:rFonts w:ascii="Arial" w:cs="Arial" w:eastAsia="Arial" w:hAnsi="Arial"/>
                <w:sz w:val="14"/>
                <w:szCs w:val="14"/>
                <w:b w:val="1"/>
                <w:bCs w:val="1"/>
                <w:color w:val="auto"/>
                <w:w w:val="87"/>
              </w:rPr>
              <w:t>the Program</w:t>
            </w:r>
          </w:p>
        </w:tc>
        <w:tc>
          <w:tcPr>
            <w:tcW w:w="36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the Program(a)</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April 1-30, 2007</w:t>
            </w:r>
          </w:p>
        </w:tc>
        <w:tc>
          <w:tcPr>
            <w:tcW w:w="164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787,413</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25.94</w:t>
            </w:r>
          </w:p>
        </w:tc>
        <w:tc>
          <w:tcPr>
            <w:tcW w:w="176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600,000</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222"/>
              <w:spacing w:after="0"/>
              <w:rPr>
                <w:sz w:val="20"/>
                <w:szCs w:val="20"/>
                <w:color w:val="auto"/>
              </w:rPr>
            </w:pPr>
            <w:r>
              <w:rPr>
                <w:rFonts w:ascii="Arial" w:cs="Arial" w:eastAsia="Arial" w:hAnsi="Arial"/>
                <w:sz w:val="18"/>
                <w:szCs w:val="18"/>
                <w:color w:val="auto"/>
                <w:w w:val="95"/>
              </w:rPr>
              <w:t>15,411,365</w:t>
            </w:r>
          </w:p>
        </w:tc>
        <w:tc>
          <w:tcPr>
            <w:tcW w:w="3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2,492,565,100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May 1-31, 2007</w:t>
            </w:r>
          </w:p>
        </w:tc>
        <w:tc>
          <w:tcPr>
            <w:tcW w:w="1640" w:type="dxa"/>
            <w:vAlign w:val="bottom"/>
          </w:tcPr>
          <w:p>
            <w:pPr>
              <w:jc w:val="right"/>
              <w:ind w:right="202"/>
              <w:spacing w:after="0"/>
              <w:rPr>
                <w:sz w:val="20"/>
                <w:szCs w:val="20"/>
                <w:color w:val="auto"/>
              </w:rPr>
            </w:pPr>
            <w:r>
              <w:rPr>
                <w:rFonts w:ascii="Arial" w:cs="Arial" w:eastAsia="Arial" w:hAnsi="Arial"/>
                <w:sz w:val="18"/>
                <w:szCs w:val="18"/>
                <w:color w:val="auto"/>
              </w:rPr>
              <w:t>10,610,546</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26.61</w:t>
            </w:r>
          </w:p>
        </w:tc>
        <w:tc>
          <w:tcPr>
            <w:tcW w:w="1760" w:type="dxa"/>
            <w:vAlign w:val="bottom"/>
          </w:tcPr>
          <w:p>
            <w:pPr>
              <w:jc w:val="right"/>
              <w:ind w:right="223"/>
              <w:spacing w:after="0"/>
              <w:rPr>
                <w:sz w:val="20"/>
                <w:szCs w:val="20"/>
                <w:color w:val="auto"/>
              </w:rPr>
            </w:pPr>
            <w:r>
              <w:rPr>
                <w:rFonts w:ascii="Arial" w:cs="Arial" w:eastAsia="Arial" w:hAnsi="Arial"/>
                <w:sz w:val="18"/>
                <w:szCs w:val="18"/>
                <w:color w:val="auto"/>
              </w:rPr>
              <w:t>10,573,156</w:t>
            </w:r>
          </w:p>
        </w:tc>
        <w:tc>
          <w:tcPr>
            <w:tcW w:w="360" w:type="dxa"/>
            <w:vAlign w:val="bottom"/>
          </w:tcPr>
          <w:p>
            <w:pPr>
              <w:spacing w:after="0"/>
              <w:rPr>
                <w:sz w:val="18"/>
                <w:szCs w:val="18"/>
                <w:color w:val="auto"/>
              </w:rPr>
            </w:pPr>
          </w:p>
        </w:tc>
        <w:tc>
          <w:tcPr>
            <w:tcW w:w="1180" w:type="dxa"/>
            <w:vAlign w:val="bottom"/>
          </w:tcPr>
          <w:p>
            <w:pPr>
              <w:jc w:val="right"/>
              <w:ind w:right="222"/>
              <w:spacing w:after="0"/>
              <w:rPr>
                <w:sz w:val="20"/>
                <w:szCs w:val="20"/>
                <w:color w:val="auto"/>
              </w:rPr>
            </w:pPr>
            <w:r>
              <w:rPr>
                <w:rFonts w:ascii="Arial" w:cs="Arial" w:eastAsia="Arial" w:hAnsi="Arial"/>
                <w:sz w:val="18"/>
                <w:szCs w:val="18"/>
                <w:color w:val="auto"/>
                <w:w w:val="85"/>
              </w:rPr>
              <w:t>281,374,742</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2,211,190,358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June 1-30, 2007</w:t>
            </w:r>
          </w:p>
        </w:tc>
        <w:tc>
          <w:tcPr>
            <w:tcW w:w="16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17,078,549</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27.17</w:t>
            </w:r>
          </w:p>
        </w:tc>
        <w:tc>
          <w:tcPr>
            <w:tcW w:w="176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16,750,692</w:t>
            </w:r>
          </w:p>
        </w:tc>
        <w:tc>
          <w:tcPr>
            <w:tcW w:w="36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222"/>
              <w:spacing w:after="0"/>
              <w:rPr>
                <w:sz w:val="20"/>
                <w:szCs w:val="20"/>
                <w:color w:val="auto"/>
              </w:rPr>
            </w:pPr>
            <w:r>
              <w:rPr>
                <w:rFonts w:ascii="Arial" w:cs="Arial" w:eastAsia="Arial" w:hAnsi="Arial"/>
                <w:sz w:val="18"/>
                <w:szCs w:val="18"/>
                <w:color w:val="auto"/>
                <w:w w:val="85"/>
              </w:rPr>
              <w:t>455,057,350</w:t>
            </w:r>
          </w:p>
        </w:tc>
        <w:tc>
          <w:tcPr>
            <w:tcW w:w="36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1,756,133,008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28,476,508</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26.93</w:t>
            </w:r>
          </w:p>
        </w:tc>
        <w:tc>
          <w:tcPr>
            <w:tcW w:w="176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27,923,848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85"/>
              </w:rPr>
              <w:t>751,843,457</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1,756,133,008</w:t>
            </w:r>
          </w:p>
        </w:tc>
        <w:tc>
          <w:tcPr>
            <w:tcW w:w="20" w:type="dxa"/>
            <w:vAlign w:val="bottom"/>
            <w:tcBorders>
              <w:bottom w:val="single" w:sz="8" w:color="auto"/>
            </w:tcBorders>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purchased includes 552,660 shares received in the administration of employee share-based compensation plans.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46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42" w:lineRule="exact"/>
        <w:rPr>
          <w:sz w:val="20"/>
          <w:szCs w:val="20"/>
          <w:color w:val="auto"/>
        </w:rPr>
      </w:pPr>
    </w:p>
    <w:p>
      <w:pPr>
        <w:jc w:val="both"/>
        <w:ind w:left="460" w:hanging="452"/>
        <w:spacing w:after="0" w:line="33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2005, the Board of Directors authorized a $5 billion addition to the existing share repurchase program. Under the authorization, we may repurchase shares in the open market or in private transactions, subject to market conditions. As of June 30, 2007, the maximum dollar value of shares that is available under our Board-authorized share repurchase program is approximately $1.8 billion. The share repurchase program does not have an expiration date.</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Annual Meeting of Shareholders on May 23, 2007, the shareholders approved, or did not approve, the following proposals, in each case consistent with the unanimous recommendations of our Board of Directors (numbers represent the aggregate votes cast, with holders of our Class A Common Stock entitled to 0.1370 votes per share and holders of our Class B Common Stock entitled to 15 votes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elect the following nominees to serve as our directors for one-year terms.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420" w:type="dxa"/>
            <w:vAlign w:val="bottom"/>
          </w:tcPr>
          <w:p>
            <w:pPr>
              <w:jc w:val="right"/>
              <w:ind w:right="634"/>
              <w:spacing w:after="0"/>
              <w:rPr>
                <w:sz w:val="20"/>
                <w:szCs w:val="20"/>
                <w:color w:val="auto"/>
              </w:rPr>
            </w:pPr>
            <w:r>
              <w:rPr>
                <w:rFonts w:ascii="Arial" w:cs="Arial" w:eastAsia="Arial" w:hAnsi="Arial"/>
                <w:sz w:val="14"/>
                <w:szCs w:val="14"/>
                <w:b w:val="1"/>
                <w:bCs w:val="1"/>
                <w:color w:val="auto"/>
              </w:rPr>
              <w:t>For</w:t>
            </w: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 Decker Anstrom</w:t>
            </w:r>
          </w:p>
        </w:tc>
        <w:tc>
          <w:tcPr>
            <w:tcW w:w="44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379,772,771</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7,093,865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Kenneth J. Bacon</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383,040,113</w:t>
            </w:r>
          </w:p>
        </w:tc>
        <w:tc>
          <w:tcPr>
            <w:tcW w:w="1000" w:type="dxa"/>
            <w:vAlign w:val="bottom"/>
          </w:tcPr>
          <w:p>
            <w:pPr>
              <w:jc w:val="right"/>
              <w:spacing w:after="0"/>
              <w:rPr>
                <w:sz w:val="20"/>
                <w:szCs w:val="20"/>
                <w:color w:val="auto"/>
              </w:rPr>
            </w:pPr>
            <w:r>
              <w:rPr>
                <w:rFonts w:ascii="Arial" w:cs="Arial" w:eastAsia="Arial" w:hAnsi="Arial"/>
                <w:sz w:val="18"/>
                <w:szCs w:val="18"/>
                <w:color w:val="auto"/>
              </w:rPr>
              <w:t>3,826,523</w:t>
            </w: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Sheldon M. Bonovitz</w:t>
            </w:r>
          </w:p>
        </w:tc>
        <w:tc>
          <w:tcPr>
            <w:tcW w:w="44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379,383,970</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7,482,666</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Edward D. Breen</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381,396,200</w:t>
            </w:r>
          </w:p>
        </w:tc>
        <w:tc>
          <w:tcPr>
            <w:tcW w:w="1000" w:type="dxa"/>
            <w:vAlign w:val="bottom"/>
          </w:tcPr>
          <w:p>
            <w:pPr>
              <w:jc w:val="right"/>
              <w:spacing w:after="0"/>
              <w:rPr>
                <w:sz w:val="20"/>
                <w:szCs w:val="20"/>
                <w:color w:val="auto"/>
              </w:rPr>
            </w:pPr>
            <w:r>
              <w:rPr>
                <w:rFonts w:ascii="Arial" w:cs="Arial" w:eastAsia="Arial" w:hAnsi="Arial"/>
                <w:sz w:val="18"/>
                <w:szCs w:val="18"/>
                <w:color w:val="auto"/>
              </w:rPr>
              <w:t>5,470,435</w:t>
            </w: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Julian A. Brodsky</w:t>
            </w:r>
          </w:p>
        </w:tc>
        <w:tc>
          <w:tcPr>
            <w:tcW w:w="44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380,438,433</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6,428,203</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Joseph J. Collins</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382,531,343</w:t>
            </w:r>
          </w:p>
        </w:tc>
        <w:tc>
          <w:tcPr>
            <w:tcW w:w="1000" w:type="dxa"/>
            <w:vAlign w:val="bottom"/>
          </w:tcPr>
          <w:p>
            <w:pPr>
              <w:jc w:val="right"/>
              <w:spacing w:after="0"/>
              <w:rPr>
                <w:sz w:val="20"/>
                <w:szCs w:val="20"/>
                <w:color w:val="auto"/>
              </w:rPr>
            </w:pPr>
            <w:r>
              <w:rPr>
                <w:rFonts w:ascii="Arial" w:cs="Arial" w:eastAsia="Arial" w:hAnsi="Arial"/>
                <w:sz w:val="18"/>
                <w:szCs w:val="18"/>
                <w:color w:val="auto"/>
              </w:rPr>
              <w:t>4,335,293</w:t>
            </w: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J. Michael Cook</w:t>
            </w:r>
          </w:p>
        </w:tc>
        <w:tc>
          <w:tcPr>
            <w:tcW w:w="44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383,016,893</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3,849,742</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Jeffrey A. Honickman</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383,051,510</w:t>
            </w:r>
          </w:p>
        </w:tc>
        <w:tc>
          <w:tcPr>
            <w:tcW w:w="1000" w:type="dxa"/>
            <w:vAlign w:val="bottom"/>
          </w:tcPr>
          <w:p>
            <w:pPr>
              <w:jc w:val="right"/>
              <w:spacing w:after="0"/>
              <w:rPr>
                <w:sz w:val="20"/>
                <w:szCs w:val="20"/>
                <w:color w:val="auto"/>
              </w:rPr>
            </w:pPr>
            <w:r>
              <w:rPr>
                <w:rFonts w:ascii="Arial" w:cs="Arial" w:eastAsia="Arial" w:hAnsi="Arial"/>
                <w:sz w:val="18"/>
                <w:szCs w:val="18"/>
                <w:color w:val="auto"/>
              </w:rPr>
              <w:t>3,815,125</w:t>
            </w: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Brian L. Roberts</w:t>
            </w:r>
          </w:p>
        </w:tc>
        <w:tc>
          <w:tcPr>
            <w:tcW w:w="44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379,967,530</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6,899,106</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Ralph J. Roberts</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380,308,518</w:t>
            </w:r>
          </w:p>
        </w:tc>
        <w:tc>
          <w:tcPr>
            <w:tcW w:w="1000" w:type="dxa"/>
            <w:vAlign w:val="bottom"/>
          </w:tcPr>
          <w:p>
            <w:pPr>
              <w:jc w:val="right"/>
              <w:spacing w:after="0"/>
              <w:rPr>
                <w:sz w:val="20"/>
                <w:szCs w:val="20"/>
                <w:color w:val="auto"/>
              </w:rPr>
            </w:pPr>
            <w:r>
              <w:rPr>
                <w:rFonts w:ascii="Arial" w:cs="Arial" w:eastAsia="Arial" w:hAnsi="Arial"/>
                <w:sz w:val="18"/>
                <w:szCs w:val="18"/>
                <w:color w:val="auto"/>
              </w:rPr>
              <w:t>6,558,118</w:t>
            </w:r>
          </w:p>
        </w:tc>
      </w:tr>
      <w:tr>
        <w:trPr>
          <w:trHeight w:val="216"/>
        </w:trPr>
        <w:tc>
          <w:tcPr>
            <w:tcW w:w="20" w:type="dxa"/>
            <w:vAlign w:val="bottom"/>
          </w:tcPr>
          <w:p>
            <w:pPr>
              <w:spacing w:after="0"/>
              <w:rPr>
                <w:sz w:val="18"/>
                <w:szCs w:val="18"/>
                <w:color w:val="auto"/>
              </w:rPr>
            </w:pPr>
          </w:p>
        </w:tc>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Dr. Judith Rodin</w:t>
            </w:r>
          </w:p>
        </w:tc>
        <w:tc>
          <w:tcPr>
            <w:tcW w:w="44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379,343,063</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7,523,573</w:t>
            </w: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Michael I. Sovern</w:t>
            </w:r>
          </w:p>
        </w:tc>
        <w:tc>
          <w:tcPr>
            <w:tcW w:w="4420" w:type="dxa"/>
            <w:vAlign w:val="bottom"/>
          </w:tcPr>
          <w:p>
            <w:pPr>
              <w:jc w:val="right"/>
              <w:ind w:right="154"/>
              <w:spacing w:after="0"/>
              <w:rPr>
                <w:sz w:val="20"/>
                <w:szCs w:val="20"/>
                <w:color w:val="auto"/>
              </w:rPr>
            </w:pPr>
            <w:r>
              <w:rPr>
                <w:rFonts w:ascii="Arial" w:cs="Arial" w:eastAsia="Arial" w:hAnsi="Arial"/>
                <w:sz w:val="18"/>
                <w:szCs w:val="18"/>
                <w:color w:val="auto"/>
              </w:rPr>
              <w:t>382,194,735</w:t>
            </w:r>
          </w:p>
        </w:tc>
        <w:tc>
          <w:tcPr>
            <w:tcW w:w="1000" w:type="dxa"/>
            <w:vAlign w:val="bottom"/>
          </w:tcPr>
          <w:p>
            <w:pPr>
              <w:jc w:val="right"/>
              <w:spacing w:after="0"/>
              <w:rPr>
                <w:sz w:val="20"/>
                <w:szCs w:val="20"/>
                <w:color w:val="auto"/>
              </w:rPr>
            </w:pPr>
            <w:r>
              <w:rPr>
                <w:rFonts w:ascii="Arial" w:cs="Arial" w:eastAsia="Arial" w:hAnsi="Arial"/>
                <w:sz w:val="18"/>
                <w:szCs w:val="18"/>
                <w:color w:val="auto"/>
              </w:rPr>
              <w:t>4,671,901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ratify the appointment of Deloitte &amp; Touche LLP as our independent auditors for the 2007 fiscal year.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For</w:t>
            </w:r>
          </w:p>
        </w:tc>
        <w:tc>
          <w:tcPr>
            <w:tcW w:w="5100" w:type="dxa"/>
            <w:vAlign w:val="bottom"/>
            <w:gridSpan w:val="5"/>
          </w:tcPr>
          <w:p>
            <w:pPr>
              <w:ind w:left="280"/>
              <w:spacing w:after="0"/>
              <w:rPr>
                <w:sz w:val="20"/>
                <w:szCs w:val="20"/>
                <w:color w:val="auto"/>
              </w:rPr>
            </w:pPr>
            <w:r>
              <w:rPr>
                <w:rFonts w:ascii="Arial" w:cs="Arial" w:eastAsia="Arial" w:hAnsi="Arial"/>
                <w:sz w:val="14"/>
                <w:szCs w:val="14"/>
                <w:b w:val="1"/>
                <w:bCs w:val="1"/>
                <w:color w:val="auto"/>
              </w:rPr>
              <w:t>Against</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380,438,491</w:t>
            </w:r>
          </w:p>
        </w:tc>
        <w:tc>
          <w:tcPr>
            <w:tcW w:w="180" w:type="dxa"/>
            <w:vAlign w:val="bottom"/>
            <w:tcBorders>
              <w:top w:val="single" w:sz="8" w:color="auto"/>
              <w:right w:val="single" w:sz="8" w:color="E5E5E5"/>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3,713,559</w:t>
            </w:r>
          </w:p>
        </w:tc>
        <w:tc>
          <w:tcPr>
            <w:tcW w:w="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140" w:type="dxa"/>
            <w:vAlign w:val="bottom"/>
            <w:tcBorders>
              <w:right w:val="single" w:sz="8" w:color="E5E5E5"/>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2,714,585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340" w:type="dxa"/>
            <w:vAlign w:val="bottom"/>
            <w:gridSpan w:val="9"/>
          </w:tcPr>
          <w:p>
            <w:pPr>
              <w:spacing w:after="0"/>
              <w:rPr>
                <w:sz w:val="20"/>
                <w:szCs w:val="20"/>
                <w:color w:val="auto"/>
              </w:rPr>
            </w:pPr>
            <w:r>
              <w:rPr>
                <w:rFonts w:ascii="Arial" w:cs="Arial" w:eastAsia="Arial" w:hAnsi="Arial"/>
                <w:sz w:val="18"/>
                <w:szCs w:val="18"/>
                <w:color w:val="auto"/>
              </w:rPr>
              <w:t>To prevent the issuance of new stock options.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For</w:t>
            </w:r>
          </w:p>
        </w:tc>
        <w:tc>
          <w:tcPr>
            <w:tcW w:w="5100" w:type="dxa"/>
            <w:vAlign w:val="bottom"/>
            <w:gridSpan w:val="5"/>
          </w:tcPr>
          <w:p>
            <w:pPr>
              <w:ind w:left="140"/>
              <w:spacing w:after="0"/>
              <w:rPr>
                <w:sz w:val="20"/>
                <w:szCs w:val="20"/>
                <w:color w:val="auto"/>
              </w:rPr>
            </w:pPr>
            <w:r>
              <w:rPr>
                <w:rFonts w:ascii="Arial" w:cs="Arial" w:eastAsia="Arial" w:hAnsi="Arial"/>
                <w:sz w:val="14"/>
                <w:szCs w:val="14"/>
                <w:b w:val="1"/>
                <w:bCs w:val="1"/>
                <w:color w:val="auto"/>
              </w:rPr>
              <w:t>Against</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7,331,796</w:t>
            </w:r>
          </w:p>
        </w:tc>
        <w:tc>
          <w:tcPr>
            <w:tcW w:w="18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2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5"/>
              </w:rPr>
              <w:t>349,384,056</w:t>
            </w:r>
          </w:p>
        </w:tc>
        <w:tc>
          <w:tcPr>
            <w:tcW w:w="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140" w:type="dxa"/>
            <w:vAlign w:val="bottom"/>
            <w:tcBorders>
              <w:right w:val="single" w:sz="8" w:color="E5E5E5"/>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3,268,417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340" w:type="dxa"/>
            <w:vAlign w:val="bottom"/>
            <w:gridSpan w:val="9"/>
          </w:tcPr>
          <w:p>
            <w:pPr>
              <w:spacing w:after="0"/>
              <w:rPr>
                <w:sz w:val="20"/>
                <w:szCs w:val="20"/>
                <w:color w:val="auto"/>
              </w:rPr>
            </w:pPr>
            <w:r>
              <w:rPr>
                <w:rFonts w:ascii="Arial" w:cs="Arial" w:eastAsia="Arial" w:hAnsi="Arial"/>
                <w:sz w:val="18"/>
                <w:szCs w:val="18"/>
                <w:color w:val="auto"/>
              </w:rPr>
              <w:t>To require that the Chairman of the Board not be an employee.</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For</w:t>
            </w:r>
          </w:p>
        </w:tc>
        <w:tc>
          <w:tcPr>
            <w:tcW w:w="5100" w:type="dxa"/>
            <w:vAlign w:val="bottom"/>
            <w:gridSpan w:val="5"/>
          </w:tcPr>
          <w:p>
            <w:pPr>
              <w:ind w:left="220"/>
              <w:spacing w:after="0"/>
              <w:rPr>
                <w:sz w:val="20"/>
                <w:szCs w:val="20"/>
                <w:color w:val="auto"/>
              </w:rPr>
            </w:pPr>
            <w:r>
              <w:rPr>
                <w:rFonts w:ascii="Arial" w:cs="Arial" w:eastAsia="Arial" w:hAnsi="Arial"/>
                <w:sz w:val="14"/>
                <w:szCs w:val="14"/>
                <w:b w:val="1"/>
                <w:bCs w:val="1"/>
                <w:color w:val="auto"/>
              </w:rPr>
              <w:t>Against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E5E5E5"/>
          </w:tcPr>
          <w:p>
            <w:pPr>
              <w:spacing w:after="0"/>
              <w:rPr>
                <w:sz w:val="20"/>
                <w:szCs w:val="20"/>
                <w:color w:val="auto"/>
              </w:rPr>
            </w:pPr>
            <w:r>
              <w:rPr>
                <w:rFonts w:ascii="Arial" w:cs="Arial" w:eastAsia="Arial" w:hAnsi="Arial"/>
                <w:sz w:val="18"/>
                <w:szCs w:val="18"/>
                <w:color w:val="auto"/>
              </w:rPr>
              <w:t>69,510,237</w:t>
            </w:r>
          </w:p>
        </w:tc>
        <w:tc>
          <w:tcPr>
            <w:tcW w:w="180" w:type="dxa"/>
            <w:vAlign w:val="bottom"/>
            <w:tcBorders>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20" w:type="dxa"/>
            <w:vAlign w:val="bottom"/>
            <w:gridSpan w:val="3"/>
            <w:shd w:val="clear" w:color="auto" w:fill="E5E5E5"/>
          </w:tcPr>
          <w:p>
            <w:pPr>
              <w:ind w:left="200"/>
              <w:spacing w:after="0"/>
              <w:rPr>
                <w:sz w:val="20"/>
                <w:szCs w:val="20"/>
                <w:color w:val="auto"/>
              </w:rPr>
            </w:pPr>
            <w:r>
              <w:rPr>
                <w:rFonts w:ascii="Arial" w:cs="Arial" w:eastAsia="Arial" w:hAnsi="Arial"/>
                <w:sz w:val="18"/>
                <w:szCs w:val="18"/>
                <w:color w:val="auto"/>
                <w:w w:val="89"/>
              </w:rPr>
              <w:t>287,179,680</w:t>
            </w:r>
          </w:p>
        </w:tc>
        <w:tc>
          <w:tcPr>
            <w:tcW w:w="3840" w:type="dxa"/>
            <w:vAlign w:val="bottom"/>
            <w:shd w:val="clear" w:color="auto" w:fill="E5E5E5"/>
          </w:tcPr>
          <w:p>
            <w:pPr>
              <w:spacing w:after="0"/>
              <w:rPr>
                <w:sz w:val="18"/>
                <w:szCs w:val="18"/>
                <w:color w:val="auto"/>
              </w:rPr>
            </w:pPr>
          </w:p>
        </w:tc>
        <w:tc>
          <w:tcPr>
            <w:tcW w:w="140" w:type="dxa"/>
            <w:vAlign w:val="bottom"/>
            <w:tcBorders>
              <w:right w:val="single" w:sz="8" w:color="E5E5E5"/>
            </w:tcBorders>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3,294,352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340" w:type="dxa"/>
            <w:vAlign w:val="bottom"/>
            <w:gridSpan w:val="9"/>
          </w:tcPr>
          <w:p>
            <w:pPr>
              <w:spacing w:after="0"/>
              <w:rPr>
                <w:sz w:val="20"/>
                <w:szCs w:val="20"/>
                <w:color w:val="auto"/>
              </w:rPr>
            </w:pPr>
            <w:r>
              <w:rPr>
                <w:rFonts w:ascii="Arial" w:cs="Arial" w:eastAsia="Arial" w:hAnsi="Arial"/>
                <w:sz w:val="18"/>
                <w:szCs w:val="18"/>
                <w:color w:val="auto"/>
              </w:rPr>
              <w:t>To require a sustainability report.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For</w:t>
            </w:r>
          </w:p>
        </w:tc>
        <w:tc>
          <w:tcPr>
            <w:tcW w:w="5100" w:type="dxa"/>
            <w:vAlign w:val="bottom"/>
            <w:gridSpan w:val="5"/>
          </w:tcPr>
          <w:p>
            <w:pPr>
              <w:ind w:left="140"/>
              <w:spacing w:after="0"/>
              <w:rPr>
                <w:sz w:val="20"/>
                <w:szCs w:val="20"/>
                <w:color w:val="auto"/>
              </w:rPr>
            </w:pPr>
            <w:r>
              <w:rPr>
                <w:rFonts w:ascii="Arial" w:cs="Arial" w:eastAsia="Arial" w:hAnsi="Arial"/>
                <w:sz w:val="14"/>
                <w:szCs w:val="14"/>
                <w:b w:val="1"/>
                <w:bCs w:val="1"/>
                <w:color w:val="auto"/>
              </w:rPr>
              <w:t>Against</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48,924,192</w:t>
            </w:r>
          </w:p>
        </w:tc>
        <w:tc>
          <w:tcPr>
            <w:tcW w:w="180" w:type="dxa"/>
            <w:vAlign w:val="bottom"/>
            <w:tcBorders>
              <w:top w:val="single" w:sz="8" w:color="auto"/>
              <w:right w:val="single" w:sz="8" w:color="E5E5E5"/>
            </w:tcBorders>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5"/>
              </w:rPr>
              <w:t>282,113,792</w:t>
            </w:r>
          </w:p>
        </w:tc>
        <w:tc>
          <w:tcPr>
            <w:tcW w:w="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140" w:type="dxa"/>
            <w:vAlign w:val="bottom"/>
            <w:tcBorders>
              <w:top w:val="single" w:sz="8" w:color="auto"/>
              <w:right w:val="single" w:sz="8" w:color="E5E5E5"/>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28,946,286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340" w:type="dxa"/>
            <w:vAlign w:val="bottom"/>
            <w:gridSpan w:val="9"/>
          </w:tcPr>
          <w:p>
            <w:pPr>
              <w:spacing w:after="0"/>
              <w:rPr>
                <w:sz w:val="20"/>
                <w:szCs w:val="20"/>
                <w:color w:val="auto"/>
              </w:rPr>
            </w:pPr>
            <w:r>
              <w:rPr>
                <w:rFonts w:ascii="Arial" w:cs="Arial" w:eastAsia="Arial" w:hAnsi="Arial"/>
                <w:sz w:val="18"/>
                <w:szCs w:val="18"/>
                <w:color w:val="auto"/>
              </w:rPr>
              <w:t>To adopt a recapitalization plan.</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For</w:t>
            </w:r>
          </w:p>
        </w:tc>
        <w:tc>
          <w:tcPr>
            <w:tcW w:w="5100" w:type="dxa"/>
            <w:vAlign w:val="bottom"/>
            <w:gridSpan w:val="5"/>
          </w:tcPr>
          <w:p>
            <w:pPr>
              <w:ind w:left="280"/>
              <w:spacing w:after="0"/>
              <w:rPr>
                <w:sz w:val="20"/>
                <w:szCs w:val="20"/>
                <w:color w:val="auto"/>
              </w:rPr>
            </w:pPr>
            <w:r>
              <w:rPr>
                <w:rFonts w:ascii="Arial" w:cs="Arial" w:eastAsia="Arial" w:hAnsi="Arial"/>
                <w:sz w:val="14"/>
                <w:szCs w:val="14"/>
                <w:b w:val="1"/>
                <w:bCs w:val="1"/>
                <w:color w:val="auto"/>
              </w:rPr>
              <w:t>Against</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111,266,427</w:t>
            </w:r>
          </w:p>
        </w:tc>
        <w:tc>
          <w:tcPr>
            <w:tcW w:w="180" w:type="dxa"/>
            <w:vAlign w:val="bottom"/>
            <w:tcBorders>
              <w:top w:val="single" w:sz="8" w:color="auto"/>
              <w:right w:val="single" w:sz="8" w:color="E5E5E5"/>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38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1120" w:type="dxa"/>
            <w:vAlign w:val="bottom"/>
            <w:tcBorders>
              <w:top w:val="single" w:sz="8" w:color="auto"/>
            </w:tcBorders>
            <w:gridSpan w:val="3"/>
            <w:shd w:val="clear" w:color="auto" w:fill="E5E5E5"/>
          </w:tcPr>
          <w:p>
            <w:pPr>
              <w:ind w:left="240"/>
              <w:spacing w:after="0"/>
              <w:rPr>
                <w:sz w:val="20"/>
                <w:szCs w:val="20"/>
                <w:color w:val="auto"/>
              </w:rPr>
            </w:pPr>
            <w:r>
              <w:rPr>
                <w:rFonts w:ascii="Arial" w:cs="Arial" w:eastAsia="Arial" w:hAnsi="Arial"/>
                <w:sz w:val="18"/>
                <w:szCs w:val="18"/>
                <w:color w:val="auto"/>
                <w:w w:val="85"/>
              </w:rPr>
              <w:t>244,830,828</w:t>
            </w:r>
          </w:p>
        </w:tc>
        <w:tc>
          <w:tcPr>
            <w:tcW w:w="3840" w:type="dxa"/>
            <w:vAlign w:val="bottom"/>
            <w:shd w:val="clear" w:color="auto" w:fill="E5E5E5"/>
          </w:tcPr>
          <w:p>
            <w:pPr>
              <w:spacing w:after="0"/>
              <w:rPr>
                <w:sz w:val="18"/>
                <w:szCs w:val="18"/>
                <w:color w:val="auto"/>
              </w:rPr>
            </w:pPr>
          </w:p>
        </w:tc>
        <w:tc>
          <w:tcPr>
            <w:tcW w:w="140" w:type="dxa"/>
            <w:vAlign w:val="bottom"/>
            <w:tcBorders>
              <w:right w:val="single" w:sz="8" w:color="E5E5E5"/>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3,886,854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JUNE 30,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require an annual vote on executive compensation.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60" w:type="dxa"/>
            <w:vAlign w:val="bottom"/>
            <w:gridSpan w:val="4"/>
          </w:tcPr>
          <w:p>
            <w:pPr>
              <w:ind w:left="42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23,672,084</w:t>
            </w:r>
          </w:p>
        </w:tc>
        <w:tc>
          <w:tcPr>
            <w:tcW w:w="3980" w:type="dxa"/>
            <w:vAlign w:val="bottom"/>
            <w:gridSpan w:val="2"/>
            <w:shd w:val="clear" w:color="auto" w:fill="E5E5E5"/>
          </w:tcPr>
          <w:p>
            <w:pPr>
              <w:spacing w:after="0"/>
              <w:rPr>
                <w:sz w:val="18"/>
                <w:szCs w:val="18"/>
                <w:color w:val="auto"/>
              </w:rPr>
            </w:pPr>
          </w:p>
        </w:tc>
        <w:tc>
          <w:tcPr>
            <w:tcW w:w="5160" w:type="dxa"/>
            <w:vAlign w:val="bottom"/>
            <w:gridSpan w:val="3"/>
            <w:shd w:val="clear" w:color="auto" w:fill="E5E5E5"/>
          </w:tcPr>
          <w:p>
            <w:pPr>
              <w:ind w:left="400"/>
              <w:spacing w:after="0"/>
              <w:rPr>
                <w:sz w:val="20"/>
                <w:szCs w:val="20"/>
                <w:color w:val="auto"/>
              </w:rPr>
            </w:pPr>
            <w:r>
              <w:rPr>
                <w:rFonts w:ascii="Arial" w:cs="Arial" w:eastAsia="Arial" w:hAnsi="Arial"/>
                <w:sz w:val="18"/>
                <w:szCs w:val="18"/>
                <w:color w:val="auto"/>
              </w:rPr>
              <w:t>326,587,012</w:t>
            </w:r>
          </w:p>
        </w:tc>
        <w:tc>
          <w:tcPr>
            <w:tcW w:w="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9,725,054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10400" w:type="dxa"/>
            <w:vAlign w:val="bottom"/>
            <w:gridSpan w:val="8"/>
          </w:tcPr>
          <w:p>
            <w:pPr>
              <w:spacing w:after="0"/>
              <w:rPr>
                <w:sz w:val="20"/>
                <w:szCs w:val="20"/>
                <w:color w:val="auto"/>
              </w:rPr>
            </w:pPr>
            <w:r>
              <w:rPr>
                <w:rFonts w:ascii="Arial" w:cs="Arial" w:eastAsia="Arial" w:hAnsi="Arial"/>
                <w:sz w:val="18"/>
                <w:szCs w:val="18"/>
                <w:color w:val="auto"/>
              </w:rPr>
              <w:t>To require a pay differential report.</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4"/>
          </w:tcPr>
          <w:p>
            <w:pPr>
              <w:ind w:left="42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16,504,748</w:t>
            </w:r>
          </w:p>
        </w:tc>
        <w:tc>
          <w:tcPr>
            <w:tcW w:w="3980" w:type="dxa"/>
            <w:vAlign w:val="bottom"/>
            <w:gridSpan w:val="2"/>
            <w:shd w:val="clear" w:color="auto" w:fill="E5E5E5"/>
          </w:tcPr>
          <w:p>
            <w:pPr>
              <w:spacing w:after="0"/>
              <w:rPr>
                <w:sz w:val="18"/>
                <w:szCs w:val="18"/>
                <w:color w:val="auto"/>
              </w:rPr>
            </w:pPr>
          </w:p>
        </w:tc>
        <w:tc>
          <w:tcPr>
            <w:tcW w:w="5160" w:type="dxa"/>
            <w:vAlign w:val="bottom"/>
            <w:gridSpan w:val="3"/>
            <w:shd w:val="clear" w:color="auto" w:fill="E5E5E5"/>
          </w:tcPr>
          <w:p>
            <w:pPr>
              <w:ind w:left="400"/>
              <w:spacing w:after="0"/>
              <w:rPr>
                <w:sz w:val="20"/>
                <w:szCs w:val="20"/>
                <w:color w:val="auto"/>
              </w:rPr>
            </w:pPr>
            <w:r>
              <w:rPr>
                <w:rFonts w:ascii="Arial" w:cs="Arial" w:eastAsia="Arial" w:hAnsi="Arial"/>
                <w:sz w:val="18"/>
                <w:szCs w:val="18"/>
                <w:color w:val="auto"/>
              </w:rPr>
              <w:t>337,842,043</w:t>
            </w:r>
          </w:p>
        </w:tc>
        <w:tc>
          <w:tcPr>
            <w:tcW w:w="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5,637,479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10400" w:type="dxa"/>
            <w:vAlign w:val="bottom"/>
            <w:gridSpan w:val="8"/>
          </w:tcPr>
          <w:p>
            <w:pPr>
              <w:spacing w:after="0"/>
              <w:rPr>
                <w:sz w:val="20"/>
                <w:szCs w:val="20"/>
                <w:color w:val="auto"/>
              </w:rPr>
            </w:pPr>
            <w:r>
              <w:rPr>
                <w:rFonts w:ascii="Arial" w:cs="Arial" w:eastAsia="Arial" w:hAnsi="Arial"/>
                <w:sz w:val="18"/>
                <w:szCs w:val="18"/>
                <w:color w:val="auto"/>
              </w:rPr>
              <w:t>To require political contributions disclosure.</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4"/>
          </w:tcPr>
          <w:p>
            <w:pPr>
              <w:ind w:left="34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17,831,336</w:t>
            </w:r>
          </w:p>
        </w:tc>
        <w:tc>
          <w:tcPr>
            <w:tcW w:w="3940" w:type="dxa"/>
            <w:vAlign w:val="bottom"/>
            <w:shd w:val="clear" w:color="auto" w:fill="E5E5E5"/>
          </w:tcPr>
          <w:p>
            <w:pPr>
              <w:spacing w:after="0"/>
              <w:rPr>
                <w:sz w:val="18"/>
                <w:szCs w:val="18"/>
                <w:color w:val="auto"/>
              </w:rPr>
            </w:pPr>
          </w:p>
        </w:tc>
        <w:tc>
          <w:tcPr>
            <w:tcW w:w="122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308,405,792</w:t>
            </w:r>
          </w:p>
        </w:tc>
        <w:tc>
          <w:tcPr>
            <w:tcW w:w="80" w:type="dxa"/>
            <w:vAlign w:val="bottom"/>
            <w:shd w:val="clear" w:color="auto" w:fill="E5E5E5"/>
          </w:tcPr>
          <w:p>
            <w:pPr>
              <w:spacing w:after="0"/>
              <w:rPr>
                <w:sz w:val="18"/>
                <w:szCs w:val="18"/>
                <w:color w:val="auto"/>
              </w:rPr>
            </w:pPr>
          </w:p>
        </w:tc>
        <w:tc>
          <w:tcPr>
            <w:tcW w:w="3900" w:type="dxa"/>
            <w:vAlign w:val="bottom"/>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33,746,981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0400" w:type="dxa"/>
            <w:vAlign w:val="bottom"/>
            <w:gridSpan w:val="8"/>
          </w:tcPr>
          <w:p>
            <w:pPr>
              <w:spacing w:after="0"/>
              <w:rPr>
                <w:sz w:val="20"/>
                <w:szCs w:val="20"/>
                <w:color w:val="auto"/>
              </w:rPr>
            </w:pPr>
            <w:r>
              <w:rPr>
                <w:rFonts w:ascii="Arial" w:cs="Arial" w:eastAsia="Arial" w:hAnsi="Arial"/>
                <w:sz w:val="22"/>
                <w:szCs w:val="22"/>
                <w:b w:val="1"/>
                <w:bCs w:val="1"/>
                <w:color w:val="auto"/>
              </w:rPr>
              <w:t>ITEM 6: EXHIBITS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0400" w:type="dxa"/>
            <w:vAlign w:val="bottom"/>
            <w:gridSpan w:val="8"/>
          </w:tcPr>
          <w:p>
            <w:pPr>
              <w:spacing w:after="0"/>
              <w:rPr>
                <w:sz w:val="20"/>
                <w:szCs w:val="20"/>
                <w:color w:val="auto"/>
              </w:rPr>
            </w:pPr>
            <w:r>
              <w:rPr>
                <w:rFonts w:ascii="Arial" w:cs="Arial" w:eastAsia="Arial" w:hAnsi="Arial"/>
                <w:sz w:val="18"/>
                <w:szCs w:val="18"/>
                <w:color w:val="auto"/>
              </w:rPr>
              <w:t>(a)  Exhibits required to be filed by Item 601 of Regulation S-K:</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9240" w:type="dxa"/>
            <w:vAlign w:val="bottom"/>
            <w:gridSpan w:val="6"/>
          </w:tcPr>
          <w:p>
            <w:pPr>
              <w:ind w:left="140"/>
              <w:spacing w:after="0"/>
              <w:rPr>
                <w:sz w:val="20"/>
                <w:szCs w:val="20"/>
                <w:color w:val="auto"/>
              </w:rPr>
            </w:pPr>
            <w:r>
              <w:rPr>
                <w:rFonts w:ascii="Arial" w:cs="Arial" w:eastAsia="Arial" w:hAnsi="Arial"/>
                <w:sz w:val="18"/>
                <w:szCs w:val="18"/>
                <w:color w:val="auto"/>
              </w:rPr>
              <w:t>Comcast Corporation 2002 Restricted Stock Plan, as amended and restated effective May 22, 2007.</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9240" w:type="dxa"/>
            <w:vAlign w:val="bottom"/>
            <w:gridSpan w:val="6"/>
          </w:tcPr>
          <w:p>
            <w:pPr>
              <w:ind w:left="140"/>
              <w:spacing w:after="0"/>
              <w:rPr>
                <w:sz w:val="20"/>
                <w:szCs w:val="20"/>
                <w:color w:val="auto"/>
              </w:rPr>
            </w:pPr>
            <w:r>
              <w:rPr>
                <w:rFonts w:ascii="Arial" w:cs="Arial" w:eastAsia="Arial" w:hAnsi="Arial"/>
                <w:sz w:val="18"/>
                <w:szCs w:val="18"/>
                <w:color w:val="auto"/>
              </w:rPr>
              <w:t>Comcast Corporation Retirement Investment Plan, as amended and restated effective July 1, 2007.</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00" w:hanging="129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140" w:lineRule="exact"/>
        <w:rPr>
          <w:rFonts w:ascii="Arial" w:cs="Arial" w:eastAsia="Arial" w:hAnsi="Arial"/>
          <w:sz w:val="16"/>
          <w:szCs w:val="16"/>
          <w:color w:val="auto"/>
        </w:rPr>
      </w:pPr>
    </w:p>
    <w:p>
      <w:pPr>
        <w:ind w:left="1300" w:hanging="129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Constitutes a management contract or compensatory plan or arrangement.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JUNE 30, 2007</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(As Amended And Restated, Effective May 22, 2007)</w:t>
      </w:r>
    </w:p>
    <w:p>
      <w:pPr>
        <w:spacing w:after="0" w:line="177" w:lineRule="exact"/>
        <w:rPr>
          <w:sz w:val="20"/>
          <w:szCs w:val="20"/>
          <w:color w:val="auto"/>
        </w:rPr>
      </w:pPr>
    </w:p>
    <w:p>
      <w:pPr>
        <w:ind w:left="180" w:hanging="176"/>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90" w:lineRule="exact"/>
        <w:rPr>
          <w:rFonts w:ascii="Arial" w:cs="Arial" w:eastAsia="Arial" w:hAnsi="Arial"/>
          <w:sz w:val="18"/>
          <w:szCs w:val="18"/>
          <w:color w:val="auto"/>
        </w:rPr>
      </w:pPr>
    </w:p>
    <w:p>
      <w:pPr>
        <w:ind w:right="140" w:firstLine="443"/>
        <w:spacing w:after="0" w:line="256" w:lineRule="auto"/>
        <w:tabs>
          <w:tab w:leader="none" w:pos="677"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May 22, 2007.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62" w:lineRule="exact"/>
        <w:rPr>
          <w:rFonts w:ascii="Arial" w:cs="Arial" w:eastAsia="Arial" w:hAnsi="Arial"/>
          <w:sz w:val="18"/>
          <w:szCs w:val="18"/>
          <w:color w:val="auto"/>
        </w:rPr>
      </w:pPr>
    </w:p>
    <w:p>
      <w:pPr>
        <w:ind w:right="80" w:firstLine="443"/>
        <w:spacing w:after="0" w:line="289" w:lineRule="auto"/>
        <w:tabs>
          <w:tab w:leader="none" w:pos="687"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has been amended and restated, effective December 14, 2005, to revise the rules relating to the delegation of authority by the Committee. The Plan was previously amended and restated, effective January 1, 2005 in order (i) to preserve the favorable tax treatment available to amounts deferred pursuant to the Plan before January 1, 2005 and the earnings credited in respect of such amounts (each a “</w:t>
      </w:r>
      <w:r>
        <w:rPr>
          <w:rFonts w:ascii="Arial" w:cs="Arial" w:eastAsia="Arial" w:hAnsi="Arial"/>
          <w:sz w:val="16"/>
          <w:szCs w:val="16"/>
          <w:u w:val="single" w:color="auto"/>
          <w:color w:val="auto"/>
        </w:rPr>
        <w:t>Grandfathered Amount</w:t>
      </w:r>
      <w:r>
        <w:rPr>
          <w:rFonts w:ascii="Arial" w:cs="Arial" w:eastAsia="Arial" w:hAnsi="Arial"/>
          <w:sz w:val="16"/>
          <w:szCs w:val="16"/>
          <w:color w:val="auto"/>
        </w:rPr>
        <w:t xml:space="preserve">”)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(collectively, the “</w:t>
      </w:r>
      <w:r>
        <w:rPr>
          <w:rFonts w:ascii="Arial" w:cs="Arial" w:eastAsia="Arial" w:hAnsi="Arial"/>
          <w:sz w:val="16"/>
          <w:szCs w:val="16"/>
          <w:u w:val="single" w:color="auto"/>
          <w:color w:val="auto"/>
        </w:rPr>
        <w:t>AJCA</w:t>
      </w:r>
      <w:r>
        <w:rPr>
          <w:rFonts w:ascii="Arial" w:cs="Arial" w:eastAsia="Arial" w:hAnsi="Arial"/>
          <w:sz w:val="16"/>
          <w:szCs w:val="16"/>
          <w:color w:val="auto"/>
        </w:rPr>
        <w:t>”),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37" w:lineRule="exact"/>
        <w:rPr>
          <w:rFonts w:ascii="Arial" w:cs="Arial" w:eastAsia="Arial" w:hAnsi="Arial"/>
          <w:sz w:val="16"/>
          <w:szCs w:val="16"/>
          <w:color w:val="auto"/>
        </w:rPr>
      </w:pPr>
    </w:p>
    <w:p>
      <w:pPr>
        <w:ind w:right="140" w:firstLine="443"/>
        <w:spacing w:after="0" w:line="268" w:lineRule="auto"/>
        <w:tabs>
          <w:tab w:leader="none" w:pos="677"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and the Committee reserve the right to amend the Plan, either retroactively or prospectively, in whatever respect is required to achieve and maintain compliance with the requirements of the AJCA.</w:t>
      </w:r>
    </w:p>
    <w:p>
      <w:pPr>
        <w:spacing w:after="0" w:line="50" w:lineRule="exact"/>
        <w:rPr>
          <w:rFonts w:ascii="Arial" w:cs="Arial" w:eastAsia="Arial" w:hAnsi="Arial"/>
          <w:sz w:val="18"/>
          <w:szCs w:val="18"/>
          <w:color w:val="auto"/>
        </w:rPr>
      </w:pPr>
    </w:p>
    <w:p>
      <w:pPr>
        <w:jc w:val="both"/>
        <w:ind w:right="80" w:firstLine="443"/>
        <w:spacing w:after="0" w:line="294" w:lineRule="auto"/>
        <w:tabs>
          <w:tab w:leader="none" w:pos="687"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960"/>
          </w:cols>
          <w:pgMar w:left="700" w:top="125" w:right="239" w:bottom="1440" w:gutter="0" w:footer="0" w:header="0"/>
        </w:sectPr>
      </w:pPr>
    </w:p>
    <w:bookmarkStart w:id="37" w:name="page38"/>
    <w:bookmarkEnd w:id="37"/>
    <w:p>
      <w:pPr>
        <w:ind w:left="180" w:hanging="176"/>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jc w:val="both"/>
        <w:ind w:right="180" w:firstLine="443"/>
        <w:spacing w:after="0" w:line="357" w:lineRule="auto"/>
        <w:tabs>
          <w:tab w:leader="none" w:pos="677" w:val="left"/>
        </w:tabs>
        <w:numPr>
          <w:ilvl w:val="1"/>
          <w:numId w:val="1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Acceleration Election</w:t>
      </w:r>
      <w:r>
        <w:rPr>
          <w:rFonts w:ascii="Arial" w:cs="Arial" w:eastAsia="Arial" w:hAnsi="Arial"/>
          <w:sz w:val="15"/>
          <w:szCs w:val="15"/>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ind w:firstLine="443"/>
        <w:spacing w:after="0" w:line="256" w:lineRule="auto"/>
        <w:tabs>
          <w:tab w:leader="none" w:pos="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90" w:lineRule="exact"/>
        <w:rPr>
          <w:rFonts w:ascii="Arial" w:cs="Arial" w:eastAsia="Arial" w:hAnsi="Arial"/>
          <w:sz w:val="18"/>
          <w:szCs w:val="18"/>
          <w:color w:val="auto"/>
        </w:rPr>
      </w:pPr>
    </w:p>
    <w:p>
      <w:pPr>
        <w:jc w:val="both"/>
        <w:ind w:right="60" w:firstLine="443"/>
        <w:spacing w:after="0" w:line="298"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right="40" w:firstLine="443"/>
        <w:spacing w:after="0" w:line="268" w:lineRule="auto"/>
        <w:tabs>
          <w:tab w:leader="none" w:pos="6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means the American Jobs Creation Act of 2004, IRS </w:t>
      </w:r>
      <w:r>
        <w:rPr>
          <w:rFonts w:ascii="Arial" w:cs="Arial" w:eastAsia="Arial" w:hAnsi="Arial"/>
          <w:sz w:val="18"/>
          <w:szCs w:val="18"/>
          <w:i w:val="1"/>
          <w:iCs w:val="1"/>
          <w:color w:val="auto"/>
        </w:rPr>
        <w:t>Notice 2005-1</w:t>
      </w:r>
      <w:r>
        <w:rPr>
          <w:rFonts w:ascii="Arial" w:cs="Arial" w:eastAsia="Arial" w:hAnsi="Arial"/>
          <w:sz w:val="18"/>
          <w:szCs w:val="18"/>
          <w:color w:val="auto"/>
        </w:rPr>
        <w:t xml:space="preserve"> and announcements, notices, revenue rulings and regulations issued under the American Jobs Creation Act of 2004.</w:t>
      </w:r>
    </w:p>
    <w:p>
      <w:pPr>
        <w:spacing w:after="0" w:line="50" w:lineRule="exact"/>
        <w:rPr>
          <w:rFonts w:ascii="Arial" w:cs="Arial" w:eastAsia="Arial" w:hAnsi="Arial"/>
          <w:sz w:val="18"/>
          <w:szCs w:val="18"/>
          <w:color w:val="auto"/>
        </w:rPr>
      </w:pPr>
    </w:p>
    <w:p>
      <w:pPr>
        <w:ind w:right="140" w:firstLine="443"/>
        <w:spacing w:after="0" w:line="268" w:lineRule="auto"/>
        <w:tabs>
          <w:tab w:leader="none" w:pos="6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63" w:lineRule="exact"/>
        <w:rPr>
          <w:rFonts w:ascii="Arial" w:cs="Arial" w:eastAsia="Arial" w:hAnsi="Arial"/>
          <w:sz w:val="18"/>
          <w:szCs w:val="18"/>
          <w:color w:val="auto"/>
        </w:rPr>
      </w:pPr>
    </w:p>
    <w:p>
      <w:pPr>
        <w:ind w:left="1460" w:right="20" w:hanging="440"/>
        <w:spacing w:after="0" w:line="235" w:lineRule="auto"/>
        <w:tabs>
          <w:tab w:leader="none" w:pos="14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700" w:top="280" w:right="299" w:bottom="1440" w:gutter="0" w:footer="0" w:header="0"/>
        </w:sectPr>
      </w:pPr>
    </w:p>
    <w:bookmarkStart w:id="38" w:name="page39"/>
    <w:bookmarkEnd w:id="38"/>
    <w:p>
      <w:pPr>
        <w:ind w:left="1460" w:hanging="440"/>
        <w:spacing w:after="0" w:line="253"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66" w:lineRule="exact"/>
        <w:rPr>
          <w:rFonts w:ascii="Arial" w:cs="Arial" w:eastAsia="Arial" w:hAnsi="Arial"/>
          <w:sz w:val="18"/>
          <w:szCs w:val="18"/>
          <w:color w:val="auto"/>
        </w:rPr>
      </w:pPr>
    </w:p>
    <w:p>
      <w:pPr>
        <w:ind w:right="240" w:firstLine="443"/>
        <w:spacing w:after="0" w:line="268"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40" w:hanging="440"/>
        <w:spacing w:after="0" w:line="255"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2" w:lineRule="exact"/>
        <w:rPr>
          <w:sz w:val="20"/>
          <w:szCs w:val="20"/>
          <w:color w:val="auto"/>
        </w:rPr>
      </w:pPr>
    </w:p>
    <w:p>
      <w:pPr>
        <w:ind w:left="1460" w:hanging="44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Article VIII, any transaction or series of transactions that constitutes:</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1920" w:right="180" w:hanging="441"/>
        <w:spacing w:after="0" w:line="268"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change in the ownership of a substantial portion of the assets of the Company, within the meaning of Q&amp;A 14 of </w:t>
      </w:r>
      <w:r>
        <w:rPr>
          <w:rFonts w:ascii="Arial" w:cs="Arial" w:eastAsia="Arial" w:hAnsi="Arial"/>
          <w:sz w:val="18"/>
          <w:szCs w:val="18"/>
          <w:i w:val="1"/>
          <w:iCs w:val="1"/>
          <w:color w:val="auto"/>
        </w:rPr>
        <w:t>IRS Notice</w:t>
      </w:r>
      <w:r>
        <w:rPr>
          <w:rFonts w:ascii="Arial" w:cs="Arial" w:eastAsia="Arial" w:hAnsi="Arial"/>
          <w:sz w:val="18"/>
          <w:szCs w:val="18"/>
          <w:color w:val="auto"/>
        </w:rPr>
        <w:t xml:space="preserve"> </w:t>
      </w:r>
      <w:r>
        <w:rPr>
          <w:rFonts w:ascii="Arial" w:cs="Arial" w:eastAsia="Arial" w:hAnsi="Arial"/>
          <w:sz w:val="18"/>
          <w:szCs w:val="18"/>
          <w:i w:val="1"/>
          <w:iCs w:val="1"/>
          <w:color w:val="auto"/>
        </w:rPr>
        <w:t>2005-1</w:t>
      </w:r>
      <w:r>
        <w:rPr>
          <w:rFonts w:ascii="Arial" w:cs="Arial" w:eastAsia="Arial" w:hAnsi="Arial"/>
          <w:sz w:val="18"/>
          <w:szCs w:val="18"/>
          <w:color w:val="auto"/>
        </w:rPr>
        <w: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39" w:name="page40"/>
    <w:bookmarkEnd w:id="39"/>
    <w:p>
      <w:pPr>
        <w:ind w:left="660" w:hanging="2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80" w:firstLine="443"/>
        <w:spacing w:after="0" w:line="256" w:lineRule="auto"/>
        <w:tabs>
          <w:tab w:leader="none" w:pos="7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90" w:lineRule="exact"/>
        <w:rPr>
          <w:rFonts w:ascii="Arial" w:cs="Arial" w:eastAsia="Arial" w:hAnsi="Arial"/>
          <w:sz w:val="18"/>
          <w:szCs w:val="18"/>
          <w:color w:val="auto"/>
        </w:rPr>
      </w:pPr>
    </w:p>
    <w:p>
      <w:pPr>
        <w:ind w:right="420" w:firstLine="443"/>
        <w:spacing w:after="0" w:line="357" w:lineRule="auto"/>
        <w:tabs>
          <w:tab w:leader="none" w:pos="6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ind w:firstLine="443"/>
        <w:spacing w:after="0" w:line="290"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7" w:lineRule="exact"/>
        <w:rPr>
          <w:rFonts w:ascii="Arial" w:cs="Arial" w:eastAsia="Arial" w:hAnsi="Arial"/>
          <w:sz w:val="16"/>
          <w:szCs w:val="16"/>
          <w:color w:val="auto"/>
        </w:rPr>
      </w:pPr>
    </w:p>
    <w:p>
      <w:pPr>
        <w:ind w:left="660" w:hanging="2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60" w:hanging="440"/>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40" w:name="page41"/>
    <w:bookmarkEnd w:id="40"/>
    <w:p>
      <w:pPr>
        <w:ind w:left="1460" w:right="540" w:hanging="440"/>
        <w:spacing w:after="0" w:line="332" w:lineRule="auto"/>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460" w:hanging="440"/>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60" w:hanging="440"/>
        <w:spacing w:after="0" w:line="268"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80" w:hanging="440"/>
        <w:spacing w:after="0" w:line="357" w:lineRule="auto"/>
        <w:tabs>
          <w:tab w:leader="none" w:pos="14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ind w:left="1460" w:right="120" w:hanging="440"/>
        <w:spacing w:after="0" w:line="335" w:lineRule="auto"/>
        <w:tabs>
          <w:tab w:leader="none" w:pos="14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7" w:lineRule="exact"/>
        <w:rPr>
          <w:rFonts w:ascii="Arial" w:cs="Arial" w:eastAsia="Arial" w:hAnsi="Arial"/>
          <w:sz w:val="15"/>
          <w:szCs w:val="15"/>
          <w:color w:val="auto"/>
        </w:rPr>
      </w:pPr>
    </w:p>
    <w:p>
      <w:pPr>
        <w:ind w:left="740" w:hanging="29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2(w)(i) acting on behalf of such individual.</w:t>
      </w:r>
    </w:p>
    <w:p>
      <w:pPr>
        <w:spacing w:after="0" w:line="90" w:lineRule="exact"/>
        <w:rPr>
          <w:rFonts w:ascii="Arial" w:cs="Arial" w:eastAsia="Arial" w:hAnsi="Arial"/>
          <w:sz w:val="18"/>
          <w:szCs w:val="18"/>
          <w:color w:val="auto"/>
        </w:rPr>
      </w:pPr>
    </w:p>
    <w:p>
      <w:pPr>
        <w:ind w:firstLine="443"/>
        <w:spacing w:after="0" w:line="259"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8(h).</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41" w:name="page42"/>
    <w:bookmarkEnd w:id="41"/>
    <w:p>
      <w:pPr>
        <w:ind w:left="760" w:hanging="317"/>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w:t>
      </w:r>
    </w:p>
    <w:p>
      <w:pPr>
        <w:spacing w:after="0" w:line="113" w:lineRule="exact"/>
        <w:rPr>
          <w:rFonts w:ascii="Arial" w:cs="Arial" w:eastAsia="Arial" w:hAnsi="Arial"/>
          <w:sz w:val="16"/>
          <w:szCs w:val="16"/>
          <w:color w:val="auto"/>
        </w:rPr>
      </w:pPr>
    </w:p>
    <w:p>
      <w:pPr>
        <w:ind w:left="1460" w:right="140" w:hanging="440"/>
        <w:spacing w:after="0" w:line="357" w:lineRule="auto"/>
        <w:tabs>
          <w:tab w:leader="none" w:pos="1460" w:val="left"/>
        </w:tabs>
        <w:numPr>
          <w:ilvl w:val="1"/>
          <w:numId w:val="18"/>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ind w:left="1460" w:right="300" w:hanging="440"/>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60" w:hanging="440"/>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Deferred Stock Units described in Paragraph 1(b).</w:t>
      </w:r>
    </w:p>
    <w:p>
      <w:pPr>
        <w:spacing w:after="0" w:line="90" w:lineRule="exact"/>
        <w:rPr>
          <w:rFonts w:ascii="Arial" w:cs="Arial" w:eastAsia="Arial" w:hAnsi="Arial"/>
          <w:sz w:val="18"/>
          <w:szCs w:val="18"/>
          <w:color w:val="auto"/>
        </w:rPr>
      </w:pPr>
    </w:p>
    <w:p>
      <w:pPr>
        <w:ind w:left="760" w:hanging="31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90" w:lineRule="exact"/>
        <w:rPr>
          <w:rFonts w:ascii="Arial" w:cs="Arial" w:eastAsia="Arial" w:hAnsi="Arial"/>
          <w:sz w:val="18"/>
          <w:szCs w:val="18"/>
          <w:color w:val="auto"/>
        </w:rPr>
      </w:pPr>
    </w:p>
    <w:p>
      <w:pPr>
        <w:ind w:firstLine="443"/>
        <w:spacing w:after="0" w:line="285" w:lineRule="auto"/>
        <w:tabs>
          <w:tab w:leader="none" w:pos="7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xml:space="preserve">” means a Grantee’s severe financial hardship due to an unforeseeable emergency resulting from a sudden and unexpected illness or 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Minors Act </w:t>
      </w:r>
      <w:r>
        <w:rPr>
          <w:rFonts w:ascii="Arial" w:cs="Arial" w:eastAsia="Arial" w:hAnsi="Arial"/>
          <w:sz w:val="16"/>
          <w:szCs w:val="16"/>
          <w:color w:val="auto"/>
        </w:rPr>
        <w:t>custodianship shall not be treated as a resource of the Grantee. The Committee shall determine whether the circumstances of the Grantee</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42" w:name="page43"/>
    <w:bookmarkEnd w:id="42"/>
    <w:p>
      <w:pPr>
        <w:ind w:right="140" w:firstLine="443"/>
        <w:spacing w:after="0" w:line="306" w:lineRule="auto"/>
        <w:tabs>
          <w:tab w:leader="none" w:pos="755"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25" w:lineRule="exact"/>
        <w:rPr>
          <w:rFonts w:ascii="Arial" w:cs="Arial" w:eastAsia="Arial" w:hAnsi="Arial"/>
          <w:sz w:val="16"/>
          <w:szCs w:val="16"/>
          <w:color w:val="auto"/>
        </w:rPr>
      </w:pPr>
    </w:p>
    <w:p>
      <w:pPr>
        <w:ind w:firstLine="443"/>
        <w:spacing w:after="0" w:line="259" w:lineRule="auto"/>
        <w:tabs>
          <w:tab w:leader="none" w:pos="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59" w:lineRule="exact"/>
        <w:rPr>
          <w:rFonts w:ascii="Arial" w:cs="Arial" w:eastAsia="Arial" w:hAnsi="Arial"/>
          <w:sz w:val="18"/>
          <w:szCs w:val="18"/>
          <w:color w:val="auto"/>
        </w:rPr>
      </w:pPr>
    </w:p>
    <w:p>
      <w:pPr>
        <w:ind w:right="20" w:firstLine="443"/>
        <w:spacing w:after="0" w:line="259"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59" w:lineRule="exact"/>
        <w:rPr>
          <w:rFonts w:ascii="Arial" w:cs="Arial" w:eastAsia="Arial" w:hAnsi="Arial"/>
          <w:sz w:val="18"/>
          <w:szCs w:val="18"/>
          <w:color w:val="auto"/>
        </w:rPr>
      </w:pPr>
    </w:p>
    <w:p>
      <w:pPr>
        <w:ind w:right="460" w:firstLine="443"/>
        <w:spacing w:after="0" w:line="268"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right="520" w:firstLine="443"/>
        <w:spacing w:after="0" w:line="268"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220" w:hanging="440"/>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50" w:lineRule="exact"/>
        <w:rPr>
          <w:rFonts w:ascii="Arial" w:cs="Arial" w:eastAsia="Arial" w:hAnsi="Arial"/>
          <w:sz w:val="18"/>
          <w:szCs w:val="18"/>
          <w:color w:val="auto"/>
        </w:rPr>
      </w:pPr>
    </w:p>
    <w:p>
      <w:pPr>
        <w:ind w:left="1460" w:hanging="440"/>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2(jj)(i); over</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60" w:hanging="293"/>
        <w:spacing w:after="0"/>
        <w:tabs>
          <w:tab w:leader="none" w:pos="21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43" w:name="page44"/>
    <w:bookmarkEnd w:id="43"/>
    <w:p>
      <w:pPr>
        <w:ind w:left="1940" w:right="240" w:firstLine="387"/>
        <w:spacing w:after="0" w:line="332" w:lineRule="auto"/>
        <w:tabs>
          <w:tab w:leader="none" w:pos="2597"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4" w:lineRule="exact"/>
        <w:rPr>
          <w:rFonts w:ascii="Arial" w:cs="Arial" w:eastAsia="Arial" w:hAnsi="Arial"/>
          <w:sz w:val="16"/>
          <w:szCs w:val="16"/>
          <w:color w:val="auto"/>
        </w:rPr>
      </w:pPr>
    </w:p>
    <w:p>
      <w:pPr>
        <w:ind w:left="1940" w:firstLine="387"/>
        <w:spacing w:after="0" w:line="298" w:lineRule="auto"/>
        <w:tabs>
          <w:tab w:leader="none" w:pos="25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940" w:right="20" w:firstLine="387"/>
        <w:spacing w:after="0" w:line="259" w:lineRule="auto"/>
        <w:tabs>
          <w:tab w:leader="none" w:pos="26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62" w:lineRule="exact"/>
        <w:rPr>
          <w:sz w:val="20"/>
          <w:szCs w:val="20"/>
          <w:color w:val="auto"/>
        </w:rPr>
      </w:pPr>
    </w:p>
    <w:p>
      <w:pPr>
        <w:ind w:left="1240" w:hanging="33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50" w:lineRule="exact"/>
        <w:rPr>
          <w:rFonts w:ascii="Arial" w:cs="Arial" w:eastAsia="Arial" w:hAnsi="Arial"/>
          <w:sz w:val="18"/>
          <w:szCs w:val="18"/>
          <w:color w:val="auto"/>
        </w:rPr>
      </w:pPr>
    </w:p>
    <w:p>
      <w:pPr>
        <w:ind w:left="1340" w:hanging="437"/>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4" w:name="page45"/>
    <w:bookmarkEnd w:id="44"/>
    <w:p>
      <w:pPr>
        <w:ind w:right="120" w:firstLine="443"/>
        <w:spacing w:after="0" w:line="256"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90" w:lineRule="exact"/>
        <w:rPr>
          <w:rFonts w:ascii="Arial" w:cs="Arial" w:eastAsia="Arial" w:hAnsi="Arial"/>
          <w:sz w:val="18"/>
          <w:szCs w:val="18"/>
          <w:color w:val="auto"/>
        </w:rPr>
      </w:pPr>
    </w:p>
    <w:p>
      <w:pPr>
        <w:ind w:left="720" w:hanging="27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13" w:lineRule="exact"/>
        <w:rPr>
          <w:rFonts w:ascii="Arial" w:cs="Arial" w:eastAsia="Arial" w:hAnsi="Arial"/>
          <w:sz w:val="16"/>
          <w:szCs w:val="16"/>
          <w:color w:val="auto"/>
        </w:rPr>
      </w:pPr>
    </w:p>
    <w:p>
      <w:pPr>
        <w:ind w:left="740" w:hanging="297"/>
        <w:spacing w:after="0"/>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83" w:lineRule="exact"/>
        <w:rPr>
          <w:rFonts w:ascii="Arial" w:cs="Arial" w:eastAsia="Arial" w:hAnsi="Arial"/>
          <w:sz w:val="16"/>
          <w:szCs w:val="16"/>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60" w:hanging="440"/>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59" w:lineRule="exact"/>
        <w:rPr>
          <w:rFonts w:ascii="Arial" w:cs="Arial" w:eastAsia="Arial" w:hAnsi="Arial"/>
          <w:sz w:val="18"/>
          <w:szCs w:val="18"/>
          <w:color w:val="auto"/>
        </w:rPr>
      </w:pPr>
    </w:p>
    <w:p>
      <w:pPr>
        <w:ind w:left="860" w:hanging="41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90" w:lineRule="exact"/>
        <w:rPr>
          <w:rFonts w:ascii="Arial" w:cs="Arial" w:eastAsia="Arial" w:hAnsi="Arial"/>
          <w:sz w:val="18"/>
          <w:szCs w:val="18"/>
          <w:color w:val="auto"/>
        </w:rPr>
      </w:pPr>
    </w:p>
    <w:p>
      <w:pPr>
        <w:ind w:firstLine="443"/>
        <w:spacing w:after="0" w:line="256"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8(h)(i), if (and to the extent that) it is approved by the Committee in accordance with Paragraph 8(h)(ii).</w:t>
      </w:r>
    </w:p>
    <w:p>
      <w:pPr>
        <w:spacing w:after="0" w:line="62" w:lineRule="exact"/>
        <w:rPr>
          <w:rFonts w:ascii="Arial" w:cs="Arial" w:eastAsia="Arial" w:hAnsi="Arial"/>
          <w:sz w:val="18"/>
          <w:szCs w:val="18"/>
          <w:color w:val="auto"/>
        </w:rPr>
      </w:pPr>
    </w:p>
    <w:p>
      <w:pPr>
        <w:ind w:right="120" w:firstLine="443"/>
        <w:spacing w:after="0" w:line="306" w:lineRule="auto"/>
        <w:tabs>
          <w:tab w:leader="none" w:pos="7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45" w:name="page46"/>
    <w:bookmarkEnd w:id="45"/>
    <w:p>
      <w:pPr>
        <w:ind w:firstLine="443"/>
        <w:spacing w:after="0" w:line="268" w:lineRule="auto"/>
        <w:tabs>
          <w:tab w:leader="none" w:pos="755"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51" w:lineRule="exact"/>
        <w:rPr>
          <w:sz w:val="20"/>
          <w:szCs w:val="20"/>
          <w:color w:val="auto"/>
        </w:rPr>
      </w:pPr>
    </w:p>
    <w:p>
      <w:pPr>
        <w:ind w:right="200" w:firstLine="443"/>
        <w:spacing w:after="0" w:line="332" w:lineRule="auto"/>
        <w:tabs>
          <w:tab w:leader="none" w:pos="8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4" w:lineRule="exact"/>
        <w:rPr>
          <w:rFonts w:ascii="Arial" w:cs="Arial" w:eastAsia="Arial" w:hAnsi="Arial"/>
          <w:sz w:val="16"/>
          <w:szCs w:val="16"/>
          <w:color w:val="auto"/>
        </w:rPr>
      </w:pPr>
    </w:p>
    <w:p>
      <w:pPr>
        <w:ind w:left="860" w:hanging="417"/>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60" w:hanging="440"/>
        <w:spacing w:after="0"/>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right="20" w:firstLine="443"/>
        <w:spacing w:after="0" w:line="268" w:lineRule="auto"/>
        <w:tabs>
          <w:tab w:leader="none" w:pos="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50" w:lineRule="exact"/>
        <w:rPr>
          <w:rFonts w:ascii="Arial" w:cs="Arial" w:eastAsia="Arial" w:hAnsi="Arial"/>
          <w:sz w:val="18"/>
          <w:szCs w:val="18"/>
          <w:color w:val="auto"/>
        </w:rPr>
      </w:pPr>
    </w:p>
    <w:p>
      <w:pPr>
        <w:ind w:right="360" w:firstLine="443"/>
        <w:spacing w:after="0" w:line="332" w:lineRule="auto"/>
        <w:tabs>
          <w:tab w:leader="none" w:pos="8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4" w:lineRule="exact"/>
        <w:rPr>
          <w:rFonts w:ascii="Arial" w:cs="Arial" w:eastAsia="Arial" w:hAnsi="Arial"/>
          <w:sz w:val="16"/>
          <w:szCs w:val="16"/>
          <w:color w:val="auto"/>
        </w:rPr>
      </w:pPr>
    </w:p>
    <w:p>
      <w:pPr>
        <w:ind w:left="840" w:hanging="397"/>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52" w:lineRule="exact"/>
        <w:rPr>
          <w:sz w:val="20"/>
          <w:szCs w:val="20"/>
          <w:color w:val="auto"/>
        </w:rPr>
      </w:pPr>
    </w:p>
    <w:p>
      <w:pPr>
        <w:ind w:left="180" w:hanging="176"/>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Rights that may be granted under the Plan are:</w:t>
      </w:r>
    </w:p>
    <w:p>
      <w:pPr>
        <w:spacing w:after="0" w:line="90" w:lineRule="exact"/>
        <w:rPr>
          <w:sz w:val="20"/>
          <w:szCs w:val="20"/>
          <w:color w:val="auto"/>
        </w:rPr>
      </w:pPr>
    </w:p>
    <w:p>
      <w:pPr>
        <w:ind w:right="20" w:firstLine="443"/>
        <w:spacing w:after="0" w:line="268"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50" w:lineRule="exact"/>
        <w:rPr>
          <w:rFonts w:ascii="Arial" w:cs="Arial" w:eastAsia="Arial" w:hAnsi="Arial"/>
          <w:sz w:val="18"/>
          <w:szCs w:val="18"/>
          <w:color w:val="auto"/>
        </w:rPr>
      </w:pPr>
    </w:p>
    <w:p>
      <w:pPr>
        <w:jc w:val="both"/>
        <w:ind w:right="420" w:firstLine="443"/>
        <w:spacing w:after="0" w:line="259" w:lineRule="auto"/>
        <w:tabs>
          <w:tab w:leader="none" w:pos="6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221" w:lineRule="exact"/>
        <w:rPr>
          <w:rFonts w:ascii="Arial" w:cs="Arial" w:eastAsia="Arial" w:hAnsi="Arial"/>
          <w:sz w:val="18"/>
          <w:szCs w:val="18"/>
          <w:color w:val="auto"/>
        </w:rPr>
      </w:pPr>
    </w:p>
    <w:p>
      <w:pPr>
        <w:ind w:left="180" w:hanging="176"/>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90" w:lineRule="exact"/>
        <w:rPr>
          <w:rFonts w:ascii="Arial" w:cs="Arial" w:eastAsia="Arial" w:hAnsi="Arial"/>
          <w:sz w:val="18"/>
          <w:szCs w:val="18"/>
          <w:color w:val="auto"/>
        </w:rPr>
      </w:pPr>
    </w:p>
    <w:p>
      <w:pPr>
        <w:ind w:right="620" w:firstLine="443"/>
        <w:spacing w:after="0" w:line="332" w:lineRule="auto"/>
        <w:tabs>
          <w:tab w:leader="none" w:pos="6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 more than 15 million Shares in the aggregate may be issued under the Plan pursuant to the grant of Awards, subject to adjustment in accordance with Paragraph 10, provided that subject to the approval of the Company’s shareholders at the</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80" w:right="319" w:bottom="1440" w:gutter="0" w:footer="0" w:header="0"/>
        </w:sectPr>
      </w:pPr>
    </w:p>
    <w:bookmarkStart w:id="46" w:name="page47"/>
    <w:bookmarkEnd w:id="46"/>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Annual Meeting of Shareholders to be held in 2006, the number of Shares in the aggregate that may be issued under the Plan, pursuant to the grant of Awards, subject to adjustment in accordance with Paragraph 10, shall be increased from 15 million to 35 million. The Shares issued under the Plan may, at the Company’s option, be either Shares held in treasury or Shares originally issued for such purpose.</w:t>
      </w:r>
    </w:p>
    <w:p>
      <w:pPr>
        <w:spacing w:after="0" w:line="26" w:lineRule="exact"/>
        <w:rPr>
          <w:sz w:val="20"/>
          <w:szCs w:val="20"/>
          <w:color w:val="auto"/>
        </w:rPr>
      </w:pPr>
    </w:p>
    <w:p>
      <w:pPr>
        <w:jc w:val="both"/>
        <w:ind w:left="460" w:right="60" w:firstLine="443"/>
        <w:spacing w:after="0" w:line="306" w:lineRule="auto"/>
        <w:tabs>
          <w:tab w:leader="none" w:pos="11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87" w:lineRule="exact"/>
        <w:rPr>
          <w:rFonts w:ascii="Arial" w:cs="Arial" w:eastAsia="Arial" w:hAnsi="Arial"/>
          <w:sz w:val="16"/>
          <w:szCs w:val="16"/>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1920" w:right="60" w:hanging="440"/>
        <w:spacing w:after="0" w:line="256" w:lineRule="auto"/>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920" w:right="380" w:hanging="440"/>
        <w:spacing w:after="0" w:line="268" w:lineRule="auto"/>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90" w:lineRule="exact"/>
        <w:rPr>
          <w:sz w:val="20"/>
          <w:szCs w:val="20"/>
          <w:color w:val="auto"/>
        </w:rPr>
      </w:pPr>
    </w:p>
    <w:p>
      <w:pPr>
        <w:ind w:left="460" w:right="380" w:firstLine="443"/>
        <w:spacing w:after="0" w:line="259"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7" w:name="page48"/>
    <w:bookmarkEnd w:id="47"/>
    <w:p>
      <w:pPr>
        <w:ind w:right="120" w:firstLine="443"/>
        <w:spacing w:after="0" w:line="294" w:lineRule="auto"/>
        <w:tabs>
          <w:tab w:leader="none" w:pos="6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6"/>
          <w:szCs w:val="16"/>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4" w:lineRule="exact"/>
        <w:rPr>
          <w:rFonts w:ascii="Arial" w:cs="Arial" w:eastAsia="Arial" w:hAnsi="Arial"/>
          <w:sz w:val="16"/>
          <w:szCs w:val="16"/>
          <w:color w:val="auto"/>
        </w:rPr>
      </w:pPr>
    </w:p>
    <w:p>
      <w:pPr>
        <w:ind w:left="660" w:hanging="21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80" w:hanging="440"/>
        <w:spacing w:after="0" w:line="286" w:lineRule="auto"/>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w:t>
      </w:r>
    </w:p>
    <w:p>
      <w:pPr>
        <w:ind w:left="1720" w:hanging="254"/>
        <w:spacing w:after="0"/>
        <w:tabs>
          <w:tab w:leader="none" w:pos="17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w:t>
      </w:r>
    </w:p>
    <w:p>
      <w:pPr>
        <w:spacing w:after="0" w:line="32" w:lineRule="exact"/>
        <w:rPr>
          <w:rFonts w:ascii="Arial" w:cs="Arial" w:eastAsia="Arial" w:hAnsi="Arial"/>
          <w:sz w:val="16"/>
          <w:szCs w:val="16"/>
          <w:color w:val="auto"/>
        </w:rPr>
      </w:pPr>
    </w:p>
    <w:p>
      <w:pPr>
        <w:ind w:left="1720" w:hanging="254"/>
        <w:spacing w:after="0"/>
        <w:tabs>
          <w:tab w:leader="none" w:pos="17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is a Section 16(b) Officer, is reserved to the Committee.</w:t>
      </w:r>
    </w:p>
    <w:p>
      <w:pPr>
        <w:spacing w:after="0" w:line="84" w:lineRule="exact"/>
        <w:rPr>
          <w:sz w:val="20"/>
          <w:szCs w:val="20"/>
          <w:color w:val="auto"/>
        </w:rPr>
      </w:pPr>
    </w:p>
    <w:p>
      <w:pPr>
        <w:ind w:left="1460" w:hanging="440"/>
        <w:spacing w:after="0" w:line="255"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460" w:right="20" w:hanging="440"/>
        <w:spacing w:after="0" w:line="306" w:lineRule="auto"/>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460" w:hanging="440"/>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460" w:right="40" w:hanging="440"/>
        <w:spacing w:after="0" w:line="259"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48" w:name="page49"/>
    <w:bookmarkEnd w:id="48"/>
    <w:p>
      <w:pPr>
        <w:ind w:left="1920" w:hanging="440"/>
        <w:spacing w:after="0"/>
        <w:tabs>
          <w:tab w:leader="none" w:pos="1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delegate shall notify the Committee that he declines to continue exercise such authority.</w:t>
      </w:r>
    </w:p>
    <w:p>
      <w:pPr>
        <w:spacing w:after="0" w:line="252"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213"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terms and conditions of Awards shall be set forth in writing as determined from time to time by the Committee, consistent, however,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1140" w:hanging="237"/>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1" w:lineRule="exact"/>
        <w:rPr>
          <w:rFonts w:ascii="Arial" w:cs="Arial" w:eastAsia="Arial" w:hAnsi="Arial"/>
          <w:sz w:val="16"/>
          <w:szCs w:val="16"/>
          <w:color w:val="auto"/>
        </w:rPr>
      </w:pPr>
    </w:p>
    <w:p>
      <w:pPr>
        <w:ind w:left="460" w:right="320" w:firstLine="443"/>
        <w:spacing w:after="0" w:line="332"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49" w:name="page50"/>
    <w:bookmarkEnd w:id="49"/>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39" w:lineRule="exact"/>
        <w:rPr>
          <w:sz w:val="20"/>
          <w:szCs w:val="20"/>
          <w:color w:val="auto"/>
        </w:rPr>
      </w:pPr>
    </w:p>
    <w:p>
      <w:pPr>
        <w:ind w:left="460" w:right="40" w:firstLine="443"/>
        <w:spacing w:after="0" w:line="306" w:lineRule="auto"/>
        <w:tabs>
          <w:tab w:leader="none" w:pos="1117"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25" w:lineRule="exact"/>
        <w:rPr>
          <w:rFonts w:ascii="Arial" w:cs="Arial" w:eastAsia="Arial" w:hAnsi="Arial"/>
          <w:sz w:val="16"/>
          <w:szCs w:val="16"/>
          <w:color w:val="auto"/>
        </w:rPr>
      </w:pPr>
    </w:p>
    <w:p>
      <w:pPr>
        <w:ind w:left="460" w:right="100" w:firstLine="443"/>
        <w:spacing w:after="0" w:line="335" w:lineRule="auto"/>
        <w:tabs>
          <w:tab w:leader="none" w:pos="1147"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Termination of Grantee’s Employment</w:t>
      </w:r>
      <w:r>
        <w:rPr>
          <w:rFonts w:ascii="Arial" w:cs="Arial" w:eastAsia="Arial" w:hAnsi="Arial"/>
          <w:sz w:val="15"/>
          <w:szCs w:val="15"/>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rFonts w:ascii="Arial" w:cs="Arial" w:eastAsia="Arial" w:hAnsi="Arial"/>
          <w:sz w:val="16"/>
          <w:szCs w:val="16"/>
          <w:color w:val="auto"/>
        </w:rPr>
      </w:pPr>
    </w:p>
    <w:p>
      <w:pPr>
        <w:ind w:left="460" w:right="60" w:firstLine="4"/>
        <w:spacing w:after="0" w:line="287" w:lineRule="auto"/>
        <w:tabs>
          <w:tab w:leader="none" w:pos="67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05"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51" w:lineRule="exact"/>
        <w:rPr>
          <w:sz w:val="20"/>
          <w:szCs w:val="20"/>
          <w:color w:val="auto"/>
        </w:rPr>
      </w:pPr>
    </w:p>
    <w:p>
      <w:pPr>
        <w:ind w:left="1140" w:hanging="23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0" w:hanging="440"/>
        <w:spacing w:after="0" w:line="306" w:lineRule="auto"/>
        <w:tabs>
          <w:tab w:leader="none" w:pos="192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50" w:name="page51"/>
    <w:bookmarkEnd w:id="50"/>
    <w:p>
      <w:pPr>
        <w:ind w:left="720" w:hanging="440"/>
        <w:spacing w:after="0" w:line="266"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Deadline for Initial Election</w:t>
      </w:r>
      <w:r>
        <w:rPr>
          <w:rFonts w:ascii="Arial" w:cs="Arial" w:eastAsia="Arial" w:hAnsi="Arial"/>
          <w:sz w:val="16"/>
          <w:szCs w:val="16"/>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Date of Grant provided that pursuant to Q-A 21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43" w:lineRule="exact"/>
        <w:rPr>
          <w:rFonts w:ascii="Arial" w:cs="Arial" w:eastAsia="Arial" w:hAnsi="Arial"/>
          <w:sz w:val="16"/>
          <w:szCs w:val="16"/>
          <w:color w:val="auto"/>
        </w:rPr>
      </w:pPr>
    </w:p>
    <w:p>
      <w:pPr>
        <w:ind w:left="720" w:right="20" w:hanging="440"/>
        <w:spacing w:after="0" w:line="289"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Special Transition Rule</w:t>
      </w:r>
      <w:r>
        <w:rPr>
          <w:rFonts w:ascii="Arial" w:cs="Arial" w:eastAsia="Arial" w:hAnsi="Arial"/>
          <w:sz w:val="16"/>
          <w:szCs w:val="16"/>
          <w:color w:val="auto"/>
        </w:rPr>
        <w:t xml:space="preserve">. Pursuant to Q-A 20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 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00"/>
          </w:cols>
          <w:pgMar w:left="1440" w:top="253" w:right="259" w:bottom="1440" w:gutter="0" w:footer="0" w:header="0"/>
        </w:sectPr>
      </w:pPr>
    </w:p>
    <w:bookmarkStart w:id="51" w:name="page52"/>
    <w:bookmarkEnd w:id="51"/>
    <w:p>
      <w:pPr>
        <w:ind w:right="20" w:firstLine="443"/>
        <w:spacing w:after="0" w:line="259"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59" w:lineRule="exact"/>
        <w:rPr>
          <w:rFonts w:ascii="Arial" w:cs="Arial" w:eastAsia="Arial" w:hAnsi="Arial"/>
          <w:sz w:val="18"/>
          <w:szCs w:val="18"/>
          <w:color w:val="auto"/>
        </w:rPr>
      </w:pPr>
    </w:p>
    <w:p>
      <w:pPr>
        <w:ind w:right="20" w:firstLine="443"/>
        <w:spacing w:after="0" w:line="291"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39"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60" w:hanging="440"/>
        <w:spacing w:after="0" w:line="254"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3" w:lineRule="exact"/>
        <w:rPr>
          <w:rFonts w:ascii="Arial" w:cs="Arial" w:eastAsia="Arial" w:hAnsi="Arial"/>
          <w:sz w:val="18"/>
          <w:szCs w:val="18"/>
          <w:color w:val="auto"/>
        </w:rPr>
      </w:pPr>
    </w:p>
    <w:p>
      <w:pPr>
        <w:ind w:left="1460" w:right="20" w:hanging="440"/>
        <w:spacing w:after="0" w:line="290" w:lineRule="auto"/>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52" w:name="page53"/>
    <w:bookmarkEnd w:id="52"/>
    <w:p>
      <w:pPr>
        <w:ind w:left="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must be filed with the Committee as soon as practicable following the Deceased Grantee’s death, as determined by the Committee.</w:t>
      </w:r>
    </w:p>
    <w:p>
      <w:pPr>
        <w:spacing w:after="0" w:line="127" w:lineRule="exact"/>
        <w:rPr>
          <w:sz w:val="20"/>
          <w:szCs w:val="20"/>
          <w:color w:val="auto"/>
        </w:rPr>
      </w:pPr>
    </w:p>
    <w:p>
      <w:pPr>
        <w:ind w:left="720" w:right="80" w:hanging="440"/>
        <w:spacing w:after="0" w:line="298"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720" w:hanging="440"/>
        <w:spacing w:after="0" w:line="25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2" w:lineRule="exact"/>
        <w:rPr>
          <w:rFonts w:ascii="Arial" w:cs="Arial" w:eastAsia="Arial" w:hAnsi="Arial"/>
          <w:sz w:val="18"/>
          <w:szCs w:val="18"/>
          <w:color w:val="auto"/>
        </w:rPr>
      </w:pPr>
    </w:p>
    <w:p>
      <w:pPr>
        <w:ind w:left="720" w:right="80" w:hanging="440"/>
        <w:spacing w:after="0" w:line="255"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xml:space="preserve">. To the extent permitted by </w:t>
      </w:r>
      <w:r>
        <w:rPr>
          <w:rFonts w:ascii="Arial" w:cs="Arial" w:eastAsia="Arial" w:hAnsi="Arial"/>
          <w:sz w:val="18"/>
          <w:szCs w:val="18"/>
          <w:i w:val="1"/>
          <w:iCs w:val="1"/>
          <w:color w:val="auto"/>
        </w:rPr>
        <w:t>IRS Notice 2005-1</w:t>
      </w:r>
      <w:r>
        <w:rPr>
          <w:rFonts w:ascii="Arial" w:cs="Arial" w:eastAsia="Arial" w:hAnsi="Arial"/>
          <w:sz w:val="18"/>
          <w:szCs w:val="18"/>
          <w:color w:val="auto"/>
        </w:rPr>
        <w:t>,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61" w:lineRule="exact"/>
        <w:rPr>
          <w:rFonts w:ascii="Arial" w:cs="Arial" w:eastAsia="Arial" w:hAnsi="Arial"/>
          <w:sz w:val="18"/>
          <w:szCs w:val="18"/>
          <w:color w:val="auto"/>
        </w:rPr>
      </w:pPr>
    </w:p>
    <w:p>
      <w:pPr>
        <w:ind w:left="720" w:right="100" w:hanging="440"/>
        <w:spacing w:after="0" w:line="259"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59" w:lineRule="exact"/>
        <w:rPr>
          <w:rFonts w:ascii="Arial" w:cs="Arial" w:eastAsia="Arial" w:hAnsi="Arial"/>
          <w:sz w:val="18"/>
          <w:szCs w:val="18"/>
          <w:color w:val="auto"/>
        </w:rPr>
      </w:pPr>
    </w:p>
    <w:p>
      <w:pPr>
        <w:ind w:left="720" w:right="120" w:hanging="440"/>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xml:space="preserve">.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180" w:hanging="441"/>
        <w:spacing w:after="0"/>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60"/>
          </w:cols>
          <w:pgMar w:left="1440" w:top="280" w:right="299" w:bottom="1440" w:gutter="0" w:footer="0" w:header="0"/>
        </w:sectPr>
      </w:pPr>
    </w:p>
    <w:bookmarkStart w:id="53" w:name="page54"/>
    <w:bookmarkEnd w:id="53"/>
    <w:p>
      <w:pPr>
        <w:ind w:left="1920" w:hanging="441"/>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necessary to comply with a certificate of divestiture (as defined in section 1043(b)(2) of the Code).</w:t>
      </w:r>
    </w:p>
    <w:p>
      <w:pPr>
        <w:spacing w:after="0" w:line="90" w:lineRule="exact"/>
        <w:rPr>
          <w:rFonts w:ascii="Arial" w:cs="Arial" w:eastAsia="Arial" w:hAnsi="Arial"/>
          <w:sz w:val="18"/>
          <w:szCs w:val="18"/>
          <w:color w:val="auto"/>
        </w:rPr>
      </w:pPr>
    </w:p>
    <w:p>
      <w:pPr>
        <w:ind w:left="1920" w:right="60" w:hanging="441"/>
        <w:spacing w:after="0" w:line="294" w:lineRule="auto"/>
        <w:tabs>
          <w:tab w:leader="none" w:pos="19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34" w:lineRule="exact"/>
        <w:rPr>
          <w:rFonts w:ascii="Arial" w:cs="Arial" w:eastAsia="Arial" w:hAnsi="Arial"/>
          <w:sz w:val="16"/>
          <w:szCs w:val="16"/>
          <w:color w:val="auto"/>
        </w:rPr>
      </w:pPr>
    </w:p>
    <w:p>
      <w:pPr>
        <w:ind w:right="40" w:firstLine="443"/>
        <w:spacing w:after="0" w:line="255"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61" w:lineRule="exact"/>
        <w:rPr>
          <w:rFonts w:ascii="Arial" w:cs="Arial" w:eastAsia="Arial" w:hAnsi="Arial"/>
          <w:sz w:val="18"/>
          <w:szCs w:val="18"/>
          <w:color w:val="auto"/>
        </w:rPr>
      </w:pPr>
    </w:p>
    <w:p>
      <w:pPr>
        <w:ind w:right="20" w:firstLine="443"/>
        <w:spacing w:after="0" w:line="268"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8(f) to an officer of the Company or committee of two or more officers of the Company.</w:t>
      </w:r>
    </w:p>
    <w:p>
      <w:pPr>
        <w:spacing w:after="0" w:line="50" w:lineRule="exact"/>
        <w:rPr>
          <w:rFonts w:ascii="Arial" w:cs="Arial" w:eastAsia="Arial" w:hAnsi="Arial"/>
          <w:sz w:val="18"/>
          <w:szCs w:val="18"/>
          <w:color w:val="auto"/>
        </w:rPr>
      </w:pPr>
    </w:p>
    <w:p>
      <w:pPr>
        <w:ind w:left="1460" w:hanging="440"/>
        <w:spacing w:after="0" w:line="294" w:lineRule="auto"/>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460" w:hanging="440"/>
        <w:spacing w:after="0" w:line="255"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700" w:top="280" w:right="299" w:bottom="1440" w:gutter="0" w:footer="0" w:header="0"/>
        </w:sectPr>
      </w:pPr>
    </w:p>
    <w:bookmarkStart w:id="54" w:name="page55"/>
    <w:bookmarkEnd w:id="54"/>
    <w:p>
      <w:pPr>
        <w:ind w:left="148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assumption of such payment obligation, the Administrator shall establish an Account for such Grantee, and the Account shall be subject to the rules of this Plan, as in effect from time to time.</w:t>
      </w:r>
    </w:p>
    <w:p>
      <w:pPr>
        <w:spacing w:after="0" w:line="64" w:lineRule="exact"/>
        <w:rPr>
          <w:sz w:val="20"/>
          <w:szCs w:val="20"/>
          <w:color w:val="auto"/>
        </w:rPr>
      </w:pPr>
    </w:p>
    <w:p>
      <w:pPr>
        <w:ind w:left="1460" w:right="20" w:hanging="440"/>
        <w:spacing w:after="0" w:line="254"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Pursuant to Q-A 19(c) of </w:t>
      </w:r>
      <w:r>
        <w:rPr>
          <w:rFonts w:ascii="Arial" w:cs="Arial" w:eastAsia="Arial" w:hAnsi="Arial"/>
          <w:sz w:val="18"/>
          <w:szCs w:val="18"/>
          <w:i w:val="1"/>
          <w:iCs w:val="1"/>
          <w:color w:val="auto"/>
        </w:rPr>
        <w:t>IRS Notice 2005-1</w:t>
      </w:r>
      <w:r>
        <w:rPr>
          <w:rFonts w:ascii="Arial" w:cs="Arial" w:eastAsia="Arial" w:hAnsi="Arial"/>
          <w:sz w:val="18"/>
          <w:szCs w:val="18"/>
          <w:color w:val="auto"/>
        </w:rPr>
        <w:t>, to the extent provided by the Committee or its delegate, a Grantee may, on or before December 31, 2005, with respect to all or any portion of his or her Grandfathered Amount under the Plan as in effect on December 31, 2004, and with respect to any initial deferrals made after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63" w:lineRule="exact"/>
        <w:rPr>
          <w:rFonts w:ascii="Arial" w:cs="Arial" w:eastAsia="Arial" w:hAnsi="Arial"/>
          <w:sz w:val="18"/>
          <w:szCs w:val="18"/>
          <w:color w:val="auto"/>
        </w:rPr>
      </w:pPr>
    </w:p>
    <w:p>
      <w:pPr>
        <w:ind w:right="80" w:firstLine="443"/>
        <w:spacing w:after="0" w:line="268"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8(h), the value of a Grantee’s Account as of any date shall be determined as if it were invested in the Company Stock Fund.</w:t>
      </w:r>
    </w:p>
    <w:p>
      <w:pPr>
        <w:spacing w:after="0" w:line="212" w:lineRule="exact"/>
        <w:rPr>
          <w:rFonts w:ascii="Arial" w:cs="Arial" w:eastAsia="Arial" w:hAnsi="Arial"/>
          <w:sz w:val="18"/>
          <w:szCs w:val="18"/>
          <w:color w:val="auto"/>
        </w:rPr>
      </w:pPr>
    </w:p>
    <w:p>
      <w:pPr>
        <w:ind w:left="700" w:hanging="25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00" w:hanging="440"/>
        <w:spacing w:after="0" w:line="298" w:lineRule="auto"/>
        <w:tabs>
          <w:tab w:leader="none" w:pos="146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32" w:lineRule="exact"/>
        <w:rPr>
          <w:sz w:val="20"/>
          <w:szCs w:val="20"/>
          <w:color w:val="auto"/>
        </w:rPr>
      </w:pPr>
    </w:p>
    <w:p>
      <w:pPr>
        <w:ind w:left="1460" w:hanging="440"/>
        <w:spacing w:after="0" w:line="256"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8"/>
          <w:szCs w:val="18"/>
          <w:color w:val="auto"/>
        </w:rPr>
      </w:pPr>
    </w:p>
    <w:p>
      <w:pPr>
        <w:ind w:left="1460" w:right="20" w:hanging="440"/>
        <w:spacing w:after="0" w:line="256"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Timing and Manner of Making Diversification Elections</w:t>
      </w:r>
      <w:r>
        <w:rPr>
          <w:rFonts w:ascii="Arial" w:cs="Arial" w:eastAsia="Arial" w:hAnsi="Arial"/>
          <w:sz w:val="18"/>
          <w:szCs w:val="18"/>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55" w:name="page56"/>
    <w:bookmarkEnd w:id="55"/>
    <w:p>
      <w:pPr>
        <w:ind w:left="19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63" w:lineRule="exact"/>
        <w:rPr>
          <w:sz w:val="20"/>
          <w:szCs w:val="20"/>
          <w:color w:val="auto"/>
        </w:rPr>
      </w:pPr>
    </w:p>
    <w:p>
      <w:pPr>
        <w:jc w:val="both"/>
        <w:ind w:left="1920" w:right="80" w:hanging="440"/>
        <w:spacing w:after="0" w:line="294" w:lineRule="auto"/>
        <w:tabs>
          <w:tab w:leader="none" w:pos="19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34" w:lineRule="exact"/>
        <w:rPr>
          <w:rFonts w:ascii="Arial" w:cs="Arial" w:eastAsia="Arial" w:hAnsi="Arial"/>
          <w:sz w:val="16"/>
          <w:szCs w:val="16"/>
          <w:color w:val="auto"/>
        </w:rPr>
      </w:pPr>
    </w:p>
    <w:p>
      <w:pPr>
        <w:ind w:left="460" w:right="40" w:firstLine="443"/>
        <w:spacing w:after="0" w:line="291" w:lineRule="auto"/>
        <w:tabs>
          <w:tab w:leader="none" w:pos="110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140" w:type="dxa"/>
            <w:vAlign w:val="bottom"/>
          </w:tcPr>
          <w:p>
            <w:pPr>
              <w:spacing w:after="0"/>
              <w:rPr>
                <w:sz w:val="15"/>
                <w:szCs w:val="15"/>
                <w:color w:val="auto"/>
              </w:rPr>
            </w:pPr>
          </w:p>
        </w:tc>
        <w:tc>
          <w:tcPr>
            <w:tcW w:w="54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Distributable Percentage of Corresponding Income Fund Amount</w:t>
            </w:r>
          </w:p>
        </w:tc>
      </w:tr>
      <w:tr>
        <w:trPr>
          <w:trHeight w:val="209"/>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On or before the third anniversary of a Diversification Election</w:t>
            </w:r>
          </w:p>
        </w:tc>
        <w:tc>
          <w:tcPr>
            <w:tcW w:w="5460" w:type="dxa"/>
            <w:vAlign w:val="bottom"/>
          </w:tcPr>
          <w:p>
            <w:pPr>
              <w:jc w:val="right"/>
              <w:ind w:right="5056"/>
              <w:spacing w:after="0"/>
              <w:rPr>
                <w:sz w:val="20"/>
                <w:szCs w:val="20"/>
                <w:color w:val="auto"/>
              </w:rPr>
            </w:pPr>
            <w:r>
              <w:rPr>
                <w:rFonts w:ascii="Arial" w:cs="Arial" w:eastAsia="Arial" w:hAnsi="Arial"/>
                <w:sz w:val="18"/>
                <w:szCs w:val="18"/>
                <w:color w:val="auto"/>
                <w:w w:val="83"/>
              </w:rPr>
              <w:t>60%</w:t>
            </w:r>
          </w:p>
        </w:tc>
      </w:tr>
      <w:tr>
        <w:trPr>
          <w:trHeight w:val="309"/>
        </w:trPr>
        <w:tc>
          <w:tcPr>
            <w:tcW w:w="5960" w:type="dxa"/>
            <w:vAlign w:val="bottom"/>
            <w:gridSpan w:val="2"/>
          </w:tcPr>
          <w:p>
            <w:pPr>
              <w:spacing w:after="0"/>
              <w:rPr>
                <w:sz w:val="20"/>
                <w:szCs w:val="20"/>
                <w:color w:val="auto"/>
              </w:rPr>
            </w:pPr>
            <w:r>
              <w:rPr>
                <w:rFonts w:ascii="Arial" w:cs="Arial" w:eastAsia="Arial" w:hAnsi="Arial"/>
                <w:sz w:val="18"/>
                <w:szCs w:val="18"/>
                <w:color w:val="auto"/>
                <w:w w:val="99"/>
              </w:rPr>
              <w:t>After the third anniversary of a Diversification Election and on or before the</w:t>
            </w:r>
          </w:p>
        </w:tc>
        <w:tc>
          <w:tcPr>
            <w:tcW w:w="5460" w:type="dxa"/>
            <w:vAlign w:val="bottom"/>
          </w:tcPr>
          <w:p>
            <w:pPr>
              <w:spacing w:after="0"/>
              <w:rPr>
                <w:sz w:val="24"/>
                <w:szCs w:val="24"/>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fourth anniversary of a Diversification Election</w:t>
            </w:r>
          </w:p>
        </w:tc>
        <w:tc>
          <w:tcPr>
            <w:tcW w:w="5460" w:type="dxa"/>
            <w:vAlign w:val="bottom"/>
          </w:tcPr>
          <w:p>
            <w:pPr>
              <w:jc w:val="right"/>
              <w:ind w:right="5056"/>
              <w:spacing w:after="0"/>
              <w:rPr>
                <w:sz w:val="20"/>
                <w:szCs w:val="20"/>
                <w:color w:val="auto"/>
              </w:rPr>
            </w:pPr>
            <w:r>
              <w:rPr>
                <w:rFonts w:ascii="Arial" w:cs="Arial" w:eastAsia="Arial" w:hAnsi="Arial"/>
                <w:sz w:val="18"/>
                <w:szCs w:val="18"/>
                <w:color w:val="auto"/>
                <w:w w:val="83"/>
              </w:rPr>
              <w:t>40%</w:t>
            </w:r>
          </w:p>
        </w:tc>
      </w:tr>
      <w:tr>
        <w:trPr>
          <w:trHeight w:val="318"/>
        </w:trPr>
        <w:tc>
          <w:tcPr>
            <w:tcW w:w="5960" w:type="dxa"/>
            <w:vAlign w:val="bottom"/>
            <w:gridSpan w:val="2"/>
          </w:tcPr>
          <w:p>
            <w:pPr>
              <w:spacing w:after="0"/>
              <w:rPr>
                <w:sz w:val="20"/>
                <w:szCs w:val="20"/>
                <w:color w:val="auto"/>
              </w:rPr>
            </w:pPr>
            <w:r>
              <w:rPr>
                <w:rFonts w:ascii="Arial" w:cs="Arial" w:eastAsia="Arial" w:hAnsi="Arial"/>
                <w:sz w:val="18"/>
                <w:szCs w:val="18"/>
                <w:color w:val="auto"/>
                <w:w w:val="92"/>
              </w:rPr>
              <w:t>After the fourth anniversary of a Diversification Election and on or before the fifth</w:t>
            </w:r>
          </w:p>
        </w:tc>
        <w:tc>
          <w:tcPr>
            <w:tcW w:w="5460" w:type="dxa"/>
            <w:vAlign w:val="bottom"/>
          </w:tcPr>
          <w:p>
            <w:pPr>
              <w:spacing w:after="0"/>
              <w:rPr>
                <w:sz w:val="24"/>
                <w:szCs w:val="24"/>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anniversary of a Diversification Election</w:t>
            </w:r>
          </w:p>
        </w:tc>
        <w:tc>
          <w:tcPr>
            <w:tcW w:w="5460" w:type="dxa"/>
            <w:vAlign w:val="bottom"/>
          </w:tcPr>
          <w:p>
            <w:pPr>
              <w:jc w:val="right"/>
              <w:ind w:right="5056"/>
              <w:spacing w:after="0"/>
              <w:rPr>
                <w:sz w:val="20"/>
                <w:szCs w:val="20"/>
                <w:color w:val="auto"/>
              </w:rPr>
            </w:pPr>
            <w:r>
              <w:rPr>
                <w:rFonts w:ascii="Arial" w:cs="Arial" w:eastAsia="Arial" w:hAnsi="Arial"/>
                <w:sz w:val="18"/>
                <w:szCs w:val="18"/>
                <w:color w:val="auto"/>
                <w:w w:val="83"/>
              </w:rPr>
              <w:t>20%</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5460" w:type="dxa"/>
            <w:vAlign w:val="bottom"/>
          </w:tcPr>
          <w:p>
            <w:pPr>
              <w:jc w:val="right"/>
              <w:ind w:right="5056"/>
              <w:spacing w:after="0"/>
              <w:rPr>
                <w:sz w:val="20"/>
                <w:szCs w:val="20"/>
                <w:color w:val="auto"/>
              </w:rPr>
            </w:pPr>
            <w:r>
              <w:rPr>
                <w:rFonts w:ascii="Arial" w:cs="Arial" w:eastAsia="Arial" w:hAnsi="Arial"/>
                <w:sz w:val="18"/>
                <w:szCs w:val="18"/>
                <w:color w:val="auto"/>
              </w:rPr>
              <w:t>0%</w:t>
            </w:r>
          </w:p>
        </w:tc>
      </w:tr>
      <w:tr>
        <w:trPr>
          <w:trHeight w:val="365"/>
        </w:trPr>
        <w:tc>
          <w:tcPr>
            <w:tcW w:w="5960" w:type="dxa"/>
            <w:vAlign w:val="bottom"/>
            <w:gridSpan w:val="2"/>
          </w:tcPr>
          <w:p>
            <w:pPr>
              <w:ind w:left="5560"/>
              <w:spacing w:after="0"/>
              <w:rPr>
                <w:sz w:val="20"/>
                <w:szCs w:val="20"/>
                <w:color w:val="auto"/>
              </w:rPr>
            </w:pPr>
            <w:r>
              <w:rPr>
                <w:rFonts w:ascii="Arial" w:cs="Arial" w:eastAsia="Arial" w:hAnsi="Arial"/>
                <w:sz w:val="18"/>
                <w:szCs w:val="18"/>
                <w:color w:val="auto"/>
              </w:rPr>
              <w:t>-20-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ind w:firstLine="443"/>
        <w:spacing w:after="0" w:line="318" w:lineRule="auto"/>
        <w:tabs>
          <w:tab w:leader="none" w:pos="648"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8" w:lineRule="exact"/>
        <w:rPr>
          <w:rFonts w:ascii="Arial" w:cs="Arial" w:eastAsia="Arial" w:hAnsi="Arial"/>
          <w:sz w:val="15"/>
          <w:szCs w:val="15"/>
          <w:color w:val="auto"/>
        </w:rPr>
      </w:pPr>
    </w:p>
    <w:p>
      <w:pPr>
        <w:ind w:right="120" w:firstLine="443"/>
        <w:spacing w:after="0" w:line="335" w:lineRule="auto"/>
        <w:tabs>
          <w:tab w:leader="none" w:pos="687"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Non-Assignability, Etc</w:t>
      </w:r>
      <w:r>
        <w:rPr>
          <w:rFonts w:ascii="Arial" w:cs="Arial" w:eastAsia="Arial" w:hAnsi="Arial"/>
          <w:sz w:val="15"/>
          <w:szCs w:val="15"/>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69" w:lineRule="exact"/>
        <w:rPr>
          <w:rFonts w:ascii="Arial" w:cs="Arial" w:eastAsia="Arial" w:hAnsi="Arial"/>
          <w:sz w:val="15"/>
          <w:szCs w:val="15"/>
          <w:color w:val="auto"/>
        </w:rPr>
      </w:pPr>
    </w:p>
    <w:p>
      <w:pPr>
        <w:ind w:left="180" w:hanging="176"/>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90" w:lineRule="exact"/>
        <w:rPr>
          <w:rFonts w:ascii="Arial" w:cs="Arial" w:eastAsia="Arial" w:hAnsi="Arial"/>
          <w:sz w:val="18"/>
          <w:szCs w:val="18"/>
          <w:color w:val="auto"/>
        </w:rPr>
      </w:pPr>
    </w:p>
    <w:p>
      <w:pPr>
        <w:ind w:right="220" w:firstLine="443"/>
        <w:spacing w:after="0" w:line="255" w:lineRule="auto"/>
        <w:tabs>
          <w:tab w:leader="none" w:pos="67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57" w:name="page58"/>
    <w:bookmarkEnd w:id="57"/>
    <w:p>
      <w:pPr>
        <w:jc w:val="both"/>
        <w:ind w:right="140" w:firstLine="443"/>
        <w:spacing w:after="0" w:line="306" w:lineRule="auto"/>
        <w:tabs>
          <w:tab w:leader="none" w:pos="68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25" w:lineRule="exact"/>
        <w:rPr>
          <w:rFonts w:ascii="Arial" w:cs="Arial" w:eastAsia="Arial" w:hAnsi="Arial"/>
          <w:sz w:val="16"/>
          <w:szCs w:val="16"/>
          <w:color w:val="auto"/>
        </w:rPr>
      </w:pPr>
    </w:p>
    <w:p>
      <w:pPr>
        <w:ind w:left="680" w:hanging="237"/>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w:t>
      </w:r>
    </w:p>
    <w:p>
      <w:pPr>
        <w:spacing w:after="0" w:line="38" w:lineRule="exact"/>
        <w:rPr>
          <w:rFonts w:ascii="Arial" w:cs="Arial" w:eastAsia="Arial" w:hAnsi="Arial"/>
          <w:sz w:val="16"/>
          <w:szCs w:val="16"/>
          <w:color w:val="auto"/>
        </w:rPr>
      </w:pPr>
    </w:p>
    <w:p>
      <w:pPr>
        <w:ind w:left="1460" w:right="100"/>
        <w:spacing w:after="0" w:line="253" w:lineRule="auto"/>
        <w:rPr>
          <w:rFonts w:ascii="Arial" w:cs="Arial" w:eastAsia="Arial" w:hAnsi="Arial"/>
          <w:sz w:val="16"/>
          <w:szCs w:val="16"/>
          <w:color w:val="auto"/>
        </w:rPr>
      </w:pPr>
      <w:r>
        <w:rPr>
          <w:rFonts w:ascii="Arial" w:cs="Arial" w:eastAsia="Arial" w:hAnsi="Arial"/>
          <w:sz w:val="18"/>
          <w:szCs w:val="18"/>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4" w:lineRule="exact"/>
        <w:rPr>
          <w:rFonts w:ascii="Arial" w:cs="Arial" w:eastAsia="Arial" w:hAnsi="Arial"/>
          <w:sz w:val="16"/>
          <w:szCs w:val="16"/>
          <w:color w:val="auto"/>
        </w:rPr>
      </w:pPr>
    </w:p>
    <w:p>
      <w:pPr>
        <w:ind w:left="1460" w:hanging="440"/>
        <w:spacing w:after="0" w:line="286" w:lineRule="auto"/>
        <w:tabs>
          <w:tab w:leader="none" w:pos="14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58" w:name="page59"/>
    <w:bookmarkEnd w:id="58"/>
    <w:p>
      <w:pPr>
        <w:jc w:val="both"/>
        <w:ind w:left="1940" w:right="2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69"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9"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9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99"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90"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59" w:name="page60"/>
    <w:bookmarkEnd w:id="59"/>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1160" w:hanging="239"/>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246" w:lineRule="exact"/>
        <w:rPr>
          <w:sz w:val="20"/>
          <w:szCs w:val="20"/>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REPAYMENT</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99" w:lineRule="exact"/>
        <w:rPr>
          <w:sz w:val="20"/>
          <w:szCs w:val="20"/>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13"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effective date of this amendment and restatement of the Plan is February 28, 2007.</w:t>
      </w:r>
    </w:p>
    <w:p>
      <w:pPr>
        <w:spacing w:after="0" w:line="252"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Executed as of the 22nd day of May,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280" w:right="3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2007-2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RETIREMENT-INVESTMENT PLAN</w:t>
      </w:r>
    </w:p>
    <w:p>
      <w:pPr>
        <w:spacing w:after="0" w:line="16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Pursuant to the power reserved to the Company in Section 12.1 of the Comcast Corporation Retirement-Investment Plan (the “Plan”), the Plan is amended, effective July 1, 2007, as follows:</w:t>
      </w:r>
    </w:p>
    <w:p>
      <w:pPr>
        <w:spacing w:after="0" w:line="51"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definition of “Early Entry Eligible Employee” in Article I of the Plan is revised in its entirety as follows:</w:t>
      </w:r>
    </w:p>
    <w:p>
      <w:pPr>
        <w:spacing w:after="0" w:line="90" w:lineRule="exact"/>
        <w:rPr>
          <w:sz w:val="20"/>
          <w:szCs w:val="20"/>
          <w:color w:val="auto"/>
        </w:rPr>
      </w:pPr>
    </w:p>
    <w:p>
      <w:pPr>
        <w:ind w:left="460" w:right="300" w:firstLine="87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Entry Eligible Employee</w:t>
      </w:r>
      <w:r>
        <w:rPr>
          <w:rFonts w:ascii="Arial" w:cs="Arial" w:eastAsia="Arial" w:hAnsi="Arial"/>
          <w:sz w:val="16"/>
          <w:szCs w:val="16"/>
          <w:color w:val="auto"/>
        </w:rPr>
        <w:t>” means an Eligible Employee who has satisfied the eligibility requirements of Section 2.3.1,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26" w:lineRule="exact"/>
        <w:rPr>
          <w:sz w:val="20"/>
          <w:szCs w:val="20"/>
          <w:color w:val="auto"/>
        </w:rPr>
      </w:pPr>
    </w:p>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2.3.2 of the Plan is hereby amended with the addition of the following to the end thereof:</w:t>
      </w:r>
    </w:p>
    <w:p>
      <w:pPr>
        <w:spacing w:after="0" w:line="90" w:lineRule="exact"/>
        <w:rPr>
          <w:sz w:val="20"/>
          <w:szCs w:val="20"/>
          <w:color w:val="auto"/>
        </w:rPr>
      </w:pPr>
    </w:p>
    <w:p>
      <w:pPr>
        <w:ind w:left="460" w:right="140" w:firstLine="876"/>
        <w:spacing w:after="0" w:line="268" w:lineRule="auto"/>
        <w:rPr>
          <w:sz w:val="20"/>
          <w:szCs w:val="20"/>
          <w:color w:val="auto"/>
        </w:rPr>
      </w:pPr>
      <w:r>
        <w:rPr>
          <w:rFonts w:ascii="Arial" w:cs="Arial" w:eastAsia="Arial" w:hAnsi="Arial"/>
          <w:sz w:val="18"/>
          <w:szCs w:val="18"/>
          <w:color w:val="auto"/>
        </w:rPr>
        <w:t>“Notwithstanding anything herein to the contrary, effective July 1, 2007, a Covered Employee shall become an Eligible Employee on the first of the month next following his completion of a Period of Service of three months.”</w:t>
      </w:r>
    </w:p>
    <w:p>
      <w:pPr>
        <w:spacing w:after="0" w:line="51"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Plan is amended by the addition of a new Section 2.4A as follows:</w:t>
      </w:r>
    </w:p>
    <w:p>
      <w:pPr>
        <w:spacing w:after="0" w:line="90" w:lineRule="exact"/>
        <w:rPr>
          <w:sz w:val="20"/>
          <w:szCs w:val="20"/>
          <w:color w:val="auto"/>
        </w:rPr>
      </w:pPr>
    </w:p>
    <w:p>
      <w:pPr>
        <w:ind w:left="460" w:right="40" w:firstLine="876"/>
        <w:spacing w:after="0" w:line="288" w:lineRule="auto"/>
        <w:rPr>
          <w:sz w:val="20"/>
          <w:szCs w:val="20"/>
          <w:color w:val="auto"/>
        </w:rPr>
      </w:pPr>
      <w:r>
        <w:rPr>
          <w:rFonts w:ascii="Arial" w:cs="Arial" w:eastAsia="Arial" w:hAnsi="Arial"/>
          <w:sz w:val="16"/>
          <w:szCs w:val="16"/>
          <w:color w:val="auto"/>
        </w:rPr>
        <w:t xml:space="preserve">“2.4A.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and become an Active Participant pursuant to Section 2.4 will be automatically enrolled in the Plan on the first of the month next following the Eligible Employee’s completion of three months of service,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Severance from Service Date are not considered Eligible Employees for purposes of the automatic enrollment provisions described in this Section 2.4A”</w:t>
      </w:r>
    </w:p>
    <w:p>
      <w:pPr>
        <w:spacing w:after="0" w:line="255"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2.5.2 of the Plan is revised in its entirety as follows:</w:t>
      </w:r>
    </w:p>
    <w:p>
      <w:pPr>
        <w:spacing w:after="0" w:line="90" w:lineRule="exact"/>
        <w:rPr>
          <w:sz w:val="20"/>
          <w:szCs w:val="20"/>
          <w:color w:val="auto"/>
        </w:rPr>
      </w:pPr>
    </w:p>
    <w:p>
      <w:pPr>
        <w:ind w:left="460" w:right="180" w:firstLine="876"/>
        <w:spacing w:after="0" w:line="332" w:lineRule="auto"/>
        <w:rPr>
          <w:sz w:val="20"/>
          <w:szCs w:val="20"/>
          <w:color w:val="auto"/>
        </w:rPr>
      </w:pPr>
      <w:r>
        <w:rPr>
          <w:rFonts w:ascii="Arial" w:cs="Arial" w:eastAsia="Arial" w:hAnsi="Arial"/>
          <w:sz w:val="16"/>
          <w:szCs w:val="16"/>
          <w:color w:val="auto"/>
        </w:rPr>
        <w:t>“2.5.2. If Salary Reduction Contributions are made on behalf of an Active Participant in any Plan Year, such Active Participant shall share in any Matching Contributions under Section 3.4 beginning on the Entry Date next following completion of a Period of Service of three months.”</w:t>
      </w:r>
    </w:p>
    <w:p>
      <w:pPr>
        <w:sectPr>
          <w:pgSz w:w="11900" w:h="16838" w:orient="portrait"/>
          <w:cols w:equalWidth="0" w:num="1">
            <w:col w:w="11420"/>
          </w:cols>
          <w:pgMar w:left="240" w:top="125" w:right="239" w:bottom="1440" w:gutter="0" w:footer="0" w:header="0"/>
        </w:sectPr>
      </w:pPr>
    </w:p>
    <w:bookmarkStart w:id="62" w:name="page63"/>
    <w:bookmarkEnd w:id="62"/>
    <w:p>
      <w:pPr>
        <w:ind w:left="1020" w:hanging="567"/>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3.1.1 of the Plan is revised in its entirety as follows:</w:t>
      </w:r>
    </w:p>
    <w:p>
      <w:pPr>
        <w:spacing w:after="0" w:line="90" w:lineRule="exact"/>
        <w:rPr>
          <w:sz w:val="20"/>
          <w:szCs w:val="20"/>
          <w:color w:val="auto"/>
        </w:rPr>
      </w:pPr>
    </w:p>
    <w:p>
      <w:pPr>
        <w:ind w:firstLine="876"/>
        <w:spacing w:after="0" w:line="290" w:lineRule="auto"/>
        <w:rPr>
          <w:sz w:val="20"/>
          <w:szCs w:val="20"/>
          <w:color w:val="auto"/>
        </w:rPr>
      </w:pPr>
      <w:r>
        <w:rPr>
          <w:rFonts w:ascii="Arial" w:cs="Arial" w:eastAsia="Arial" w:hAnsi="Arial"/>
          <w:sz w:val="16"/>
          <w:szCs w:val="16"/>
          <w:color w:val="auto"/>
        </w:rPr>
        <w:t>“3.1.1. When an Eligible Employee files an election under Section 2.4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whole percentage. An automatically enrolled Eligible Employee’s Pre-Tax Contributions will be equal to two percent (2%) of the Eligible Employee’s Compensation unless such percentage is changed by the Eligible Employee in accordance with Section 3.3 and subject to Section 3.8.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37" w:lineRule="exact"/>
        <w:rPr>
          <w:sz w:val="20"/>
          <w:szCs w:val="20"/>
          <w:color w:val="auto"/>
        </w:rPr>
      </w:pPr>
    </w:p>
    <w:p>
      <w:pPr>
        <w:ind w:left="1020" w:hanging="567"/>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3.3 of the Plan is revised in its entirety as follows:</w:t>
      </w:r>
    </w:p>
    <w:p>
      <w:pPr>
        <w:spacing w:after="0" w:line="90" w:lineRule="exact"/>
        <w:rPr>
          <w:sz w:val="20"/>
          <w:szCs w:val="20"/>
          <w:color w:val="auto"/>
        </w:rPr>
      </w:pPr>
    </w:p>
    <w:p>
      <w:pPr>
        <w:ind w:right="400" w:firstLine="876"/>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and/or 3.2, as applicable, to any percentage permitted by Sections 3.1.1 or 3.2, and such percentage shall remain in effect until so changed. Any such change shall become effective as soon as administratively practicable following receipt of the change by the Committee.”</w:t>
      </w:r>
    </w:p>
    <w:p>
      <w:pPr>
        <w:spacing w:after="0" w:line="62" w:lineRule="exact"/>
        <w:rPr>
          <w:sz w:val="20"/>
          <w:szCs w:val="20"/>
          <w:color w:val="auto"/>
        </w:rPr>
      </w:pPr>
    </w:p>
    <w:p>
      <w:pPr>
        <w:ind w:left="1020" w:hanging="567"/>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11.5.2 of the Plan is revised in its entirety as follows:</w:t>
      </w:r>
    </w:p>
    <w:p>
      <w:pPr>
        <w:spacing w:after="0" w:line="90" w:lineRule="exact"/>
        <w:rPr>
          <w:sz w:val="20"/>
          <w:szCs w:val="20"/>
          <w:color w:val="auto"/>
        </w:rPr>
      </w:pPr>
    </w:p>
    <w:p>
      <w:pPr>
        <w:ind w:firstLine="876"/>
        <w:spacing w:after="0" w:line="253" w:lineRule="auto"/>
        <w:rPr>
          <w:sz w:val="20"/>
          <w:szCs w:val="20"/>
          <w:color w:val="auto"/>
        </w:rPr>
      </w:pPr>
      <w:r>
        <w:rPr>
          <w:rFonts w:ascii="Arial" w:cs="Arial" w:eastAsia="Arial" w:hAnsi="Arial"/>
          <w:sz w:val="18"/>
          <w:szCs w:val="18"/>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ectPr>
          <w:pgSz w:w="11900" w:h="16838" w:orient="portrait"/>
          <w:cols w:equalWidth="0" w:num="1">
            <w:col w:w="10940"/>
          </w:cols>
          <w:pgMar w:left="700" w:top="280"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22nd day of May, 2007.</w:t>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566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23412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5" w:lineRule="exact"/>
        <w:rPr>
          <w:sz w:val="20"/>
          <w:szCs w:val="20"/>
          <w:color w:val="auto"/>
        </w:rPr>
      </w:pPr>
    </w:p>
    <w:p>
      <w:pPr>
        <w:jc w:val="both"/>
        <w:ind w:left="5660"/>
        <w:spacing w:after="0"/>
        <w:tabs>
          <w:tab w:leader="none" w:pos="6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10795</wp:posOffset>
            </wp:positionV>
            <wp:extent cx="23412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428" w:right="239" w:bottom="1440" w:gutter="0" w:footer="0" w:header="0"/>
        </w:sectPr>
      </w:pPr>
    </w:p>
    <w:bookmarkStart w:id="66" w:name="page67"/>
    <w:bookmarkEnd w:id="6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14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42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2007</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Chief Executive Officer, Michael J. Angelakis, the Co-Chief Financial Officer and John R. Alchin, the Co-Chief Financial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each certifies that, to the best of his knowledge:</w:t>
      </w:r>
    </w:p>
    <w:p>
      <w:pPr>
        <w:spacing w:after="0" w:line="7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48"/>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lowerLetter"/>
      <w:start w:val="1"/>
    </w:lvl>
  </w:abstractNum>
  <w:abstractNum w:abstractNumId="5">
    <w:nsid w:val="2D517796"/>
    <w:multiLevelType w:val="hybridMultilevel"/>
    <w:lvl w:ilvl="0">
      <w:lvlJc w:val="left"/>
      <w:lvlText w:val="(%1)"/>
      <w:numFmt w:val="lowerLetter"/>
      <w:start w:val="2"/>
    </w:lvl>
    <w:lvl w:ilvl="1">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lowerLetter"/>
      <w:start w:val="1"/>
    </w:lvl>
  </w:abstractNum>
  <w:abstractNum w:abstractNumId="8">
    <w:nsid w:val="3855585C"/>
    <w:multiLevelType w:val="hybridMultilevel"/>
    <w:lvl w:ilvl="0">
      <w:lvlJc w:val="left"/>
      <w:lvlText w:val="%1"/>
      <w:numFmt w:val="decimal"/>
      <w:start w:val="31"/>
    </w:lvl>
  </w:abstractNum>
  <w:abstractNum w:abstractNumId="9">
    <w:nsid w:val="70A64E2A"/>
    <w:multiLevelType w:val="hybridMultilevel"/>
    <w:lvl w:ilvl="0">
      <w:lvlJc w:val="left"/>
      <w:lvlText w:val="%1."/>
      <w:numFmt w:val="decimal"/>
      <w:start w:val="1"/>
    </w:lvl>
    <w:lvl w:ilvl="1">
      <w:lvlJc w:val="left"/>
      <w:lvlText w:val="(%2)"/>
      <w:numFmt w:val="lowerLetter"/>
      <w:start w:val="1"/>
    </w:lvl>
  </w:abstractNum>
  <w:abstractNum w:abstractNumId="10">
    <w:nsid w:val="6A2342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2A487CB0"/>
    <w:multiLevelType w:val="hybridMultilevel"/>
    <w:lvl w:ilvl="0">
      <w:lvlJc w:val="left"/>
      <w:lvlText w:val="%1"/>
      <w:numFmt w:val="lowerLetter"/>
      <w:start w:val="1"/>
    </w:lvl>
    <w:lvl w:ilvl="1">
      <w:lvlJc w:val="left"/>
      <w:lvlText w:val="(%2)"/>
      <w:numFmt w:val="lowerLetter"/>
      <w:start w:val="35"/>
    </w:lvl>
  </w:abstractNum>
  <w:abstractNum w:abstractNumId="12">
    <w:nsid w:val="1D4ED43B"/>
    <w:multiLevelType w:val="hybridMultilevel"/>
    <w:lvl w:ilvl="0">
      <w:lvlJc w:val="left"/>
      <w:lvlText w:val="(%1)"/>
      <w:numFmt w:val="lowerLetter"/>
      <w:start w:val="8"/>
    </w:lvl>
    <w:lvl w:ilvl="1">
      <w:lvlJc w:val="left"/>
      <w:lvlText w:val="(%2)"/>
      <w:numFmt w:val="lowerLetter"/>
      <w:start w:val="9"/>
    </w:lvl>
  </w:abstractNum>
  <w:abstractNum w:abstractNumId="13">
    <w:nsid w:val="725A06FB"/>
    <w:multiLevelType w:val="hybridMultilevel"/>
    <w:lvl w:ilvl="0">
      <w:lvlJc w:val="left"/>
      <w:lvlText w:val="(%1)"/>
      <w:numFmt w:val="lowerRoman"/>
      <w:start w:val="2"/>
    </w:lvl>
    <w:lvl w:ilvl="1">
      <w:lvlJc w:val="left"/>
      <w:lvlText w:val="(%2)"/>
      <w:numFmt w:val="decimal"/>
      <w:start w:val="1"/>
    </w:lvl>
  </w:abstractNum>
  <w:abstractNum w:abstractNumId="14">
    <w:nsid w:val="2CD89A32"/>
    <w:multiLevelType w:val="hybridMultilevel"/>
    <w:lvl w:ilvl="0">
      <w:lvlJc w:val="left"/>
      <w:lvlText w:val="(%1)"/>
      <w:numFmt w:val="lowerLetter"/>
      <w:start w:val="12"/>
    </w:lvl>
    <w:lvl w:ilvl="1">
      <w:lvlJc w:val="left"/>
      <w:lvlText w:val="(%2)"/>
      <w:numFmt w:val="lowerRoman"/>
      <w:start w:val="1"/>
    </w:lvl>
  </w:abstractNum>
  <w:abstractNum w:abstractNumId="15">
    <w:nsid w:val="57E4CCAF"/>
    <w:multiLevelType w:val="hybridMultilevel"/>
    <w:lvl w:ilvl="0">
      <w:lvlJc w:val="left"/>
      <w:lvlText w:val="%1"/>
      <w:numFmt w:val="lowerLetter"/>
      <w:start w:val="1"/>
    </w:lvl>
    <w:lvl w:ilvl="1">
      <w:lvlJc w:val="left"/>
      <w:lvlText w:val="(%2)"/>
      <w:numFmt w:val="lowerRoman"/>
      <w:start w:val="2"/>
    </w:lvl>
  </w:abstractNum>
  <w:abstractNum w:abstractNumId="16">
    <w:nsid w:val="7A6D8D3C"/>
    <w:multiLevelType w:val="hybridMultilevel"/>
    <w:lvl w:ilvl="0">
      <w:lvlJc w:val="left"/>
      <w:lvlText w:val="(%1)"/>
      <w:numFmt w:val="lowerLetter"/>
      <w:start w:val="21"/>
    </w:lvl>
    <w:lvl w:ilvl="1">
      <w:lvlJc w:val="left"/>
      <w:lvlText w:val="(%2)"/>
      <w:numFmt w:val="lowerRoman"/>
      <w:start w:val="1"/>
    </w:lvl>
  </w:abstractNum>
  <w:abstractNum w:abstractNumId="17">
    <w:nsid w:val="4B588F54"/>
    <w:multiLevelType w:val="hybridMultilevel"/>
    <w:lvl w:ilvl="0">
      <w:lvlJc w:val="left"/>
      <w:lvlText w:val="(%1)"/>
      <w:numFmt w:val="lowerLetter"/>
      <w:start w:val="27"/>
    </w:lvl>
    <w:lvl w:ilvl="1">
      <w:lvlJc w:val="left"/>
      <w:lvlText w:val="(%2)"/>
      <w:numFmt w:val="lowerRoman"/>
      <w:start w:val="1"/>
    </w:lvl>
  </w:abstractNum>
  <w:abstractNum w:abstractNumId="18">
    <w:nsid w:val="542289EC"/>
    <w:multiLevelType w:val="hybridMultilevel"/>
    <w:lvl w:ilvl="0">
      <w:lvlJc w:val="left"/>
      <w:lvlText w:val="(%1)"/>
      <w:numFmt w:val="lowerLetter"/>
      <w:start w:val="3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9">
    <w:nsid w:val="6DE91B18"/>
    <w:multiLevelType w:val="hybridMultilevel"/>
    <w:lvl w:ilvl="0">
      <w:lvlJc w:val="left"/>
      <w:lvlText w:val="(%1)"/>
      <w:numFmt w:val="upperLetter"/>
      <w:start w:val="2"/>
    </w:lvl>
  </w:abstractNum>
  <w:abstractNum w:abstractNumId="20">
    <w:nsid w:val="38437FDB"/>
    <w:multiLevelType w:val="hybridMultilevel"/>
    <w:lvl w:ilvl="0">
      <w:lvlJc w:val="left"/>
      <w:lvlText w:val="(%1)"/>
      <w:numFmt w:val="lowerLetter"/>
      <w:start w:val="37"/>
    </w:lvl>
  </w:abstractNum>
  <w:abstractNum w:abstractNumId="21">
    <w:nsid w:val="7644A45C"/>
    <w:multiLevelType w:val="hybridMultilevel"/>
    <w:lvl w:ilvl="0">
      <w:lvlJc w:val="left"/>
      <w:lvlText w:val="(%1)"/>
      <w:numFmt w:val="lowerLetter"/>
      <w:start w:val="42"/>
    </w:lvl>
    <w:lvl w:ilvl="1">
      <w:lvlJc w:val="left"/>
      <w:lvlText w:val="(%2)"/>
      <w:numFmt w:val="lowerRoman"/>
      <w:start w:val="1"/>
    </w:lvl>
  </w:abstractNum>
  <w:abstractNum w:abstractNumId="22">
    <w:nsid w:val="32FFF902"/>
    <w:multiLevelType w:val="hybridMultilevel"/>
    <w:lvl w:ilvl="0">
      <w:lvlJc w:val="left"/>
      <w:lvlText w:val="(%1)"/>
      <w:numFmt w:val="lowerLetter"/>
      <w:start w:val="52"/>
    </w:lvl>
  </w:abstractNum>
  <w:abstractNum w:abstractNumId="23">
    <w:nsid w:val="684A481A"/>
    <w:multiLevelType w:val="hybridMultilevel"/>
    <w:lvl w:ilvl="0">
      <w:lvlJc w:val="left"/>
      <w:lvlText w:val="(%1)"/>
      <w:numFmt w:val="lowerLetter"/>
      <w:start w:val="53"/>
    </w:lvl>
    <w:lvl w:ilvl="1">
      <w:lvlJc w:val="left"/>
      <w:lvlText w:val="(%2)"/>
      <w:numFmt w:val="lowerRoman"/>
      <w:start w:val="1"/>
    </w:lvl>
  </w:abstractNum>
  <w:abstractNum w:abstractNumId="24">
    <w:nsid w:val="579478FE"/>
    <w:multiLevelType w:val="hybridMultilevel"/>
    <w:lvl w:ilvl="0">
      <w:lvlJc w:val="left"/>
      <w:lvlText w:val="%1."/>
      <w:numFmt w:val="decimal"/>
      <w:start w:val="3"/>
    </w:lvl>
  </w:abstractNum>
  <w:abstractNum w:abstractNumId="25">
    <w:nsid w:val="749ABB43"/>
    <w:multiLevelType w:val="hybridMultilevel"/>
    <w:lvl w:ilvl="0">
      <w:lvlJc w:val="left"/>
      <w:lvlText w:val="%1"/>
      <w:numFmt w:val="decimal"/>
      <w:start w:val="1"/>
    </w:lvl>
    <w:lvl w:ilvl="1">
      <w:lvlJc w:val="left"/>
      <w:lvlText w:val="(%2)"/>
      <w:numFmt w:val="lowerLetter"/>
      <w:start w:val="1"/>
    </w:lvl>
  </w:abstractNum>
  <w:abstractNum w:abstractNumId="26">
    <w:nsid w:val="3DC240FB"/>
    <w:multiLevelType w:val="hybridMultilevel"/>
    <w:lvl w:ilvl="0">
      <w:lvlJc w:val="left"/>
      <w:lvlText w:val="%1."/>
      <w:numFmt w:val="decimal"/>
      <w:start w:val="4"/>
    </w:lvl>
    <w:lvl w:ilvl="1">
      <w:lvlJc w:val="left"/>
      <w:lvlText w:val="(%2)"/>
      <w:numFmt w:val="lowerLetter"/>
      <w:start w:val="1"/>
    </w:lvl>
  </w:abstractNum>
  <w:abstractNum w:abstractNumId="27">
    <w:nsid w:val="1BA026F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79A1DE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75C6C33A"/>
    <w:multiLevelType w:val="hybridMultilevel"/>
    <w:lvl w:ilvl="0">
      <w:lvlJc w:val="left"/>
      <w:lvlText w:val="(%1)"/>
      <w:numFmt w:val="lowerLetter"/>
      <w:start w:val="3"/>
    </w:lvl>
  </w:abstractNum>
  <w:abstractNum w:abstractNumId="30">
    <w:nsid w:val="12E685FB"/>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24"/>
    </w:lvl>
  </w:abstractNum>
  <w:abstractNum w:abstractNumId="31">
    <w:nsid w:val="70C6A529"/>
    <w:multiLevelType w:val="hybridMultilevel"/>
    <w:lvl w:ilvl="0">
      <w:lvlJc w:val="left"/>
      <w:lvlText w:val="%1"/>
      <w:numFmt w:val="lowerLetter"/>
      <w:start w:val="1"/>
    </w:lvl>
    <w:lvl w:ilvl="1">
      <w:lvlJc w:val="left"/>
      <w:lvlText w:val="(%2)"/>
      <w:numFmt w:val="lowerRoman"/>
      <w:start w:val="2"/>
    </w:lvl>
  </w:abstractNum>
  <w:abstractNum w:abstractNumId="32">
    <w:nsid w:val="520EEDD1"/>
    <w:multiLevelType w:val="hybridMultilevel"/>
    <w:lvl w:ilvl="0">
      <w:lvlJc w:val="left"/>
      <w:lvlText w:val="(%1)"/>
      <w:numFmt w:val="lowerLetter"/>
      <w:start w:val="7"/>
    </w:lvl>
    <w:lvl w:ilvl="1">
      <w:lvlJc w:val="left"/>
      <w:lvlText w:val="(%2)"/>
      <w:numFmt w:val="lowerRoman"/>
      <w:start w:val="1"/>
    </w:lvl>
  </w:abstractNum>
  <w:abstractNum w:abstractNumId="33">
    <w:nsid w:val="374A3FE6"/>
    <w:multiLevelType w:val="hybridMultilevel"/>
    <w:lvl w:ilvl="0">
      <w:lvlJc w:val="left"/>
      <w:lvlText w:val="%1"/>
      <w:numFmt w:val="decimal"/>
      <w:start w:val="1"/>
    </w:lvl>
    <w:lvl w:ilvl="1">
      <w:lvlJc w:val="left"/>
      <w:lvlText w:val="(%2)"/>
      <w:numFmt w:val="lowerRoman"/>
      <w:start w:val="3"/>
    </w:lvl>
  </w:abstractNum>
  <w:abstractNum w:abstractNumId="34">
    <w:nsid w:val="4F4EF005"/>
    <w:multiLevelType w:val="hybridMultilevel"/>
    <w:lvl w:ilvl="0">
      <w:lvlJc w:val="left"/>
      <w:lvlText w:val="%1."/>
      <w:numFmt w:val="decimal"/>
      <w:start w:val="6"/>
    </w:lvl>
    <w:lvl w:ilvl="1">
      <w:lvlJc w:val="left"/>
      <w:lvlText w:val="%2"/>
      <w:numFmt w:val="lowerRoman"/>
      <w:start w:val="1"/>
    </w:lvl>
  </w:abstractNum>
  <w:abstractNum w:abstractNumId="35">
    <w:nsid w:val="23F9C13C"/>
    <w:multiLevelType w:val="hybridMultilevel"/>
    <w:lvl w:ilvl="0">
      <w:lvlJc w:val="left"/>
      <w:lvlText w:val="%1."/>
      <w:numFmt w:val="decimal"/>
      <w:start w:val="7"/>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lvl w:ilvl="1">
      <w:lvlJc w:val="left"/>
      <w:lvlText w:val="(%2)"/>
      <w:numFmt w:val="lowerLetter"/>
      <w:start w:val="6"/>
    </w:lvl>
  </w:abstractNum>
  <w:abstractNum w:abstractNumId="38">
    <w:nsid w:val="39386575"/>
    <w:multiLevelType w:val="hybridMultilevel"/>
    <w:lvl w:ilvl="0">
      <w:lvlJc w:val="left"/>
      <w:lvlText w:val="(%1)"/>
      <w:numFmt w:val="lowerLetter"/>
      <w:start w:val="9"/>
    </w:lvl>
    <w:lvl w:ilvl="1">
      <w:lvlJc w:val="left"/>
      <w:lvlText w:val="%2"/>
      <w:numFmt w:val="lowerLetter"/>
      <w:start w:val="1"/>
    </w:lvl>
  </w:abstractNum>
  <w:abstractNum w:abstractNumId="39">
    <w:nsid w:val="1CF10FD8"/>
    <w:multiLevelType w:val="hybridMultilevel"/>
    <w:lvl w:ilvl="0">
      <w:lvlJc w:val="left"/>
      <w:lvlText w:val="%1."/>
      <w:numFmt w:val="decimal"/>
      <w:start w:val="8"/>
    </w:lvl>
  </w:abstractNum>
  <w:abstractNum w:abstractNumId="40">
    <w:nsid w:val="180115BE"/>
    <w:multiLevelType w:val="hybridMultilevel"/>
    <w:lvl w:ilvl="0">
      <w:lvlJc w:val="left"/>
      <w:lvlText w:val="(%1)"/>
      <w:numFmt w:val="lowerLetter"/>
      <w:start w:val="1"/>
    </w:lvl>
    <w:lvl w:ilvl="1">
      <w:lvlJc w:val="left"/>
      <w:lvlText w:val="(%2)"/>
      <w:numFmt w:val="lowerRoman"/>
      <w:start w:val="1"/>
    </w:lvl>
  </w:abstractNum>
  <w:abstractNum w:abstractNumId="41">
    <w:nsid w:val="235BA861"/>
    <w:multiLevelType w:val="hybridMultilevel"/>
    <w:lvl w:ilvl="0">
      <w:lvlJc w:val="left"/>
      <w:lvlText w:val="(%1)"/>
      <w:numFmt w:val="lowerRoman"/>
      <w:start w:val="2"/>
    </w:lvl>
  </w:abstractNum>
  <w:abstractNum w:abstractNumId="42">
    <w:nsid w:val="47398C89"/>
    <w:multiLevelType w:val="hybridMultilevel"/>
    <w:lvl w:ilvl="0">
      <w:lvlJc w:val="left"/>
      <w:lvlText w:val="(%1)"/>
      <w:numFmt w:val="lowerLetter"/>
      <w:start w:val="2"/>
    </w:lvl>
    <w:lvl w:ilvl="1">
      <w:lvlJc w:val="left"/>
      <w:lvlText w:val="(%2)"/>
      <w:numFmt w:val="lowerRoman"/>
      <w:start w:val="1"/>
    </w:lvl>
  </w:abstractNum>
  <w:abstractNum w:abstractNumId="43">
    <w:nsid w:val="354FE9F9"/>
    <w:multiLevelType w:val="hybridMultilevel"/>
    <w:lvl w:ilvl="0">
      <w:lvlJc w:val="left"/>
      <w:lvlText w:val="(%1)"/>
      <w:numFmt w:val="lowerRoman"/>
      <w:start w:val="3"/>
    </w:lvl>
    <w:lvl w:ilvl="1">
      <w:lvlJc w:val="left"/>
      <w:lvlText w:val="(%2)"/>
      <w:numFmt w:val="decimal"/>
      <w:start w:val="1"/>
    </w:lvl>
  </w:abstractNum>
  <w:abstractNum w:abstractNumId="44">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5">
    <w:nsid w:val="741226BB"/>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46">
    <w:nsid w:val="D34B6A8"/>
    <w:multiLevelType w:val="hybridMultilevel"/>
    <w:lvl w:ilvl="0">
      <w:lvlJc w:val="left"/>
      <w:lvlText w:val="%1"/>
      <w:numFmt w:val="lowerLetter"/>
      <w:start w:val="1"/>
    </w:lvl>
    <w:lvl w:ilvl="1">
      <w:lvlJc w:val="left"/>
      <w:lvlText w:val="(%2)"/>
      <w:numFmt w:val="lowerLetter"/>
      <w:start w:val="61"/>
    </w:lvl>
  </w:abstractNum>
  <w:abstractNum w:abstractNumId="47">
    <w:nsid w:val="10233C99"/>
    <w:multiLevelType w:val="hybridMultilevel"/>
    <w:lvl w:ilvl="0">
      <w:lvlJc w:val="left"/>
      <w:lvlText w:val="(%1)"/>
      <w:numFmt w:val="lowerLetter"/>
      <w:start w:val="7"/>
    </w:lvl>
    <w:lvl w:ilvl="1">
      <w:lvlJc w:val="left"/>
      <w:lvlText w:val="(%2)"/>
      <w:numFmt w:val="lowerLetter"/>
      <w:start w:val="9"/>
    </w:lvl>
  </w:abstractNum>
  <w:abstractNum w:abstractNumId="48">
    <w:nsid w:val="3F6AB60F"/>
    <w:multiLevelType w:val="hybridMultilevel"/>
    <w:lvl w:ilvl="0">
      <w:lvlJc w:val="left"/>
      <w:lvlText w:val="(%1)"/>
      <w:numFmt w:val="lowerRoman"/>
      <w:start w:val="2"/>
    </w:lvl>
  </w:abstractNum>
  <w:abstractNum w:abstractNumId="49">
    <w:nsid w:val="61574095"/>
    <w:multiLevelType w:val="hybridMultilevel"/>
    <w:lvl w:ilvl="0">
      <w:lvlJc w:val="left"/>
      <w:lvlText w:val="%1"/>
      <w:numFmt w:val="lowerRoman"/>
      <w:start w:val="1"/>
    </w:lvl>
    <w:lvl w:ilvl="1">
      <w:lvlJc w:val="left"/>
      <w:lvlText w:val="(%2)"/>
      <w:numFmt w:val="lowerRoman"/>
      <w:start w:val="4"/>
    </w:lvl>
  </w:abstractNum>
  <w:abstractNum w:abstractNumId="50">
    <w:nsid w:val="7E0C57B1"/>
    <w:multiLevelType w:val="hybridMultilevel"/>
    <w:lvl w:ilvl="0">
      <w:lvlJc w:val="left"/>
      <w:lvlText w:val="(%1)"/>
      <w:numFmt w:val="lowerRoman"/>
      <w:start w:val="1"/>
    </w:lvl>
    <w:lvl w:ilvl="1">
      <w:lvlJc w:val="left"/>
      <w:lvlText w:val="%2"/>
      <w:numFmt w:val="lowerRoman"/>
      <w:start w:val="1"/>
    </w:lvl>
  </w:abstractNum>
  <w:abstractNum w:abstractNumId="51">
    <w:nsid w:val="77AE35EB"/>
    <w:multiLevelType w:val="hybridMultilevel"/>
    <w:lvl w:ilvl="0">
      <w:lvlJc w:val="left"/>
      <w:lvlText w:val="%1"/>
      <w:numFmt w:val="decimal"/>
      <w:start w:val="1"/>
    </w:lvl>
    <w:lvl w:ilvl="1">
      <w:lvlJc w:val="left"/>
      <w:lvlText w:val="(%2)"/>
      <w:numFmt w:val="lowerLetter"/>
      <w:start w:val="10"/>
    </w:lvl>
  </w:abstractNum>
  <w:abstractNum w:abstractNumId="52">
    <w:nsid w:val="579BE4F1"/>
    <w:multiLevelType w:val="hybridMultilevel"/>
    <w:lvl w:ilvl="0">
      <w:lvlJc w:val="left"/>
      <w:lvlText w:val="%1."/>
      <w:numFmt w:val="decimal"/>
      <w:start w:val="9"/>
    </w:lvl>
    <w:lvl w:ilvl="1">
      <w:lvlJc w:val="left"/>
      <w:lvlText w:val="(%2)"/>
      <w:numFmt w:val="lowerLetter"/>
      <w:start w:val="1"/>
    </w:lvl>
  </w:abstractNum>
  <w:abstractNum w:abstractNumId="53">
    <w:nsid w:val="310C50B3"/>
    <w:multiLevelType w:val="hybridMultilevel"/>
    <w:lvl w:ilvl="0">
      <w:lvlJc w:val="left"/>
      <w:lvlText w:val="(%1)"/>
      <w:numFmt w:val="lowerLetter"/>
      <w:start w:val="2"/>
    </w:lvl>
    <w:lvl w:ilvl="1">
      <w:lvlJc w:val="left"/>
      <w:lvlText w:val="(%2)"/>
      <w:numFmt w:val="lowerRoman"/>
      <w:start w:val="1"/>
    </w:lvl>
  </w:abstractNum>
  <w:abstractNum w:abstractNumId="54">
    <w:nsid w:val="5FF87E05"/>
    <w:multiLevelType w:val="hybridMultilevel"/>
    <w:lvl w:ilvl="0">
      <w:lvlJc w:val="left"/>
      <w:lvlText w:val="%1."/>
      <w:numFmt w:val="decimal"/>
      <w:start w:val="10"/>
    </w:lvl>
  </w:abstractNum>
  <w:abstractNum w:abstractNumId="55">
    <w:nsid w:val="2F305DEF"/>
    <w:multiLevelType w:val="hybridMultilevel"/>
    <w:lvl w:ilvl="0">
      <w:lvlJc w:val="left"/>
      <w:lvlText w:val="%1."/>
      <w:numFmt w:val="decimal"/>
      <w:start w:val="11"/>
    </w:lvl>
  </w:abstractNum>
  <w:abstractNum w:abstractNumId="56">
    <w:nsid w:val="25A70BF7"/>
    <w:multiLevelType w:val="hybridMultilevel"/>
    <w:lvl w:ilvl="0">
      <w:lvlJc w:val="left"/>
      <w:lvlText w:val="%1."/>
      <w:numFmt w:val="decimal"/>
      <w:start w:val="12"/>
    </w:lvl>
  </w:abstractNum>
  <w:abstractNum w:abstractNumId="57">
    <w:nsid w:val="1DBABF00"/>
    <w:multiLevelType w:val="hybridMultilevel"/>
    <w:lvl w:ilvl="0">
      <w:lvlJc w:val="left"/>
      <w:lvlText w:val="%1"/>
      <w:numFmt w:val="lowerLetter"/>
      <w:start w:val="1"/>
    </w:lvl>
    <w:lvl w:ilvl="1">
      <w:lvlJc w:val="left"/>
      <w:lvlText w:val="(%2)"/>
      <w:numFmt w:val="lowerLetter"/>
      <w:start w:val="1"/>
    </w:lvl>
  </w:abstractNum>
  <w:abstractNum w:abstractNumId="58">
    <w:nsid w:val="4AD084E9"/>
    <w:multiLevelType w:val="hybridMultilevel"/>
    <w:lvl w:ilvl="0">
      <w:lvlJc w:val="left"/>
      <w:lvlText w:val="(%1)"/>
      <w:numFmt w:val="lowerLetter"/>
      <w:start w:val="3"/>
    </w:lvl>
    <w:lvl w:ilvl="1">
      <w:lvlJc w:val="left"/>
      <w:lvlText w:val="(%2)"/>
      <w:numFmt w:val="lowerLetter"/>
      <w:start w:val="4"/>
    </w:lvl>
  </w:abstractNum>
  <w:abstractNum w:abstractNumId="59">
    <w:nsid w:val="1F48EAA1"/>
    <w:multiLevelType w:val="hybridMultilevel"/>
    <w:lvl w:ilvl="0">
      <w:lvlJc w:val="left"/>
      <w:lvlText w:val="%1."/>
      <w:numFmt w:val="decimal"/>
      <w:start w:val="13"/>
    </w:lvl>
  </w:abstractNum>
  <w:abstractNum w:abstractNumId="60">
    <w:nsid w:val="1381823A"/>
    <w:multiLevelType w:val="hybridMultilevel"/>
    <w:lvl w:ilvl="0">
      <w:lvlJc w:val="left"/>
      <w:lvlText w:val="%1."/>
      <w:numFmt w:val="decimal"/>
      <w:start w:val="14"/>
    </w:lvl>
  </w:abstractNum>
  <w:abstractNum w:abstractNumId="61">
    <w:nsid w:val="5DB70AE5"/>
    <w:multiLevelType w:val="hybridMultilevel"/>
    <w:lvl w:ilvl="0">
      <w:lvlJc w:val="left"/>
      <w:lvlText w:val="%1."/>
      <w:numFmt w:val="decimal"/>
      <w:start w:val="15"/>
    </w:lvl>
  </w:abstractNum>
  <w:abstractNum w:abstractNumId="62">
    <w:nsid w:val="100F8FCA"/>
    <w:multiLevelType w:val="hybridMultilevel"/>
    <w:lvl w:ilvl="0">
      <w:lvlJc w:val="left"/>
      <w:lvlText w:val="%1."/>
      <w:numFmt w:val="decimal"/>
      <w:start w:val="16"/>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2"/>
    </w:lvl>
  </w:abstractNum>
  <w:abstractNum w:abstractNumId="65">
    <w:nsid w:val="5F5E7FD0"/>
    <w:multiLevelType w:val="hybridMultilevel"/>
    <w:lvl w:ilvl="0">
      <w:lvlJc w:val="left"/>
      <w:lvlText w:val="%1."/>
      <w:numFmt w:val="decimal"/>
      <w:start w:val="3"/>
    </w:lvl>
  </w:abstractNum>
  <w:abstractNum w:abstractNumId="66">
    <w:nsid w:val="98A3148"/>
    <w:multiLevelType w:val="hybridMultilevel"/>
    <w:lvl w:ilvl="0">
      <w:lvlJc w:val="left"/>
      <w:lvlText w:val="%1."/>
      <w:numFmt w:val="decimal"/>
      <w:start w:val="4"/>
    </w:lvl>
  </w:abstractNum>
  <w:abstractNum w:abstractNumId="67">
    <w:nsid w:val="799D0247"/>
    <w:multiLevelType w:val="hybridMultilevel"/>
    <w:lvl w:ilvl="0">
      <w:lvlJc w:val="left"/>
      <w:lvlText w:val="%1."/>
      <w:numFmt w:val="decimal"/>
      <w:start w:val="5"/>
    </w:lvl>
  </w:abstractNum>
  <w:abstractNum w:abstractNumId="68">
    <w:nsid w:val="6B94764"/>
    <w:multiLevelType w:val="hybridMultilevel"/>
    <w:lvl w:ilvl="0">
      <w:lvlJc w:val="left"/>
      <w:lvlText w:val="%1."/>
      <w:numFmt w:val="decimal"/>
      <w:start w:val="6"/>
    </w:lvl>
  </w:abstractNum>
  <w:abstractNum w:abstractNumId="69">
    <w:nsid w:val="42C296BD"/>
    <w:multiLevelType w:val="hybridMultilevel"/>
    <w:lvl w:ilvl="0">
      <w:lvlJc w:val="left"/>
      <w:lvlText w:val="%1."/>
      <w:numFmt w:val="decimal"/>
      <w:start w:val="7"/>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2019-12-15T07:02:01Z</dcterms:created>
  <dcterms:modified xsi:type="dcterms:W3CDTF">2019-12-15T07:02:01Z</dcterms:modified>
</cp:coreProperties>
</file>