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333-179678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January 8, 2013</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$750,000,000 2.850% NOTES DUE 2023</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$1,700,000,000 4.250% NOTES DUE 2033</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$500,000,000 4.500% NOTES DUE 2043</w:t>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2380" w:space="720"/>
            <w:col w:w="8320"/>
          </w:cols>
          <w:pgMar w:left="240" w:top="23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Cable Guarantors:</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Comcast Cable Communications, LLC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Group,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200" w:lineRule="exact"/>
        <w:rPr>
          <w:sz w:val="24"/>
          <w:szCs w:val="24"/>
          <w:color w:val="auto"/>
        </w:rPr>
      </w:pPr>
    </w:p>
    <w:p>
      <w:pPr>
        <w:sectPr>
          <w:pgSz w:w="11900" w:h="16838" w:orient="portrait"/>
          <w:cols w:equalWidth="0" w:num="2">
            <w:col w:w="2380" w:space="720"/>
            <w:col w:w="8320"/>
          </w:cols>
          <w:pgMar w:left="240" w:top="233"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2.850% Notes due 2023</w:t>
      </w:r>
    </w:p>
    <w:p>
      <w:pPr>
        <w:spacing w:after="0" w:line="200" w:lineRule="exact"/>
        <w:rPr>
          <w:sz w:val="24"/>
          <w:szCs w:val="24"/>
          <w:color w:val="auto"/>
        </w:rPr>
      </w:pPr>
    </w:p>
    <w:p>
      <w:pPr>
        <w:sectPr>
          <w:pgSz w:w="11900" w:h="16838" w:orient="portrait"/>
          <w:cols w:equalWidth="0" w:num="2">
            <w:col w:w="2380" w:space="720"/>
            <w:col w:w="8320"/>
          </w:cols>
          <w:pgMar w:left="240" w:top="233" w:right="239" w:bottom="1440" w:gutter="0" w:footer="0" w:header="0"/>
          <w:type w:val="continuous"/>
        </w:sectPr>
      </w:pPr>
    </w:p>
    <w:p>
      <w:pPr>
        <w:spacing w:after="0" w:line="46" w:lineRule="exact"/>
        <w:rPr>
          <w:sz w:val="24"/>
          <w:szCs w:val="24"/>
          <w:color w:val="auto"/>
        </w:rPr>
      </w:pPr>
    </w:p>
    <w:p>
      <w:pPr>
        <w:ind w:left="3100"/>
        <w:spacing w:after="0"/>
        <w:rPr>
          <w:sz w:val="20"/>
          <w:szCs w:val="20"/>
          <w:color w:val="auto"/>
        </w:rPr>
      </w:pPr>
      <w:r>
        <w:rPr>
          <w:rFonts w:ascii="Arial" w:cs="Arial" w:eastAsia="Arial" w:hAnsi="Arial"/>
          <w:sz w:val="15"/>
          <w:szCs w:val="15"/>
          <w:color w:val="auto"/>
        </w:rPr>
        <w:t>4.250% Notes due 2033</w:t>
      </w:r>
    </w:p>
    <w:p>
      <w:pPr>
        <w:spacing w:after="0" w:line="246" w:lineRule="exact"/>
        <w:rPr>
          <w:sz w:val="24"/>
          <w:szCs w:val="24"/>
          <w:color w:val="auto"/>
        </w:rPr>
      </w:pPr>
    </w:p>
    <w:p>
      <w:pPr>
        <w:ind w:left="3100"/>
        <w:spacing w:after="0"/>
        <w:rPr>
          <w:sz w:val="20"/>
          <w:szCs w:val="20"/>
          <w:color w:val="auto"/>
        </w:rPr>
      </w:pPr>
      <w:r>
        <w:rPr>
          <w:rFonts w:ascii="Arial" w:cs="Arial" w:eastAsia="Arial" w:hAnsi="Arial"/>
          <w:sz w:val="15"/>
          <w:szCs w:val="15"/>
          <w:color w:val="auto"/>
        </w:rPr>
        <w:t>4.500% Notes due 2043</w:t>
      </w:r>
    </w:p>
    <w:p>
      <w:pPr>
        <w:sectPr>
          <w:pgSz w:w="11900" w:h="16838" w:orient="portrait"/>
          <w:cols w:equalWidth="0" w:num="1">
            <w:col w:w="11420"/>
          </w:cols>
          <w:pgMar w:left="240" w:top="233" w:right="239" w:bottom="1440" w:gutter="0" w:footer="0" w:header="0"/>
          <w:type w:val="continuous"/>
        </w:sect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Denomination: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5"/>
          <w:szCs w:val="15"/>
          <w:color w:val="auto"/>
        </w:rPr>
        <w:t>$2,000 and multiples of $1,000 in excess thereof</w:t>
      </w:r>
    </w:p>
    <w:p>
      <w:pPr>
        <w:spacing w:after="0" w:line="200" w:lineRule="exact"/>
        <w:rPr>
          <w:sz w:val="24"/>
          <w:szCs w:val="24"/>
          <w:color w:val="auto"/>
        </w:rPr>
      </w:pPr>
    </w:p>
    <w:p>
      <w:pPr>
        <w:sectPr>
          <w:pgSz w:w="11900" w:h="16838" w:orient="portrait"/>
          <w:cols w:equalWidth="0" w:num="2">
            <w:col w:w="2380" w:space="720"/>
            <w:col w:w="8320"/>
          </w:cols>
          <w:pgMar w:left="240" w:top="233" w:right="23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The Company intends to use the proceeds from this offering, after deducting fees and expenses, for working capital and general corporate purposes</w:t>
      </w:r>
    </w:p>
    <w:p>
      <w:pPr>
        <w:spacing w:after="0" w:line="180" w:lineRule="exact"/>
        <w:rPr>
          <w:sz w:val="24"/>
          <w:szCs w:val="24"/>
          <w:color w:val="auto"/>
        </w:rPr>
      </w:pPr>
    </w:p>
    <w:p>
      <w:pPr>
        <w:sectPr>
          <w:pgSz w:w="11900" w:h="16838" w:orient="portrait"/>
          <w:cols w:equalWidth="0" w:num="2">
            <w:col w:w="2380" w:space="720"/>
            <w:col w:w="83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Indenture:</w:t>
      </w:r>
    </w:p>
    <w:p>
      <w:pPr>
        <w:spacing w:after="0" w:line="20" w:lineRule="exact"/>
        <w:rPr>
          <w:sz w:val="24"/>
          <w:szCs w:val="24"/>
          <w:color w:val="auto"/>
        </w:rPr>
      </w:pPr>
      <w:r>
        <w:rPr>
          <w:sz w:val="24"/>
          <w:szCs w:val="24"/>
          <w:color w:val="auto"/>
        </w:rPr>
        <w:br w:type="column"/>
      </w:r>
    </w:p>
    <w:p>
      <w:pPr>
        <w:ind w:right="80"/>
        <w:spacing w:after="0" w:line="294" w:lineRule="auto"/>
        <w:rPr>
          <w:sz w:val="20"/>
          <w:szCs w:val="20"/>
          <w:color w:val="auto"/>
        </w:rPr>
      </w:pPr>
      <w:r>
        <w:rPr>
          <w:rFonts w:ascii="Arial" w:cs="Arial" w:eastAsia="Arial" w:hAnsi="Arial"/>
          <w:sz w:val="16"/>
          <w:szCs w:val="16"/>
          <w:color w:val="auto"/>
        </w:rPr>
        <w:t>Indenture dated as of January 7, 2003 by and among the Company,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and the Trustee</w:t>
      </w:r>
    </w:p>
    <w:p>
      <w:pPr>
        <w:sectPr>
          <w:pgSz w:w="11900" w:h="16838" w:orient="portrait"/>
          <w:cols w:equalWidth="0" w:num="2">
            <w:col w:w="2380" w:space="720"/>
            <w:col w:w="83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-205105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720"/>
            <w:col w:w="7420"/>
          </w:cols>
          <w:pgMar w:left="240" w:top="274" w:right="1139" w:bottom="1440" w:gutter="0" w:footer="0" w:header="0"/>
        </w:sectPr>
      </w:pP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Expected Ratings: </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Moody’s: Baa1; S&amp;P: BBB+; Fitch: BBB+</w:t>
      </w:r>
    </w:p>
    <w:p>
      <w:pPr>
        <w:spacing w:after="0" w:line="200" w:lineRule="exact"/>
        <w:rPr>
          <w:sz w:val="20"/>
          <w:szCs w:val="20"/>
          <w:color w:val="auto"/>
        </w:rPr>
      </w:pPr>
    </w:p>
    <w:p>
      <w:pPr>
        <w:sectPr>
          <w:pgSz w:w="11900" w:h="16838" w:orient="portrait"/>
          <w:cols w:equalWidth="0" w:num="2">
            <w:col w:w="2380" w:space="720"/>
            <w:col w:w="7420"/>
          </w:cols>
          <w:pgMar w:left="240" w:top="274" w:right="11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Deutsche Bank Securities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00" w:lineRule="exact"/>
        <w:rPr>
          <w:sz w:val="20"/>
          <w:szCs w:val="20"/>
          <w:color w:val="auto"/>
        </w:rPr>
      </w:pPr>
    </w:p>
    <w:p>
      <w:pPr>
        <w:sectPr>
          <w:pgSz w:w="11900" w:h="16838" w:orient="portrait"/>
          <w:cols w:equalWidth="0" w:num="2">
            <w:col w:w="2380" w:space="720"/>
            <w:col w:w="7420"/>
          </w:cols>
          <w:pgMar w:left="240" w:top="274" w:right="11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Credit Suisse Securities (USA)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Capital Markets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Santander Investment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Allen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Gleacher &amp; Company Securities,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ectPr>
          <w:pgSz w:w="11900" w:h="16838" w:orient="portrait"/>
          <w:cols w:equalWidth="0" w:num="2">
            <w:col w:w="2380" w:space="720"/>
            <w:col w:w="7420"/>
          </w:cols>
          <w:pgMar w:left="240" w:top="274" w:right="11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Williams Capital Group, 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Lebenthal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MFR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Mischler Financial Group, Inc.</w:t>
      </w:r>
    </w:p>
    <w:p>
      <w:pPr>
        <w:spacing w:after="0" w:line="200" w:lineRule="exact"/>
        <w:rPr>
          <w:sz w:val="20"/>
          <w:szCs w:val="20"/>
          <w:color w:val="auto"/>
        </w:rPr>
      </w:pPr>
    </w:p>
    <w:p>
      <w:pPr>
        <w:sectPr>
          <w:pgSz w:w="11900" w:h="16838" w:orient="portrait"/>
          <w:cols w:equalWidth="0" w:num="2">
            <w:col w:w="2380" w:space="720"/>
            <w:col w:w="7420"/>
          </w:cols>
          <w:pgMar w:left="240" w:top="274" w:right="1139" w:bottom="1440" w:gutter="0" w:footer="0" w:header="0"/>
          <w:type w:val="continuous"/>
        </w:sectPr>
      </w:pP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January 8, 2013</w:t>
      </w:r>
    </w:p>
    <w:p>
      <w:pPr>
        <w:spacing w:after="0" w:line="205" w:lineRule="exact"/>
        <w:rPr>
          <w:sz w:val="20"/>
          <w:szCs w:val="20"/>
          <w:color w:val="auto"/>
        </w:rPr>
      </w:pPr>
    </w:p>
    <w:p>
      <w:pPr>
        <w:sectPr>
          <w:pgSz w:w="11900" w:h="16838" w:orient="portrait"/>
          <w:cols w:equalWidth="0" w:num="2">
            <w:col w:w="2380" w:space="720"/>
            <w:col w:w="7420"/>
          </w:cols>
          <w:pgMar w:left="240" w:top="274" w:right="11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18865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January 14, 2013 (T+4)</w:t>
      </w:r>
    </w:p>
    <w:p>
      <w:pPr>
        <w:spacing w:after="0" w:line="200" w:lineRule="exact"/>
        <w:rPr>
          <w:sz w:val="20"/>
          <w:szCs w:val="20"/>
          <w:color w:val="auto"/>
        </w:rPr>
      </w:pPr>
    </w:p>
    <w:p>
      <w:pPr>
        <w:sectPr>
          <w:pgSz w:w="11900" w:h="16838" w:orient="portrait"/>
          <w:cols w:equalWidth="0" w:num="2">
            <w:col w:w="2380" w:space="720"/>
            <w:col w:w="7420"/>
          </w:cols>
          <w:pgMar w:left="240" w:top="274"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320" w:hanging="627"/>
        <w:spacing w:after="0"/>
        <w:tabs>
          <w:tab w:leader="none" w:pos="1320" w:val="left"/>
        </w:tabs>
        <w:numPr>
          <w:ilvl w:val="0"/>
          <w:numId w:val="1"/>
        </w:numPr>
        <w:rPr>
          <w:rFonts w:ascii="Arial" w:cs="Arial" w:eastAsia="Arial" w:hAnsi="Arial"/>
          <w:sz w:val="11"/>
          <w:szCs w:val="11"/>
          <w:color w:val="auto"/>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0520"/>
          </w:cols>
          <w:pgMar w:left="240" w:top="274" w:right="11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2.850% Notes Due 2023</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Aggregate Principal Amount: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Spot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-485775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January 15, 2023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2.850% per annum, accruing from January 14, 2013 (calculated on the basis of a 360-day year consisting of twelve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30-day months)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 commencing July 15,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1.625% due November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97-26 (1.869%)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+100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2.869%</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2.850% Notes due 2023 are redeemable at the option of the Company at any time, in whole or in part, at a redemption price equal to the greater of (i) 100% of the principal amount of such notes and (ii) the sum of the present values of remaining scheduled payments of principal and interest (exclusive of interest accrued to the date of redemption) discounted to the redemption date on a semiannual basis at the Treasury Rate plus 15 basis points, plus in each case accrued interest thereon to the date of redemption</w:t>
      </w:r>
    </w:p>
    <w:p>
      <w:pPr>
        <w:spacing w:after="0" w:line="170"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An unlimited amount of additional 2.850% Notes due 2023 may be issued. The 2.850% Notes due 2023 and any additional 2.850% Notes due 2023 that may be issued may be treated as a single series for all purposes under the indenture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20030N BF7 / US20030NBF78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99.836% plus accrued interest, if any, from January 14,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0.450%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99.386% per $1,000 principal amount of Notes due 2023; $745,395,000 total</w:t>
      </w:r>
    </w:p>
    <w:p>
      <w:pPr>
        <w:sectPr>
          <w:pgSz w:w="11900" w:h="16838" w:orient="portrait"/>
          <w:cols w:equalWidth="0" w:num="2">
            <w:col w:w="2420" w:space="680"/>
            <w:col w:w="83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4.250% Notes Due 2033</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Aggregate Principal Amount: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Spot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$1,700,000,000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-485775</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January 15, 2033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4.250% per annum, accruing from January 14, 2013 (calculated on the basis of a 360-day year consisting of twelve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30-day months)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 commencing July 15,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2.750% due August 15, 2042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93-30 (3.063%)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+125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4.313%</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4.250% Notes due 2033 are redeemable at the option of the Company at any time, in whole or in part, at a redemption price equal to the greater of (i) 100% of the principal amount of such notes and (ii) the sum of the present values of remaining scheduled payments of principal and interest (exclusive of interest accrued to the date of redemption) discounted to the redemption date on a semiannual basis at the Treasury Rate plus 20 basis points, plus in each case accrued interest thereon to the date of redemption</w:t>
      </w:r>
    </w:p>
    <w:p>
      <w:pPr>
        <w:spacing w:after="0" w:line="170"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An unlimited amount of additional 4.250% Notes due 2033 may be issued. The 4.250% Notes due 2033 and any additional 4.250% Notes due 2033 that may be issued may be treated as a single series for all purposes under the indenture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20030N BH3 / US20030NBH35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99.161% plus accrued interest, if any, from January 14,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0.650%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98.511% per $1,000 principal amount of Notes due 2033; $1,674,687,000 total</w:t>
      </w:r>
    </w:p>
    <w:p>
      <w:pPr>
        <w:sectPr>
          <w:pgSz w:w="11900" w:h="16838" w:orient="portrait"/>
          <w:cols w:equalWidth="0" w:num="2">
            <w:col w:w="2420" w:space="680"/>
            <w:col w:w="83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4.500% Notes Due 2043</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Aggregate Principal Amount: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Spot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-485775</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January 15, 2043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4.500% per annum, accruing from January 14, 2013 (calculated on the basis of a 360-day year consisting of twelve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30-day months)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January 15 and July 15, commencing July 15,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UST 2.750% due August 15, 2042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93-30 (3.063%)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+145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4.513%</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4.500% Notes due 2043 are redeemable at the option of the Company at any time, in whole or in part, at a redemption price equal to the greater of (i) 100% of the principal amount of such notes and (ii) the sum of the present values of remaining scheduled payments of principal and interest (exclusive of interest accrued to the date of redemption) discounted to the redemption date on a semiannual basis at the Treasury Rate plus 25 basis points, plus in each case accrued interest thereon to the date of redemption</w:t>
      </w:r>
    </w:p>
    <w:p>
      <w:pPr>
        <w:spacing w:after="0" w:line="170"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An unlimited amount of additional 4.500% Notes due 2043 may be issued. The 4.500% Notes due 2043 and any additional 4.500% Notes due 2043 that may be issued may be treated as a single series for all purposes under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20030N BG5 </w:t>
      </w:r>
      <w:r>
        <w:rPr>
          <w:rFonts w:ascii="Arial" w:cs="Arial" w:eastAsia="Arial" w:hAnsi="Arial"/>
          <w:sz w:val="18"/>
          <w:szCs w:val="18"/>
          <w:b w:val="1"/>
          <w:bCs w:val="1"/>
          <w:color w:val="auto"/>
        </w:rPr>
        <w:t>/</w:t>
      </w:r>
      <w:r>
        <w:rPr>
          <w:rFonts w:ascii="Arial" w:cs="Arial" w:eastAsia="Arial" w:hAnsi="Arial"/>
          <w:sz w:val="18"/>
          <w:szCs w:val="18"/>
          <w:color w:val="auto"/>
        </w:rPr>
        <w:t xml:space="preserve"> US20030NBG51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99.787% plus accrued interest, if any, from January 14,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0.875%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98.912% per $1,000 principal amount of Notes due 2043; $494,560,000 total</w:t>
      </w:r>
    </w:p>
    <w:p>
      <w:pPr>
        <w:sectPr>
          <w:pgSz w:w="11900" w:h="16838" w:orient="portrait"/>
          <w:cols w:equalWidth="0" w:num="2">
            <w:col w:w="2420" w:space="680"/>
            <w:col w:w="8300"/>
          </w:cols>
          <w:pgMar w:left="240" w:top="274" w:right="259" w:bottom="1440" w:gutter="0" w:footer="0" w:header="0"/>
        </w:sectPr>
      </w:pPr>
    </w:p>
    <w:bookmarkStart w:id="5" w:name="page6"/>
    <w:bookmarkEnd w:id="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expected that delivery of the notes will be made against payment therefor on or about January 14, 2013, which is the fourth business day following the date hereof (such settlement cycle being referred to as “T+4”).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will be required, by virtue of the fact that the notes initially will settle in T+4, to specify an alternative settlement cycle at the time of any such trade to prevent failed settlement and should consult their own advisors.</w:t>
      </w:r>
    </w:p>
    <w:p>
      <w:pPr>
        <w:spacing w:after="0" w:line="116" w:lineRule="exact"/>
        <w:rPr>
          <w:sz w:val="20"/>
          <w:szCs w:val="20"/>
          <w:color w:val="auto"/>
        </w:rPr>
      </w:pPr>
    </w:p>
    <w:p>
      <w:pPr>
        <w:jc w:val="both"/>
        <w:ind w:right="220"/>
        <w:spacing w:after="0" w:line="294" w:lineRule="auto"/>
        <w:rPr>
          <w:sz w:val="20"/>
          <w:szCs w:val="20"/>
          <w:color w:val="auto"/>
        </w:rPr>
      </w:pPr>
      <w:r>
        <w:rPr>
          <w:rFonts w:ascii="Arial" w:cs="Arial" w:eastAsia="Arial" w:hAnsi="Arial"/>
          <w:sz w:val="16"/>
          <w:szCs w:val="16"/>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Alternatively, the issuer, any underwriter or any dealer participating in the offering will arrange to send you the prospectus if you request it by calling Barclays Capital Inc. at 1-(888) 603-5847, Goldman, Sachs &amp; Co. at 1-(866) 471-2526, or RBS Securities Inc. at 1-(866)-884-2071.</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2019-12-07T03:30:18Z</dcterms:created>
  <dcterms:modified xsi:type="dcterms:W3CDTF">2019-12-07T03:30:18Z</dcterms:modified>
</cp:coreProperties>
</file>