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8" w:lineRule="exact"/>
        <w:rPr>
          <w:sz w:val="24"/>
          <w:szCs w:val="24"/>
          <w:color w:val="auto"/>
        </w:rPr>
      </w:pPr>
    </w:p>
    <w:p>
      <w:pPr>
        <w:ind w:left="500" w:hanging="499"/>
        <w:spacing w:after="0"/>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w:t>
      </w:r>
    </w:p>
    <w:p>
      <w:pPr>
        <w:spacing w:after="0" w:line="200" w:lineRule="exact"/>
        <w:rPr>
          <w:sz w:val="24"/>
          <w:szCs w:val="24"/>
          <w:color w:val="auto"/>
        </w:rPr>
      </w:pPr>
    </w:p>
    <w:p>
      <w:pPr>
        <w:spacing w:after="0" w:line="377" w:lineRule="exact"/>
        <w:rPr>
          <w:sz w:val="24"/>
          <w:szCs w:val="24"/>
          <w:color w:val="auto"/>
        </w:rPr>
      </w:pPr>
    </w:p>
    <w:p>
      <w:pPr>
        <w:ind w:left="500" w:right="3360" w:hanging="499"/>
        <w:spacing w:after="0" w:line="255" w:lineRule="auto"/>
        <w:tabs>
          <w:tab w:leader="none" w:pos="2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4"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Commission File Number 1-15471</w:t>
      </w:r>
    </w:p>
    <w:p>
      <w:pPr>
        <w:spacing w:after="0" w:line="19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[GRAPHIC OMITTED - LOGO]</w:t>
      </w:r>
    </w:p>
    <w:p>
      <w:pPr>
        <w:spacing w:after="0" w:line="198"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4"/>
          <w:szCs w:val="24"/>
          <w:color w:val="auto"/>
        </w:rPr>
      </w:pPr>
    </w:p>
    <w:p>
      <w:pPr>
        <w:ind w:left="700"/>
        <w:spacing w:after="0"/>
        <w:tabs>
          <w:tab w:leader="none" w:pos="6380"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23-1709202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1" w:lineRule="exact"/>
        <w:rPr>
          <w:sz w:val="24"/>
          <w:szCs w:val="24"/>
          <w:color w:val="auto"/>
        </w:rPr>
      </w:pPr>
    </w:p>
    <w:p>
      <w:pPr>
        <w:jc w:val="both"/>
        <w:ind w:right="3360"/>
        <w:spacing w:after="0" w:line="255"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8"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6"/>
          <w:szCs w:val="16"/>
          <w:color w:val="auto"/>
        </w:rPr>
        <w:t>(Zip Code)</w:t>
      </w:r>
    </w:p>
    <w:p>
      <w:pPr>
        <w:spacing w:after="0" w:line="198" w:lineRule="exact"/>
        <w:rPr>
          <w:sz w:val="24"/>
          <w:szCs w:val="24"/>
          <w:color w:val="auto"/>
        </w:rPr>
      </w:pPr>
    </w:p>
    <w:p>
      <w:pPr>
        <w:spacing w:after="0"/>
        <w:tabs>
          <w:tab w:leader="none" w:pos="5200" w:val="left"/>
        </w:tabs>
        <w:rPr>
          <w:sz w:val="20"/>
          <w:szCs w:val="20"/>
          <w:color w:val="auto"/>
        </w:rPr>
      </w:pPr>
      <w:r>
        <w:rPr>
          <w:rFonts w:ascii="Courier New" w:cs="Courier New" w:eastAsia="Courier New" w:hAnsi="Courier New"/>
          <w:sz w:val="16"/>
          <w:szCs w:val="16"/>
          <w:color w:val="auto"/>
        </w:rPr>
        <w:t>Registrant's telephone number, including area code:</w:t>
        <w:tab/>
        <w:t>(215) 665-1700</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__________________________</w:t>
      </w:r>
    </w:p>
    <w:p>
      <w:pPr>
        <w:spacing w:after="0" w:line="198" w:lineRule="exact"/>
        <w:rPr>
          <w:sz w:val="24"/>
          <w:szCs w:val="24"/>
          <w:color w:val="auto"/>
        </w:rPr>
      </w:pPr>
    </w:p>
    <w:p>
      <w:pPr>
        <w:jc w:val="both"/>
        <w:ind w:right="3360"/>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916" w:orient="portrait"/>
          <w:cols w:equalWidth="0" w:num="1">
            <w:col w:w="11240"/>
          </w:cols>
          <w:pgMar w:left="240" w:top="243" w:right="419" w:bottom="0" w:gutter="0" w:footer="0" w:header="0"/>
        </w:sectPr>
      </w:pPr>
    </w:p>
    <w:p>
      <w:pPr>
        <w:spacing w:after="0" w:line="186"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8" w:lineRule="exact"/>
        <w:rPr>
          <w:sz w:val="24"/>
          <w:szCs w:val="24"/>
          <w:color w:val="auto"/>
        </w:rPr>
      </w:pPr>
    </w:p>
    <w:p>
      <w:pPr>
        <w:sectPr>
          <w:pgSz w:w="11900" w:h="16916" w:orient="portrait"/>
          <w:cols w:equalWidth="0" w:num="3">
            <w:col w:w="1180" w:space="200"/>
            <w:col w:w="3520" w:space="720"/>
            <w:col w:w="5620"/>
          </w:cols>
          <w:pgMar w:left="240" w:top="243" w:right="419"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ectPr>
          <w:pgSz w:w="11900" w:h="16916" w:orient="portrait"/>
          <w:cols w:equalWidth="0" w:num="2">
            <w:col w:w="5200" w:space="720"/>
            <w:col w:w="5320"/>
          </w:cols>
          <w:pgMar w:left="240" w:top="243" w:right="419" w:bottom="0" w:gutter="0" w:footer="0" w:header="0"/>
          <w:type w:val="continuous"/>
        </w:sectPr>
      </w:pPr>
    </w:p>
    <w:p>
      <w:pPr>
        <w:ind w:left="2660"/>
        <w:spacing w:after="0"/>
        <w:rPr>
          <w:sz w:val="20"/>
          <w:szCs w:val="20"/>
          <w:color w:val="auto"/>
        </w:rPr>
      </w:pPr>
      <w:r>
        <w:rPr>
          <w:rFonts w:ascii="Courier New" w:cs="Courier New" w:eastAsia="Courier New" w:hAnsi="Courier New"/>
          <w:sz w:val="16"/>
          <w:szCs w:val="16"/>
          <w:color w:val="auto"/>
        </w:rPr>
        <w:t>__________________________</w:t>
      </w:r>
    </w:p>
    <w:p>
      <w:pPr>
        <w:sectPr>
          <w:pgSz w:w="11900" w:h="16916" w:orient="portrait"/>
          <w:cols w:equalWidth="0" w:num="1">
            <w:col w:w="11240"/>
          </w:cols>
          <w:pgMar w:left="240" w:top="243" w:right="419" w:bottom="0" w:gutter="0" w:footer="0" w:header="0"/>
          <w:type w:val="continuous"/>
        </w:sectPr>
      </w:pPr>
    </w:p>
    <w:p>
      <w:pPr>
        <w:spacing w:after="0" w:line="198" w:lineRule="exact"/>
        <w:rPr>
          <w:sz w:val="24"/>
          <w:szCs w:val="24"/>
          <w:color w:val="auto"/>
        </w:rPr>
      </w:pPr>
    </w:p>
    <w:p>
      <w:pPr>
        <w:spacing w:after="0"/>
        <w:tabs>
          <w:tab w:leader="none" w:pos="680" w:val="left"/>
          <w:tab w:leader="none" w:pos="1760" w:val="left"/>
          <w:tab w:leader="none" w:pos="2240" w:val="left"/>
          <w:tab w:leader="none" w:pos="2940" w:val="left"/>
          <w:tab w:leader="none" w:pos="4120" w:val="left"/>
          <w:tab w:leader="none" w:pos="5400" w:val="left"/>
        </w:tabs>
        <w:rPr>
          <w:sz w:val="20"/>
          <w:szCs w:val="20"/>
          <w:color w:val="auto"/>
        </w:rPr>
      </w:pPr>
      <w:r>
        <w:rPr>
          <w:rFonts w:ascii="Courier New" w:cs="Courier New" w:eastAsia="Courier New" w:hAnsi="Courier New"/>
          <w:sz w:val="16"/>
          <w:szCs w:val="16"/>
          <w:color w:val="auto"/>
        </w:rPr>
        <w:t>As of</w:t>
        <w:tab/>
        <w:t>September</w:t>
        <w:tab/>
        <w:t>30,</w:t>
        <w:tab/>
        <w:t>2002,</w:t>
        <w:tab/>
        <w:t>there were</w:t>
        <w:tab/>
        <w:t>915,871,552</w:t>
        <w:tab/>
        <w:t>shares of Class A Special</w:t>
      </w:r>
    </w:p>
    <w:p>
      <w:pPr>
        <w:spacing w:after="0" w:line="8"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Common Stock,</w:t>
        <w:tab/>
        <w:t>21,591,115 shares of Class A Common Stock and 9,444,375 shares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60"/>
              <w:spacing w:after="0"/>
              <w:rPr>
                <w:sz w:val="20"/>
                <w:szCs w:val="20"/>
                <w:color w:val="auto"/>
              </w:rPr>
            </w:pPr>
            <w:r>
              <w:rPr>
                <w:rFonts w:ascii="Courier New" w:cs="Courier New" w:eastAsia="Courier New" w:hAnsi="Courier New"/>
                <w:sz w:val="16"/>
                <w:szCs w:val="16"/>
                <w:color w:val="auto"/>
              </w:rPr>
              <w:t>COMCAST CORPORATION AND SUBSIDIARIES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3440"/>
              <w:spacing w:after="0"/>
              <w:rPr>
                <w:sz w:val="20"/>
                <w:szCs w:val="20"/>
                <w:color w:val="auto"/>
              </w:rPr>
            </w:pPr>
            <w:r>
              <w:rPr>
                <w:rFonts w:ascii="Courier New" w:cs="Courier New" w:eastAsia="Courier New" w:hAnsi="Courier New"/>
                <w:sz w:val="16"/>
                <w:szCs w:val="16"/>
                <w:color w:val="auto"/>
              </w:rPr>
              <w:t>FORM 10-Q</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260"/>
              <w:spacing w:after="0"/>
              <w:rPr>
                <w:sz w:val="20"/>
                <w:szCs w:val="20"/>
                <w:color w:val="auto"/>
              </w:rPr>
            </w:pPr>
            <w:r>
              <w:rPr>
                <w:rFonts w:ascii="Courier New" w:cs="Courier New" w:eastAsia="Courier New" w:hAnsi="Courier New"/>
                <w:sz w:val="16"/>
                <w:szCs w:val="16"/>
                <w:color w:val="auto"/>
              </w:rPr>
              <w:t>QUARTER ENDED SEPTEMBER 30, 2002</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3040"/>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9"/>
        </w:trPr>
        <w:tc>
          <w:tcPr>
            <w:tcW w:w="94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1.</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Balance Sheet as of September 30, 2002</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December 31,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Statement of Operations for the Three and Nine Months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Ended September 30, 2002 and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Statement of Cash Flows for the Nine Months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Ended September 30, 2002 and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2.</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and 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21 -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4.</w:t>
            </w: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Evaluation of Disclosure Controls and Procedures......................................</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1.</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31 -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6.</w:t>
            </w: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SIGNATURE</w:t>
            </w:r>
          </w:p>
        </w:tc>
        <w:tc>
          <w:tcPr>
            <w:tcW w:w="86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w:t>
            </w:r>
          </w:p>
        </w:tc>
      </w:tr>
      <w:tr>
        <w:trPr>
          <w:trHeight w:val="190"/>
        </w:trPr>
        <w:tc>
          <w:tcPr>
            <w:tcW w:w="94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CERTIFICATIONS..............................................................................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34 -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36</w:t>
            </w:r>
          </w:p>
        </w:tc>
      </w:tr>
    </w:tbl>
    <w:p>
      <w:pPr>
        <w:spacing w:after="0" w:line="384"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98" w:lineRule="exact"/>
        <w:rPr>
          <w:sz w:val="24"/>
          <w:szCs w:val="24"/>
          <w:color w:val="auto"/>
        </w:rPr>
      </w:pPr>
    </w:p>
    <w:p>
      <w:pPr>
        <w:jc w:val="both"/>
        <w:ind w:right="3360" w:firstLine="493"/>
        <w:spacing w:after="0" w:line="252" w:lineRule="auto"/>
        <w:rPr>
          <w:sz w:val="20"/>
          <w:szCs w:val="20"/>
          <w:color w:val="auto"/>
        </w:rPr>
      </w:pPr>
      <w:r>
        <w:rPr>
          <w:rFonts w:ascii="Courier New" w:cs="Courier New" w:eastAsia="Courier New" w:hAnsi="Courier New"/>
          <w:sz w:val="16"/>
          <w:szCs w:val="16"/>
          <w:color w:val="auto"/>
        </w:rPr>
        <w:t>This Quarterly Report on Form 10-Q is for the three months ended September 30, 2002.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w:t>
      </w:r>
    </w:p>
    <w:p>
      <w:pPr>
        <w:sectPr>
          <w:pgSz w:w="11900" w:h="16916" w:orient="portrait"/>
          <w:cols w:equalWidth="0" w:num="1">
            <w:col w:w="11240"/>
          </w:cols>
          <w:pgMar w:left="240" w:top="243" w:right="419" w:bottom="0" w:gutter="0" w:footer="0" w:header="0"/>
          <w:type w:val="continuous"/>
        </w:sectPr>
      </w:pPr>
    </w:p>
    <w:bookmarkStart w:id="1" w:name="page2"/>
    <w:bookmarkEnd w:id="1"/>
    <w:p>
      <w:pPr>
        <w:jc w:val="both"/>
        <w:ind w:right="2339"/>
        <w:spacing w:after="0" w:line="252" w:lineRule="auto"/>
        <w:rPr>
          <w:sz w:val="20"/>
          <w:szCs w:val="20"/>
          <w:color w:val="auto"/>
        </w:rPr>
      </w:pPr>
      <w:r>
        <w:rPr>
          <w:rFonts w:ascii="Courier New" w:cs="Courier New" w:eastAsia="Courier New" w:hAnsi="Courier New"/>
          <w:sz w:val="16"/>
          <w:szCs w:val="16"/>
          <w:color w:val="auto"/>
        </w:rPr>
        <w:t>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8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December 19, 2001, we entered into an Agreement and Plan of Merger with AT&amp;T Corp. ("AT&amp;T") pursuant to which we agreed to a transaction which will result in the combination of Comcast and a holding company of AT&amp;T's broadband business ("AT&amp;T Broadband"). On July 10, 2002, the shareholders of both Comcast and AT&amp;T approved the transaction. The transaction, which is subject to customary closing conditions and regulatory and other approvals, is expected to close by the end of November 2002. Upon closing of the transaction, we will own cable systems in new communities in which we do not have established relationships with the cable subscribers, franchising authority and community leaders. Further, a substantial number of new employees must be integrated into our business practices and operations. Our results of operations may be significantly affected by our ability to efficiently and effectively manage these changes.</w:t>
      </w:r>
    </w:p>
    <w:p>
      <w:pPr>
        <w:spacing w:after="0" w:line="38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addition, our businesses may be affected by, among other things:</w:t>
      </w:r>
    </w:p>
    <w:p>
      <w:pPr>
        <w:spacing w:after="0" w:line="8" w:lineRule="exact"/>
        <w:rPr>
          <w:sz w:val="20"/>
          <w:szCs w:val="20"/>
          <w:color w:val="auto"/>
        </w:rPr>
      </w:pP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8" w:lineRule="exact"/>
        <w:rPr>
          <w:rFonts w:ascii="Courier New" w:cs="Courier New" w:eastAsia="Courier New" w:hAnsi="Courier New"/>
          <w:sz w:val="16"/>
          <w:szCs w:val="16"/>
          <w:color w:val="auto"/>
        </w:rPr>
      </w:pPr>
    </w:p>
    <w:p>
      <w:pPr>
        <w:jc w:val="both"/>
        <w:ind w:left="980" w:right="2339" w:hanging="486"/>
        <w:spacing w:after="0" w:line="251" w:lineRule="auto"/>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ind w:left="980" w:right="2339" w:hanging="486"/>
        <w:spacing w:after="0" w:line="251" w:lineRule="auto"/>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ind w:left="980" w:hanging="486"/>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35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(Dollars in millions, except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September 30,</w:t>
            </w:r>
          </w:p>
        </w:tc>
        <w:tc>
          <w:tcPr>
            <w:tcW w:w="1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2002</w:t>
            </w:r>
          </w:p>
        </w:tc>
        <w:tc>
          <w:tcPr>
            <w:tcW w:w="16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94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80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$569.8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$350.0</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Investments..................................................................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905.9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2,623.2</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 accounts of $174.1 and $153.9</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932.8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967.4</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Inventories, net.............................................................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482.7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454.5</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132.9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128.7</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Other current assets.........................................................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171.5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153.7</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current assets.....................................................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3,195.6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4,677.5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INVESTMENTS.....................................................................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585.6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1,679.2</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PROPERTY AND EQUIPMENT, net of accumulated depreciation of $3,496.5 and $2,725.7</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7,035.6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7,011.1</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GOODWILL........................................................................</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6,446.3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6,289.4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FRANCHISE RIGHTS................................................................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16,601.5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16,533.0</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INTANGIBLE ASSETS, net of accumulated amortization of $890.3 and $664.6...</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1,414.6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1,686.9</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NONCURRENT ASSETS, net....................................................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498.1</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383.4</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$35,777.3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Accounts payable.............................................................</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$806.1</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$698.2</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1,805.8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1,660.4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69.7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404.1</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Current portion of long-term debt............................................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113.9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460.2</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2,795.5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3,222.9</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9,927.9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11,741.6</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6,665.0</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6,375.7</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NONCURRENT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1,419.9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1,567.1</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MINORITY INTEREST...............................................................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1,027.4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880.2</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A special common stock, $1 par value - authorized,</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2,500,000,000 shares; issued, 915,871,552 and 937,256,465; outstanding,</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915,871,552 and 913,931,554................................................</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915.9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913.9</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A common stock, $1 par value - authorized, 200,000,000 shares;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issued, 21,591,115 and 21,829,422..........................................</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21.8</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B common stock, $1 par value - authorized, 50,000,000 shares;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issued, 9,444,375..........................................................</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Additional capital...........................................................</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11,800.8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11,752.0</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Retained earnings............................................................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1,631.5</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(197.7)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144.4</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stockholders' equity...............................................</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13,941.6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14,473.0</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$35,777.3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79"/>
        </w:trPr>
        <w:tc>
          <w:tcPr>
            <w:tcW w:w="8080" w:type="dxa"/>
            <w:vAlign w:val="bottom"/>
          </w:tcPr>
          <w:p>
            <w:pPr>
              <w:jc w:val="right"/>
              <w:ind w:right="2478"/>
              <w:spacing w:after="0"/>
              <w:rPr>
                <w:sz w:val="20"/>
                <w:szCs w:val="20"/>
                <w:color w:val="auto"/>
              </w:rPr>
            </w:pPr>
            <w:r>
              <w:rPr>
                <w:rFonts w:ascii="Courier New" w:cs="Courier New" w:eastAsia="Courier New" w:hAnsi="Courier New"/>
                <w:sz w:val="16"/>
                <w:szCs w:val="16"/>
                <w:color w:val="auto"/>
              </w:rPr>
              <w:t>2</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40"/>
          </w:cols>
          <w:pgMar w:left="240" w:top="685" w:right="219" w:bottom="805" w:gutter="0" w:footer="0" w:header="0"/>
        </w:sectPr>
      </w:pPr>
    </w:p>
    <w:bookmarkStart w:id="3" w:name="page4"/>
    <w:bookmarkEnd w:id="3"/>
    <w:p>
      <w:pPr>
        <w:jc w:val="center"/>
        <w:ind w:right="2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gridSpan w:val="2"/>
          </w:tcPr>
          <w:p>
            <w:pPr>
              <w:jc w:val="right"/>
              <w:ind w:right="420"/>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58"/>
        </w:trPr>
        <w:tc>
          <w:tcPr>
            <w:tcW w:w="720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(Amounts in</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millions,</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per share data)</w:t>
            </w:r>
          </w:p>
        </w:tc>
      </w:tr>
      <w:tr>
        <w:trPr>
          <w:trHeight w:val="190"/>
        </w:trPr>
        <w:tc>
          <w:tcPr>
            <w:tcW w:w="7200" w:type="dxa"/>
            <w:vAlign w:val="bottom"/>
          </w:tcPr>
          <w:p>
            <w:pPr>
              <w:spacing w:after="0"/>
              <w:rPr>
                <w:sz w:val="16"/>
                <w:szCs w:val="16"/>
                <w:color w:val="auto"/>
              </w:rPr>
            </w:pPr>
          </w:p>
        </w:tc>
        <w:tc>
          <w:tcPr>
            <w:tcW w:w="21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7200" w:type="dxa"/>
            <w:vAlign w:val="bottom"/>
          </w:tcPr>
          <w:p>
            <w:pPr>
              <w:spacing w:after="0"/>
              <w:rPr>
                <w:sz w:val="16"/>
                <w:szCs w:val="16"/>
                <w:color w:val="auto"/>
              </w:rPr>
            </w:pPr>
          </w:p>
        </w:tc>
        <w:tc>
          <w:tcPr>
            <w:tcW w:w="21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September 30,</w:t>
            </w:r>
          </w:p>
        </w:tc>
        <w:tc>
          <w:tcPr>
            <w:tcW w:w="21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7200" w:type="dxa"/>
            <w:vAlign w:val="bottom"/>
          </w:tcPr>
          <w:p>
            <w:pPr>
              <w:spacing w:after="0"/>
              <w:rPr>
                <w:sz w:val="16"/>
                <w:szCs w:val="16"/>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2002</w:t>
            </w: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379"/>
        </w:trPr>
        <w:tc>
          <w:tcPr>
            <w:tcW w:w="72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$1,692.9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$1,505.7</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$5,086.3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$4,316.4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1,011.8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895.1</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2,999.8</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2,655.1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2,704.7</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2,400.8</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8,086.1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6,971.5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722.0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678.4</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2,191.4</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1,989.8</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 (excluding 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..643.1</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573.8</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1,903.1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1,685.6</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513.8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448.0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1,491.0</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1,268.4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338.9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314.7</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1,015.5</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829.4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56.4</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564.1</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155.1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1,610.3</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2,274.2</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2,579.0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6,756.1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7,383.5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430.5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(178.2)</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1,330.0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(412.0)</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(174.2)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(543.5)</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(551.5)</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(760.4)</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(26.1)</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1,180.9</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(235.8)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(1,374.6)</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1,649.0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MINORITY INTEREST</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(67.1)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1,237.0</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(602.1)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 AND CUMULATIVE EFFECT</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(96.9)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634.9</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(36.6)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(126.0)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(89.8)</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545.1</w:t>
            </w:r>
          </w:p>
        </w:tc>
      </w:tr>
      <w:tr>
        <w:trPr>
          <w:trHeight w:val="190"/>
        </w:trPr>
        <w:tc>
          <w:tcPr>
            <w:tcW w:w="8380" w:type="dxa"/>
            <w:vAlign w:val="bottom"/>
            <w:gridSpan w:val="2"/>
          </w:tcPr>
          <w:p>
            <w:pPr>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384.5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379"/>
        </w:trPr>
        <w:tc>
          <w:tcPr>
            <w:tcW w:w="720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$0.58</w:t>
            </w:r>
          </w:p>
        </w:tc>
      </w:tr>
      <w:tr>
        <w:trPr>
          <w:trHeight w:val="190"/>
        </w:trPr>
        <w:tc>
          <w:tcPr>
            <w:tcW w:w="8380" w:type="dxa"/>
            <w:vAlign w:val="bottom"/>
            <w:gridSpan w:val="2"/>
          </w:tcPr>
          <w:p>
            <w:pPr>
              <w:jc w:val="right"/>
              <w:ind w:right="900"/>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0.40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$0.98</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$0.56</w:t>
            </w:r>
          </w:p>
        </w:tc>
      </w:tr>
      <w:tr>
        <w:trPr>
          <w:trHeight w:val="190"/>
        </w:trPr>
        <w:tc>
          <w:tcPr>
            <w:tcW w:w="8380" w:type="dxa"/>
            <w:vAlign w:val="bottom"/>
            <w:gridSpan w:val="2"/>
          </w:tcPr>
          <w:p>
            <w:pPr>
              <w:jc w:val="right"/>
              <w:ind w:right="900"/>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0.40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$0.96</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685" w:right="139" w:bottom="1440" w:gutter="0" w:footer="0" w:header="0"/>
        </w:sectPr>
      </w:pPr>
    </w:p>
    <w:bookmarkStart w:id="4" w:name="page5"/>
    <w:bookmarkEnd w:id="4"/>
    <w:p>
      <w:pPr>
        <w:jc w:val="center"/>
        <w:ind w:right="-2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jc w:val="right"/>
              <w:ind w:right="1738"/>
              <w:spacing w:after="0"/>
              <w:rPr>
                <w:sz w:val="20"/>
                <w:szCs w:val="20"/>
                <w:color w:val="auto"/>
              </w:rPr>
            </w:pPr>
            <w:r>
              <w:rPr>
                <w:rFonts w:ascii="Courier New" w:cs="Courier New" w:eastAsia="Courier New" w:hAnsi="Courier New"/>
                <w:sz w:val="16"/>
                <w:szCs w:val="16"/>
                <w:color w:val="auto"/>
              </w:rPr>
              <w:t>(Unaudited)</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69"/>
        </w:trPr>
        <w:tc>
          <w:tcPr>
            <w:tcW w:w="8040" w:type="dxa"/>
            <w:vAlign w:val="bottom"/>
          </w:tcPr>
          <w:p>
            <w:pPr>
              <w:spacing w:after="0"/>
              <w:rPr>
                <w:sz w:val="24"/>
                <w:szCs w:val="24"/>
                <w:color w:val="auto"/>
              </w:rPr>
            </w:pPr>
          </w:p>
        </w:tc>
        <w:tc>
          <w:tcPr>
            <w:tcW w:w="310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(Dollars in millions)</w:t>
            </w:r>
          </w:p>
        </w:tc>
      </w:tr>
      <w:tr>
        <w:trPr>
          <w:trHeight w:val="190"/>
        </w:trPr>
        <w:tc>
          <w:tcPr>
            <w:tcW w:w="804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2002</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OPERATING ACTIVITIES</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 (loss)............................................................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($222.9)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8040" w:type="dxa"/>
            <w:vAlign w:val="bottom"/>
          </w:tcPr>
          <w:p>
            <w:pPr>
              <w:jc w:val="right"/>
              <w:ind w:right="1458"/>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5198"/>
              <w:spacing w:after="0"/>
              <w:rPr>
                <w:sz w:val="20"/>
                <w:szCs w:val="20"/>
                <w:color w:val="auto"/>
              </w:rPr>
            </w:pPr>
            <w:r>
              <w:rPr>
                <w:rFonts w:ascii="Courier New" w:cs="Courier New" w:eastAsia="Courier New" w:hAnsi="Courier New"/>
                <w:sz w:val="16"/>
                <w:szCs w:val="16"/>
                <w:color w:val="auto"/>
              </w:rPr>
              <w:t>by operating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Depreciation...............................................................</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1,015.5</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829.4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Amortization...............................................................</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155.1</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1,610.3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Non-cash interest expense,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31.7</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Equity in net losses of affiliates.........................................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59.9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799.5</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(2,172.8)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Minority interest..........................................................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126.0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Cumulative effect of accounting change.....................................</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(384.5)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Deferred income taxes......................................................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(59.5)</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(141.7)</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sales of trading security....................................</w:t>
            </w:r>
          </w:p>
        </w:tc>
        <w:tc>
          <w:tcPr>
            <w:tcW w:w="1580" w:type="dxa"/>
            <w:vAlign w:val="bottom"/>
          </w:tcPr>
          <w:p>
            <w:pPr>
              <w:spacing w:after="0"/>
              <w:rPr>
                <w:sz w:val="16"/>
                <w:szCs w:val="16"/>
                <w:color w:val="auto"/>
              </w:rPr>
            </w:pP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367.1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(40.4)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1,864.9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1,188.5</w:t>
            </w:r>
          </w:p>
        </w:tc>
      </w:tr>
      <w:tr>
        <w:trPr>
          <w:trHeight w:val="190"/>
        </w:trPr>
        <w:tc>
          <w:tcPr>
            <w:tcW w:w="8040" w:type="dxa"/>
            <w:vAlign w:val="bottom"/>
          </w:tcPr>
          <w:p>
            <w:pPr>
              <w:jc w:val="right"/>
              <w:spacing w:after="0"/>
              <w:rPr>
                <w:sz w:val="20"/>
                <w:szCs w:val="20"/>
                <w:color w:val="auto"/>
              </w:rPr>
            </w:pPr>
            <w:r>
              <w:rPr>
                <w:rFonts w:ascii="Courier New" w:cs="Courier New" w:eastAsia="Courier New" w:hAnsi="Courier New"/>
                <w:sz w:val="16"/>
                <w:szCs w:val="16"/>
                <w:color w:val="auto"/>
              </w:rPr>
              <w:t>Changes in working capital, net of effects of acquisitions and divestitures: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Decrease in accounts receivable,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33.1</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110.3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inventories, net.............................................</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(28.2)</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other current assets.........................................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(33.0)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(44.5)</w:t>
            </w:r>
          </w:p>
        </w:tc>
      </w:tr>
      <w:tr>
        <w:trPr>
          <w:trHeight w:val="190"/>
        </w:trPr>
        <w:tc>
          <w:tcPr>
            <w:tcW w:w="8040" w:type="dxa"/>
            <w:vAlign w:val="bottom"/>
          </w:tcPr>
          <w:p>
            <w:pPr>
              <w:jc w:val="right"/>
              <w:ind w:right="958"/>
              <w:spacing w:after="0"/>
              <w:rPr>
                <w:sz w:val="20"/>
                <w:szCs w:val="20"/>
                <w:color w:val="auto"/>
              </w:rPr>
            </w:pPr>
            <w:r>
              <w:rPr>
                <w:rFonts w:ascii="Courier New" w:cs="Courier New" w:eastAsia="Courier New" w:hAnsi="Courier New"/>
                <w:sz w:val="16"/>
                <w:szCs w:val="16"/>
                <w:color w:val="auto"/>
              </w:rPr>
              <w:t>Increase in accounts payable, accrued expenses and other current</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liabilities............................................................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163.4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394.1</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135.3</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394.1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2,000.2</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1,582.6</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FINANCING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borrowings.....................................................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876.2</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5,030.9</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Retirements and repayments of debt...........................................</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(2,009.0)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(3,791.1)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settlement of interest rate exchange agreements................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56.8</w:t>
            </w: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Issuances of common stock....................................................</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Repurchases of common stock..................................................</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Equity contributions from minority partner to a subsidiary...................</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Deferred financing costs.....................................................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(2.3)</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(1,052.4)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1,219.8</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INVESTING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Acquisitions, net of cash acquired...........................................</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(917.5)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Sales (purchases) of short-term investments,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(173.3)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Purchases of investments.....................................................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(48.1)</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(238.7)</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notes receivable.................................................</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(400.0)</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sales and settlements of investments...........................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733.5</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784.4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Capital expenditures.........................................................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(1,145.8)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(1,681.2)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(255.6)</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(169.2)</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investing activities................................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(728.0)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(2,795.5)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CASH AND CASH EQUIVALENTS ..........................................</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219.8</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6.9</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350.0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651.5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AND CASH EQUIVALENTS, end of period........................................</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$569.8</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$658.4</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40"/>
          </w:cols>
          <w:pgMar w:left="240" w:top="1064" w:right="519" w:bottom="1440" w:gutter="0" w:footer="0" w:header="0"/>
        </w:sectPr>
      </w:pPr>
    </w:p>
    <w:bookmarkStart w:id="5" w:name="page6"/>
    <w:bookmarkEnd w:id="5"/>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and its subsidiaries ("Comcast" or the "Company") has prepared these unaudited condensed consolidated financial statements based upon Securities and Exchange Commission ("SEC") rules that permit reduced disclosure for interim periods.</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5" w:lineRule="exact"/>
        <w:rPr>
          <w:rFonts w:ascii="Courier New" w:cs="Courier New" w:eastAsia="Courier New" w:hAnsi="Courier New"/>
          <w:sz w:val="16"/>
          <w:szCs w:val="16"/>
          <w:color w:val="auto"/>
        </w:rPr>
      </w:pPr>
    </w:p>
    <w:p>
      <w:pPr>
        <w:jc w:val="both"/>
        <w:ind w:left="500" w:right="233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372"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8" w:lineRule="exact"/>
        <w:rPr>
          <w:rFonts w:ascii="Courier New" w:cs="Courier New" w:eastAsia="Courier New" w:hAnsi="Courier New"/>
          <w:sz w:val="16"/>
          <w:szCs w:val="16"/>
          <w:color w:val="auto"/>
        </w:rPr>
      </w:pPr>
    </w:p>
    <w:p>
      <w:pPr>
        <w:ind w:left="500" w:right="233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2002 (see Note 2).</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90"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142</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 The Company adopted SFAS No. 142 on January 1, 2002, as required by the new statement. Upon adoption, the Company no longer amortizes goodwill and other indefinite lived intangible assets, which consist of cable and sports franchise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completed this assessment and determined that no cumulative effect results from adopting this change in accounting principle. The provisions of SFAS No. 142 also require the completion of an annual impairment test, with any impairments recognized in current earnings. The Company completed the annual impairment test during the quarter ended June 30, 2002 and determined that no impairment charge is necessary (see Note 6).</w:t>
      </w:r>
    </w:p>
    <w:p>
      <w:pPr>
        <w:spacing w:after="0" w:line="190"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w:t>
      </w:r>
    </w:p>
    <w:p>
      <w:pPr>
        <w:spacing w:after="0" w:line="18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6" w:name="page7"/>
    <w:bookmarkEnd w:id="6"/>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5" w:lineRule="auto"/>
        <w:rPr>
          <w:sz w:val="20"/>
          <w:szCs w:val="20"/>
          <w:color w:val="auto"/>
        </w:rPr>
      </w:pPr>
      <w:r>
        <w:rPr>
          <w:rFonts w:ascii="Courier New" w:cs="Courier New" w:eastAsia="Courier New" w:hAnsi="Courier New"/>
          <w:sz w:val="16"/>
          <w:szCs w:val="16"/>
          <w:color w:val="auto"/>
        </w:rPr>
        <w:t>2002. The Company does not expect the adoption of SFAS No. 143 will have a material impact on its financial condition or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144</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145</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changes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Company adopted the provisions of SFAS No. 145 effective April 1, 2002, as permitted by the new statement. The Company previously classified losses from debt extinguishments as extraordinary items in its statement of operations. Upon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the nine months ended September 30,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146</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146, "Accounting for Costs Associated with Exit or Disposal Activities," in June 2002. SFAS No. 146 changes the standards for recognition of a liability for a cost associated with an exit or disposal activity. SFAS No. 146 requires that a liability for a cost associated with an exit or disposal activity be recognized when the liability is incurred. SFAS No. 146 establishes that fair value is the objective for initial measurement of the liability. SFAS No. 146 nullifies the guidance of Emerging Issues Task Force ("EITF") 94-3 under which an entity recognized a liability for an exit cost on the date that the entity committed itself to an exit plan. The Company will adopt the provisions of SFAS No. 146 for exit or disposal activities that are initiated after December 31, 2002, as required by the new statement. The Company does not expect the adoption of SFAS No. 146 will have a material impact on its financial condition or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EITF 01-9</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November 2001, the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 This change does not apply to distribution fees paid by the Company's consolidated subsidiary, QVC, Inc. ("QVC") as the counterparties to QVC's distribution agreements do not make revenue payments to QVC. Amortization expense includes $5.7 million, $5.3 million, $15.3 million</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19"/>
          </w:cols>
          <w:pgMar w:left="740" w:top="685" w:right="1440" w:bottom="240" w:gutter="0" w:footer="0" w:header="0"/>
        </w:sectPr>
      </w:pPr>
    </w:p>
    <w:bookmarkStart w:id="7" w:name="page8"/>
    <w:bookmarkEnd w:id="7"/>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and $19.4 million during the three months ended September 30, 2002 and 2001 and during the nine months ended September 30, 2002 and 2001, respectively, related to QVC distribution fees.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EITF 01-14</w:t>
      </w:r>
    </w:p>
    <w:p>
      <w:pPr>
        <w:spacing w:after="0" w:line="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90" w:lineRule="exact"/>
        <w:rPr>
          <w:sz w:val="20"/>
          <w:szCs w:val="20"/>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97" w:lineRule="exact"/>
        <w:rPr>
          <w:rFonts w:ascii="Courier New" w:cs="Courier New" w:eastAsia="Courier New" w:hAnsi="Courier New"/>
          <w:sz w:val="16"/>
          <w:szCs w:val="16"/>
          <w:color w:val="auto"/>
        </w:rPr>
      </w:pPr>
    </w:p>
    <w:p>
      <w:pPr>
        <w:jc w:val="both"/>
        <w:ind w:left="500" w:right="23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pacing w:after="0" w:line="185"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potentially dilutive securities include potential common shares related to the Company's Zero Coupon Convertible Debentures due 2020 (the "Zero Coupon Debentures" - see Note 7), stock options, restricted stock and, in 2001, Series B convertible preferred stock.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 110% of the accreted conversion price. Diluted EPS excludes the impact of potential common shares related to the Company's stock options in periods in which the option exercise price is greater than the average market price of the Company's common stock for the period.</w:t>
      </w:r>
    </w:p>
    <w:p>
      <w:pPr>
        <w:spacing w:after="0" w:line="190"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2002 and 2001 and for the nine months ended September 30, 2002 and 2001, respectively, excludes approximately 16.9 million, 21.1 million, 18.8 million and 21.1 million potential common shares related to the Zero Coupon Debentures, respectively, as the weighted average closing sale price of the Company's Class A Special Common Stock was not greater than 110% of the accreted conversion price.</w:t>
      </w:r>
    </w:p>
    <w:p>
      <w:pPr>
        <w:spacing w:after="0" w:line="374"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2001 and the nine months ended September 30, 2002 excludes approximately 54.2 million and 64.1 million potential common shares related to the Company's stock option and restricted stock plans, respectively, because the assumed issuance of such potential common shares is antidilutive in periods in which there is a loss.</w:t>
      </w:r>
    </w:p>
    <w:p>
      <w:pPr>
        <w:spacing w:after="0" w:line="375"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2002 and the nine months ended September 30, 2001 excludes approximately 41.6 million and 4.5 million potential common shares, respectively, related to the Company's stock option plans because the option exercise price was greater than the average market price of the Company's common stock for the period.</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809" w:gutter="0" w:footer="0" w:header="0"/>
        </w:sectPr>
      </w:pPr>
    </w:p>
    <w:bookmarkStart w:id="8" w:name="page9"/>
    <w:bookmarkEnd w:id="8"/>
    <w:p>
      <w:pPr>
        <w:jc w:val="center"/>
        <w:ind w:right="29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960"/>
        <w:spacing w:after="0" w:line="252"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("Diluted EPS") for income (loss) before cumulative effect of accounting change for the interim periods presented.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(Amounts</w:t>
            </w:r>
          </w:p>
        </w:tc>
        <w:tc>
          <w:tcPr>
            <w:tcW w:w="3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millions, except per share data)</w:t>
            </w: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3460" w:type="dxa"/>
            <w:vAlign w:val="bottom"/>
            <w:gridSpan w:val="3"/>
          </w:tcPr>
          <w:p>
            <w:pPr>
              <w:jc w:val="right"/>
              <w:ind w:right="818"/>
              <w:spacing w:after="0"/>
              <w:rPr>
                <w:sz w:val="20"/>
                <w:szCs w:val="20"/>
                <w:color w:val="auto"/>
              </w:rPr>
            </w:pPr>
            <w:r>
              <w:rPr>
                <w:rFonts w:ascii="Courier New" w:cs="Courier New" w:eastAsia="Courier New" w:hAnsi="Courier New"/>
                <w:sz w:val="16"/>
                <w:szCs w:val="16"/>
                <w:color w:val="auto"/>
              </w:rPr>
              <w:t>Three Months Ended</w:t>
            </w:r>
          </w:p>
        </w:tc>
        <w:tc>
          <w:tcPr>
            <w:tcW w:w="32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c>
          <w:tcPr>
            <w:tcW w:w="21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2001</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34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Per Share</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Income</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Loss</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Amount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Basic EPS................................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952.9</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$0.08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951.5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90"/>
        </w:trPr>
        <w:tc>
          <w:tcPr>
            <w:tcW w:w="41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Effect of Dilutive Securities</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exercise of stock option</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 restricted stock plans..........</w:t>
            </w:r>
          </w:p>
        </w:tc>
        <w:tc>
          <w:tcPr>
            <w:tcW w:w="1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Diluted EPS..............................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959.2</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$0.08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951.5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379"/>
        </w:trPr>
        <w:tc>
          <w:tcPr>
            <w:tcW w:w="4140" w:type="dxa"/>
            <w:vAlign w:val="bottom"/>
          </w:tcPr>
          <w:p>
            <w:pPr>
              <w:spacing w:after="0"/>
              <w:rPr>
                <w:sz w:val="24"/>
                <w:szCs w:val="24"/>
                <w:color w:val="auto"/>
              </w:rPr>
            </w:pPr>
          </w:p>
        </w:tc>
        <w:tc>
          <w:tcPr>
            <w:tcW w:w="3460" w:type="dxa"/>
            <w:vAlign w:val="bottom"/>
            <w:gridSpan w:val="3"/>
          </w:tcPr>
          <w:p>
            <w:pPr>
              <w:jc w:val="right"/>
              <w:ind w:right="818"/>
              <w:spacing w:after="0"/>
              <w:rPr>
                <w:sz w:val="20"/>
                <w:szCs w:val="20"/>
                <w:color w:val="auto"/>
              </w:rPr>
            </w:pPr>
            <w:r>
              <w:rPr>
                <w:rFonts w:ascii="Courier New" w:cs="Courier New" w:eastAsia="Courier New" w:hAnsi="Courier New"/>
                <w:sz w:val="16"/>
                <w:szCs w:val="16"/>
                <w:color w:val="auto"/>
              </w:rPr>
              <w:t>Nine Months Ended</w:t>
            </w:r>
          </w:p>
        </w:tc>
        <w:tc>
          <w:tcPr>
            <w:tcW w:w="32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c>
          <w:tcPr>
            <w:tcW w:w="21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2001</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34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Per Share</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Loss</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Amount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Basic EPS................................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952.2</w:t>
            </w:r>
          </w:p>
        </w:tc>
        <w:tc>
          <w:tcPr>
            <w:tcW w:w="1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$545.1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949.3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$0.58</w:t>
            </w:r>
          </w:p>
        </w:tc>
      </w:tr>
      <w:tr>
        <w:trPr>
          <w:trHeight w:val="379"/>
        </w:trPr>
        <w:tc>
          <w:tcPr>
            <w:tcW w:w="41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Effect of Dilutive Securities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conversion of Series B</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convertible preferred stock.........</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spacing w:after="0"/>
              <w:rPr>
                <w:sz w:val="16"/>
                <w:szCs w:val="16"/>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exercise of stock option</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 restricted stock plans.........</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w:t>
            </w: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Diluted EPS..............................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952.2</w:t>
            </w:r>
          </w:p>
        </w:tc>
        <w:tc>
          <w:tcPr>
            <w:tcW w:w="1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$545.1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964.7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$0.56</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bl>
    <w:p>
      <w:pPr>
        <w:spacing w:after="0" w:line="384"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with AT&amp;T Broadband</w:t>
      </w:r>
    </w:p>
    <w:p>
      <w:pPr>
        <w:spacing w:after="0" w:line="8"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19, 2001, the Company entered into an Agreement and Plan of Merger with AT&amp;T Corp. ("AT&amp;T") pursuant to which the Company agreed to a transaction which will result in the combination of the Company and AT&amp;T Broadband Corp. ("Broadband"), a holding company of AT&amp;T's broadband business ("AT&amp;T Broadband") that AT&amp;T will spin off to its shareholders immediately prior to the combination. On July 10, 2002, shareholders of both the Company and AT&amp;T approved the transaction. As of September 30, 2002, AT&amp;T Broadband served approximately 13.1 million subscribers.</w:t>
      </w:r>
    </w:p>
    <w:p>
      <w:pPr>
        <w:spacing w:after="0" w:line="189"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complete the AT&amp;T Broadband transaction will consist of shares of the combined company's common stock, assumed debt of Broadband's subsidiaries, intercompany indebtedness Broadband must pay AT&amp;T upon closing, the Company's transaction costs directly related to the AT&amp;T Broadband transaction, and, pursuant to an amendment to the original agreement as discussed below, the assumption of certain AT&amp;T indebtedness.</w:t>
      </w:r>
    </w:p>
    <w:p>
      <w:pPr>
        <w:spacing w:after="0" w:line="189"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AT&amp;T Broadband transaction, each Comcast shareholder will receive one share of a corresponding class of stock of the combined company for each share of a class of common stock of Comcast held at the time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w:t>
      </w: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40"/>
          </w:cols>
          <w:pgMar w:left="240" w:top="685" w:right="819" w:bottom="619" w:gutter="0" w:footer="0" w:header="0"/>
        </w:sectPr>
      </w:pPr>
    </w:p>
    <w:bookmarkStart w:id="9" w:name="page10"/>
    <w:bookmarkEnd w:id="9"/>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AT&amp;T Broadband shares that Microsoft will receive immediately prior to the completion of the transaction for settlement of their $5 billion aggregate principal amount in quarterly income preferred securities.</w:t>
      </w:r>
    </w:p>
    <w:p>
      <w:pPr>
        <w:spacing w:after="0" w:line="185"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Excluding AT&amp;T Broadband's exchangeable notes, which are mandatorily redeemable at AT&amp;T Broadband's option into shares of certain publicly traded companies held by AT&amp;T Broadband, the Company currently estimates that the combined company will require approximately $20 billion of assumed, refinanced and new indebtedness upon completion of the AT&amp;T Broadband transaction.</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Subsequent to the original merger agreement, economic and business factors led the Company and AT&amp;T to agree to change the form of consideration to be paid in the AT&amp;T Broadband transaction. On August 12, 2002, AT&amp;T filed a registration statement with the SEC for a proposed exchange offer relating to $11.8 billion aggregate principal amount of AT&amp;T's existing debt securities. The exchange offer, if successful, would result in the assumption of a portion of AT&amp;T's indebtedness by AT&amp;T Broadband (and a corresponding decrease in the amount of intercompany indebtedness Broadband must pay AT&amp;T upon closing). The exchange offer is subject to market conditions and is expected to close in November 2002.</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Modification of the original merger agreement to provide for the assumption of a portion of AT&amp;T's debt securities by Broadband and the related reduction in the intercompany indebtedness represents a substantive change in the non-equity, or "other," consideration being paid in the AT&amp;T Broadband transaction, resulting in a new measurement date for determining the value of the Comcast common stock used to value the combined company securities to be issued in the AT&amp;T Broadband transaction. Absent the modification of the original merger agreement, the measurement date would have been the date the terms of the merger agreement were agreed to and announced. The new measurement date is established as of the date of the substantive modification of the original merger agreement and applies irrespective of whether the exchange offer is completed. The fair value of the shares to be issued for AT&amp;T Broadband will be based on a price per share of $18.80 which reflects the weighted average market price of Comcast common stock during the period beginning two days before and ending two days after the new measurement date.</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limited circumstances, the number of shares of combined company stock to be issued to certain AT&amp;T security holders in connection with the AT&amp;T Broadband transaction is subject to adjustment. If this occurs, the fair value of all of the shares to be issued would be based on the market price of Comcast common stock on the closing date of the AT&amp;T Broadband transaction.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The Company</w:t>
            </w:r>
          </w:p>
        </w:tc>
        <w:tc>
          <w:tcPr>
            <w:tcW w:w="7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expects</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that the</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3"/>
              </w:rPr>
              <w:t>AT&amp;T</w:t>
            </w:r>
          </w:p>
        </w:tc>
        <w:tc>
          <w:tcPr>
            <w:tcW w:w="10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Broadband</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transaction</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will qualify as</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tax-free</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both</w:t>
            </w:r>
          </w:p>
        </w:tc>
        <w:tc>
          <w:tcPr>
            <w:tcW w:w="1200" w:type="dxa"/>
            <w:vAlign w:val="bottom"/>
            <w:gridSpan w:val="2"/>
          </w:tcPr>
          <w:p>
            <w:pPr>
              <w:spacing w:after="0"/>
              <w:rPr>
                <w:sz w:val="20"/>
                <w:szCs w:val="20"/>
                <w:color w:val="auto"/>
              </w:rPr>
            </w:pPr>
            <w:r>
              <w:rPr>
                <w:rFonts w:ascii="Courier New" w:cs="Courier New" w:eastAsia="Courier New" w:hAnsi="Courier New"/>
                <w:sz w:val="16"/>
                <w:szCs w:val="16"/>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and to</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AT&amp;T.  The</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transaction</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is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subject to</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customary</w:t>
            </w:r>
          </w:p>
        </w:tc>
        <w:tc>
          <w:tcPr>
            <w:tcW w:w="8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closing</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conditions</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regulatory</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and other</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approvals.  The</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expects</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to</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close  the AT&amp;T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Broadband</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transaction</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by</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the end of</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4"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AT&amp;T Broadband holds an approximate 27.6% interest in Time Warner Entertainment Company L.P. ("TWE"). On August 21, 2002, AT&amp;T and the Company announced that they had entered into an agreement with AOL Time Warner providing for the restructuring of TWE. The restructuring agreement is intended to provide for a more orderly and timely disposition of AT&amp;T Broadband's ownership interest in TWE than would likely be available under the registration rights provisions of the existing TWE partnership agreement. As part of the restructuring, TWE will distribute to AOL Time Warner all of TWE's major content assets, which include Home Box Office, Warner Bros., and stakes in The WB Network, Comedy Central and Court TV, and receive in exchange therefor AOL Time Warner's cable assets not currently held through TWE. Upon closing of the restructuring agreement, AT&amp;T Broadband will receive $1.5 billion in common stock of AOL Time Warner (valued at the time of the closing and subject to certain limitations), and an approximate 21% equity interest in the successor entity to TWE</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19"/>
          </w:cols>
          <w:pgMar w:left="740" w:top="685" w:right="1440" w:bottom="50" w:gutter="0" w:footer="0" w:header="0"/>
        </w:sectPr>
      </w:pPr>
    </w:p>
    <w:bookmarkStart w:id="10" w:name="page11"/>
    <w:bookmarkEnd w:id="10"/>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("Time Warner Cable", which will then hold all of AOL Time Warner's cable properties), in exchange for its approximate 27.6% interest in TWE. AT&amp;T Broadband will also receive $2.1 billion in cash. Upon consummation of the AT&amp;T Broadband transaction, the combined company will assume all of AT&amp;T Broadband's interest in TWE. Time Warner Cable is expected to conduct an initial public offering of common stock following closing under the restructuring agreement. Also, under the restructuring agreement, the combined company will have registration rights enabling it to dispose of its shares in Time Warner Cable and in AOL Time Warner.</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As part of the process of obtaining approval of the AT&amp;T Broadband transaction from the Federal Communications Commission ("FCC"), AT&amp;T and the Company will, at the closing of the AT&amp;T Broadband transaction, place AT&amp;T's entire interest in TWE in trust for orderly disposition. Any non-cash consideration received in respect of such interest as a result of the TWE restructuring, including the AOL Time Warner and Time Warner Cable common stock, will remain in trust until disposed of or FCC approval is obtained to remove such interests from the trust.</w:t>
      </w:r>
    </w:p>
    <w:p>
      <w:pPr>
        <w:spacing w:after="0" w:line="190"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As a condition of the closing of the TWE restructuring, the combined company will enter into a three-year nonexclusive agreement with AOL Time Warner under which the AOL High-Speed Broadband service would be made available over a three-year period on certain of the combined company's cable systems which pass approximately 10 million homes.</w:t>
      </w:r>
    </w:p>
    <w:p>
      <w:pPr>
        <w:spacing w:after="0" w:line="186"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The TWE restructuring is subject to receipt of certain regulatory approvals and other closing conditions, and is expected to close during the first quarter of 2003. If the restructuring agreement is terminated without the restructuring being consummated, the parties will return to the registration rights process under the TWE partnership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Information</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w:t>
      </w:r>
    </w:p>
    <w:p>
      <w:pPr>
        <w:spacing w:after="0" w:line="200" w:lineRule="exact"/>
        <w:rPr>
          <w:sz w:val="20"/>
          <w:szCs w:val="20"/>
          <w:color w:val="auto"/>
        </w:rPr>
      </w:pP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(Amounts in millions,</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except per share data)</w:t>
            </w:r>
          </w:p>
        </w:tc>
      </w:tr>
      <w:tr>
        <w:trPr>
          <w:trHeight w:val="190"/>
        </w:trPr>
        <w:tc>
          <w:tcPr>
            <w:tcW w:w="5520" w:type="dxa"/>
            <w:vAlign w:val="bottom"/>
          </w:tcPr>
          <w:p>
            <w:pPr>
              <w:spacing w:after="0"/>
              <w:rPr>
                <w:sz w:val="16"/>
                <w:szCs w:val="16"/>
                <w:color w:val="auto"/>
              </w:rPr>
            </w:pPr>
          </w:p>
        </w:tc>
        <w:tc>
          <w:tcPr>
            <w:tcW w:w="2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September 30, 2001</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569"/>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$7,222.8</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 accounting change....</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$487.9</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$872.4</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$0.90</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 $1.199 billion, representing the difference between the estimated fair value of $1.799 billion as of the closing date of the transaction and the Company's cost basis in the systems exchanged (see Note 9).</w:t>
      </w:r>
    </w:p>
    <w:p>
      <w:pPr>
        <w:spacing w:after="0" w:line="19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19"/>
          </w:cols>
          <w:pgMar w:left="740" w:top="685" w:right="1440" w:bottom="1440" w:gutter="0" w:footer="0" w:header="0"/>
        </w:sectPr>
      </w:pPr>
    </w:p>
    <w:bookmarkStart w:id="11" w:name="page12"/>
    <w:bookmarkEnd w:id="11"/>
    <w:p>
      <w:pPr>
        <w:jc w:val="center"/>
        <w:ind w:right="2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8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September 30,</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220" w:type="dxa"/>
            <w:vAlign w:val="bottom"/>
          </w:tcPr>
          <w:p>
            <w:pPr>
              <w:spacing w:after="0"/>
              <w:rPr>
                <w:sz w:val="16"/>
                <w:szCs w:val="16"/>
                <w:color w:val="auto"/>
              </w:rPr>
            </w:pPr>
          </w:p>
        </w:tc>
        <w:tc>
          <w:tcPr>
            <w:tcW w:w="18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2002</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334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(Dollars in millions)</w:t>
            </w:r>
          </w:p>
        </w:tc>
      </w:tr>
      <w:tr>
        <w:trPr>
          <w:trHeight w:val="379"/>
        </w:trPr>
        <w:tc>
          <w:tcPr>
            <w:tcW w:w="6220" w:type="dxa"/>
            <w:vAlign w:val="bottom"/>
          </w:tcPr>
          <w:p>
            <w:pPr>
              <w:jc w:val="right"/>
              <w:ind w:right="4458"/>
              <w:spacing w:after="0"/>
              <w:rPr>
                <w:sz w:val="20"/>
                <w:szCs w:val="20"/>
                <w:color w:val="auto"/>
              </w:rPr>
            </w:pPr>
            <w:r>
              <w:rPr>
                <w:rFonts w:ascii="Courier New" w:cs="Courier New" w:eastAsia="Courier New" w:hAnsi="Courier New"/>
                <w:sz w:val="16"/>
                <w:szCs w:val="16"/>
                <w:color w:val="auto"/>
              </w:rPr>
              <w:t>Fair value method</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AT&amp;T Corp............................................</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$498.6</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$1,514.9</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Sprint Corp. PCS Group...............................</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439.7</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2,109.5</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Other................................................</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71.7</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227.2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1,010.0</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3,851.6</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Cost method.................................................</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124.2</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143.6</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Equity method...............................................</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357.3</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307.2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1,491.5</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4,302.4</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Less, current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905.9</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2,623.2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Non-current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$585.6</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$1,679.2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Fair Value Method</w:t>
      </w:r>
    </w:p>
    <w:p>
      <w:pPr>
        <w:spacing w:after="0" w:line="8" w:lineRule="exact"/>
        <w:rPr>
          <w:sz w:val="20"/>
          <w:szCs w:val="20"/>
          <w:color w:val="auto"/>
        </w:rPr>
      </w:pPr>
    </w:p>
    <w:p>
      <w:pPr>
        <w:jc w:val="both"/>
        <w:ind w:left="500" w:right="2760"/>
        <w:spacing w:after="0" w:line="251"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September 30, 2002 and December 31, 2001 of $71.1 million and $280.3 million, respectively, have been reported in the Company's balance sheet principally as a component of accumulated other comprehensive income (loss), net of related deferred income taxes of $24.9 million and $95.3 million, respectively.</w:t>
      </w:r>
    </w:p>
    <w:p>
      <w:pPr>
        <w:spacing w:after="0" w:line="190" w:lineRule="exact"/>
        <w:rPr>
          <w:sz w:val="20"/>
          <w:szCs w:val="20"/>
          <w:color w:val="auto"/>
        </w:rPr>
      </w:pPr>
    </w:p>
    <w:p>
      <w:pPr>
        <w:ind w:left="500"/>
        <w:spacing w:after="0"/>
        <w:tabs>
          <w:tab w:leader="none" w:pos="3620" w:val="left"/>
          <w:tab w:leader="none" w:pos="4820" w:val="left"/>
        </w:tabs>
        <w:rPr>
          <w:sz w:val="20"/>
          <w:szCs w:val="20"/>
          <w:color w:val="auto"/>
        </w:rPr>
      </w:pPr>
      <w:r>
        <w:rPr>
          <w:rFonts w:ascii="Courier New" w:cs="Courier New" w:eastAsia="Courier New" w:hAnsi="Courier New"/>
          <w:sz w:val="16"/>
          <w:szCs w:val="16"/>
          <w:color w:val="auto"/>
        </w:rPr>
        <w:t>The cost, fair value and gross</w:t>
        <w:tab/>
        <w:t>unrealized</w:t>
        <w:tab/>
        <w:t>gains and losses related to the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September 30,</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2002</w:t>
            </w:r>
          </w:p>
        </w:tc>
        <w:tc>
          <w:tcPr>
            <w:tcW w:w="16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640" w:type="dxa"/>
            <w:vAlign w:val="bottom"/>
          </w:tcPr>
          <w:p>
            <w:pPr>
              <w:spacing w:after="0"/>
              <w:rPr>
                <w:sz w:val="16"/>
                <w:szCs w:val="16"/>
                <w:color w:val="auto"/>
              </w:rPr>
            </w:pPr>
          </w:p>
        </w:tc>
        <w:tc>
          <w:tcPr>
            <w:tcW w:w="35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(Dollars in millions)</w:t>
            </w:r>
          </w:p>
        </w:tc>
      </w:tr>
      <w:tr>
        <w:trPr>
          <w:trHeight w:val="569"/>
        </w:trPr>
        <w:tc>
          <w:tcPr>
            <w:tcW w:w="664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$470.8</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$1,355.0</w:t>
            </w:r>
          </w:p>
        </w:tc>
      </w:tr>
      <w:tr>
        <w:trPr>
          <w:trHeight w:val="190"/>
        </w:trPr>
        <w:tc>
          <w:tcPr>
            <w:tcW w:w="6640" w:type="dxa"/>
            <w:vAlign w:val="bottom"/>
          </w:tcPr>
          <w:p>
            <w:pPr>
              <w:spacing w:after="0"/>
              <w:rPr>
                <w:sz w:val="20"/>
                <w:szCs w:val="20"/>
                <w:color w:val="auto"/>
              </w:rPr>
            </w:pPr>
            <w:r>
              <w:rPr>
                <w:rFonts w:ascii="Courier New" w:cs="Courier New" w:eastAsia="Courier New" w:hAnsi="Courier New"/>
                <w:sz w:val="16"/>
                <w:szCs w:val="16"/>
                <w:color w:val="auto"/>
              </w:rPr>
              <w:t>Gross unrealized gains...........................................</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73.9</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283.2</w:t>
            </w:r>
          </w:p>
        </w:tc>
      </w:tr>
      <w:tr>
        <w:trPr>
          <w:trHeight w:val="190"/>
        </w:trPr>
        <w:tc>
          <w:tcPr>
            <w:tcW w:w="6640" w:type="dxa"/>
            <w:vAlign w:val="bottom"/>
          </w:tcPr>
          <w:p>
            <w:pPr>
              <w:spacing w:after="0"/>
              <w:rPr>
                <w:sz w:val="20"/>
                <w:szCs w:val="20"/>
                <w:color w:val="auto"/>
              </w:rPr>
            </w:pPr>
            <w:r>
              <w:rPr>
                <w:rFonts w:ascii="Courier New" w:cs="Courier New" w:eastAsia="Courier New" w:hAnsi="Courier New"/>
                <w:sz w:val="16"/>
                <w:szCs w:val="16"/>
                <w:color w:val="auto"/>
              </w:rPr>
              <w:t>Gross unrealized losses..........................................</w:t>
            </w:r>
          </w:p>
        </w:tc>
        <w:tc>
          <w:tcPr>
            <w:tcW w:w="1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64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$541.9</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$1,635.3</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Derivatives</w:t>
      </w:r>
    </w:p>
    <w:p>
      <w:pPr>
        <w:spacing w:after="0" w:line="8" w:lineRule="exact"/>
        <w:rPr>
          <w:sz w:val="20"/>
          <w:szCs w:val="20"/>
          <w:color w:val="auto"/>
        </w:rPr>
      </w:pPr>
    </w:p>
    <w:p>
      <w:pPr>
        <w:jc w:val="both"/>
        <w:ind w:left="500" w:right="2760"/>
        <w:spacing w:after="0" w:line="251"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90" w:lineRule="exact"/>
        <w:rPr>
          <w:sz w:val="20"/>
          <w:szCs w:val="20"/>
          <w:color w:val="auto"/>
        </w:rPr>
      </w:pPr>
    </w:p>
    <w:p>
      <w:pPr>
        <w:ind w:left="500" w:right="2760"/>
        <w:spacing w:after="0" w:line="251" w:lineRule="auto"/>
        <w:rPr>
          <w:sz w:val="20"/>
          <w:szCs w:val="20"/>
          <w:color w:val="auto"/>
        </w:rPr>
      </w:pPr>
      <w:r>
        <w:rPr>
          <w:rFonts w:ascii="Courier New" w:cs="Courier New" w:eastAsia="Courier New" w:hAnsi="Courier New"/>
          <w:sz w:val="16"/>
          <w:szCs w:val="16"/>
          <w:color w:val="auto"/>
        </w:rPr>
        <w:t>The unrealized pre-tax losses on cash flow hedges as of September 30, 2002 and December 31, 2001 of $305.4 million and $0.9 million have been reported in the Company's balance sheet as a component of accumulated other comprehensive income (loss), net of related deferred income taxes of $106.9 million and $0.3 million, respectively. The unrealized pre-tax losses on cash flow hedges as of September 30, 2002 consist primarily of the unrealized pre-tax loss of $297.6 million related to the Company's interest rate lock agreements ("Rate Locks") which has been</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640"/>
          </w:cols>
          <w:pgMar w:left="240" w:top="685" w:right="1019" w:bottom="50" w:gutter="0" w:footer="0" w:header="0"/>
        </w:sectPr>
      </w:pPr>
    </w:p>
    <w:bookmarkStart w:id="12" w:name="page13"/>
    <w:bookmarkEnd w:id="12"/>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3160"/>
        <w:spacing w:after="0" w:line="255" w:lineRule="auto"/>
        <w:rPr>
          <w:sz w:val="20"/>
          <w:szCs w:val="20"/>
          <w:color w:val="auto"/>
        </w:rPr>
      </w:pPr>
      <w:r>
        <w:rPr>
          <w:rFonts w:ascii="Courier New" w:cs="Courier New" w:eastAsia="Courier New" w:hAnsi="Courier New"/>
          <w:sz w:val="16"/>
          <w:szCs w:val="16"/>
          <w:color w:val="auto"/>
        </w:rPr>
        <w:t>reported as a component of accumulated other comprehensive income (loss), net of related deferred income taxes of $104.2 million (see Note 7).</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 Income (Expense)</w:t>
      </w:r>
    </w:p>
    <w:p>
      <w:pPr>
        <w:spacing w:after="0" w:line="8" w:lineRule="exact"/>
        <w:rPr>
          <w:sz w:val="20"/>
          <w:szCs w:val="20"/>
          <w:color w:val="auto"/>
        </w:rPr>
      </w:pPr>
    </w:p>
    <w:p>
      <w:pPr>
        <w:jc w:val="both"/>
        <w:ind w:left="500" w:right="3160"/>
        <w:spacing w:after="0" w:line="255"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4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Three Months Ended</w:t>
            </w:r>
          </w:p>
        </w:tc>
        <w:tc>
          <w:tcPr>
            <w:tcW w:w="23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960" w:type="dxa"/>
            <w:vAlign w:val="bottom"/>
          </w:tcPr>
          <w:p>
            <w:pPr>
              <w:spacing w:after="0"/>
              <w:rPr>
                <w:sz w:val="16"/>
                <w:szCs w:val="16"/>
                <w:color w:val="auto"/>
              </w:rPr>
            </w:pPr>
          </w:p>
        </w:tc>
        <w:tc>
          <w:tcPr>
            <w:tcW w:w="24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Interest and dividend income................................</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$25.6</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$26.1</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$60.6</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(100.6)</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476.8</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Investment impairment losses................................</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(227.2)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(954.8)</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Reclassification of unrealized gains........................</w:t>
            </w:r>
          </w:p>
        </w:tc>
        <w:tc>
          <w:tcPr>
            <w:tcW w:w="11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237.9</w:t>
            </w:r>
          </w:p>
        </w:tc>
        <w:tc>
          <w:tcPr>
            <w:tcW w:w="128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1,330.3</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(181.2)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154.5</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(1,620.9)</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420.1</w:t>
            </w:r>
          </w:p>
        </w:tc>
      </w:tr>
      <w:tr>
        <w:trPr>
          <w:trHeight w:val="190"/>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to Sprint PCS common stock.............................</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138.7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1,309.8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(311.7)</w:t>
            </w:r>
          </w:p>
        </w:tc>
      </w:tr>
      <w:tr>
        <w:trPr>
          <w:trHeight w:val="190"/>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hedged items...........................................</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(13.8)</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29.0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(147.6)</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$328.3</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($760.4)</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jc w:val="both"/>
        <w:ind w:left="500" w:right="3160"/>
        <w:spacing w:after="0" w:line="253" w:lineRule="auto"/>
        <w:rPr>
          <w:sz w:val="20"/>
          <w:szCs w:val="20"/>
          <w:color w:val="auto"/>
        </w:rPr>
      </w:pPr>
      <w:r>
        <w:rPr>
          <w:rFonts w:ascii="Courier New" w:cs="Courier New" w:eastAsia="Courier New" w:hAnsi="Courier New"/>
          <w:sz w:val="16"/>
          <w:szCs w:val="16"/>
          <w:color w:val="auto"/>
        </w:rPr>
        <w:t>The investment impairment losses for the nine months ended September 30, 2002 and 2001 relate principally to other than temporary declines in the Company's investment in AT&amp;T.</w:t>
      </w:r>
    </w:p>
    <w:p>
      <w:pPr>
        <w:spacing w:after="0" w:line="185" w:lineRule="exact"/>
        <w:rPr>
          <w:sz w:val="20"/>
          <w:szCs w:val="20"/>
          <w:color w:val="auto"/>
        </w:rPr>
      </w:pPr>
    </w:p>
    <w:p>
      <w:pPr>
        <w:jc w:val="both"/>
        <w:ind w:left="500" w:right="3160"/>
        <w:spacing w:after="0" w:line="251" w:lineRule="auto"/>
        <w:rPr>
          <w:sz w:val="20"/>
          <w:szCs w:val="20"/>
          <w:color w:val="auto"/>
        </w:rPr>
      </w:pPr>
      <w:r>
        <w:rPr>
          <w:rFonts w:ascii="Courier New" w:cs="Courier New" w:eastAsia="Courier New" w:hAnsi="Courier New"/>
          <w:sz w:val="16"/>
          <w:szCs w:val="16"/>
          <w:color w:val="auto"/>
        </w:rPr>
        <w:t>During the three months ended September 30, 2001, the Company wrote-off its investment in Excite@Home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Excite@Home common stock which was previously recorded as a component of accumulated other comprehensive income (loss). The Company recorded this accumulated unrealized gain prior to the Company's designation of its right under a stockholders agreement as a hedge of the Company's investment in the Excite@Home common stock.</w:t>
      </w:r>
    </w:p>
    <w:p>
      <w:pPr>
        <w:spacing w:after="0" w:line="190" w:lineRule="exact"/>
        <w:rPr>
          <w:sz w:val="20"/>
          <w:szCs w:val="20"/>
          <w:color w:val="auto"/>
        </w:rPr>
      </w:pPr>
    </w:p>
    <w:p>
      <w:pPr>
        <w:jc w:val="both"/>
        <w:ind w:left="500" w:right="3160"/>
        <w:spacing w:after="0" w:line="251" w:lineRule="auto"/>
        <w:rPr>
          <w:sz w:val="20"/>
          <w:szCs w:val="20"/>
          <w:color w:val="auto"/>
        </w:rPr>
      </w:pPr>
      <w:r>
        <w:rPr>
          <w:rFonts w:ascii="Courier New" w:cs="Courier New" w:eastAsia="Courier New" w:hAnsi="Courier New"/>
          <w:sz w:val="16"/>
          <w:szCs w:val="16"/>
          <w:color w:val="auto"/>
        </w:rPr>
        <w:t>The Company reclassified its investment in Sprint PCS from an available for sale security to a trading security in connection with the adoption of SFAS No. 133 on January 1, 2001. In connection with this reclassification, the Company recorded to investment income (expense) the accumulated unrealized gain of $1.092 billion on the Company's investment in Sprint PCS which was previously recorded as a component of accumulated other comprehensive income (loss).</w:t>
      </w:r>
    </w:p>
    <w:p>
      <w:pPr>
        <w:spacing w:after="0" w:line="190" w:lineRule="exact"/>
        <w:rPr>
          <w:sz w:val="20"/>
          <w:szCs w:val="20"/>
          <w:color w:val="auto"/>
        </w:rPr>
      </w:pPr>
    </w:p>
    <w:p>
      <w:pPr>
        <w:ind w:left="500" w:hanging="499"/>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97" w:lineRule="exact"/>
        <w:rPr>
          <w:rFonts w:ascii="Courier New" w:cs="Courier New" w:eastAsia="Courier New" w:hAnsi="Courier New"/>
          <w:sz w:val="16"/>
          <w:szCs w:val="16"/>
          <w:color w:val="auto"/>
        </w:rPr>
      </w:pPr>
    </w:p>
    <w:p>
      <w:pPr>
        <w:ind w:left="500" w:right="316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Corporate</w:t>
            </w:r>
          </w:p>
        </w:tc>
        <w:tc>
          <w:tcPr>
            <w:tcW w:w="1320" w:type="dxa"/>
            <w:vAlign w:val="bottom"/>
          </w:tcPr>
          <w:p>
            <w:pPr>
              <w:spacing w:after="0"/>
              <w:rPr>
                <w:sz w:val="16"/>
                <w:szCs w:val="16"/>
                <w:color w:val="auto"/>
              </w:rPr>
            </w:pPr>
          </w:p>
        </w:tc>
      </w:tr>
      <w:tr>
        <w:trPr>
          <w:trHeight w:val="190"/>
        </w:trPr>
        <w:tc>
          <w:tcPr>
            <w:tcW w:w="4780" w:type="dxa"/>
            <w:vAlign w:val="bottom"/>
          </w:tcPr>
          <w:p>
            <w:pPr>
              <w:spacing w:after="0"/>
              <w:rPr>
                <w:sz w:val="16"/>
                <w:szCs w:val="16"/>
                <w:color w:val="auto"/>
              </w:rPr>
            </w:pPr>
          </w:p>
        </w:tc>
        <w:tc>
          <w:tcPr>
            <w:tcW w:w="14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Cable</w:t>
            </w:r>
          </w:p>
        </w:tc>
        <w:tc>
          <w:tcPr>
            <w:tcW w:w="15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Commerce</w:t>
            </w: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and Other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Balance, December 31, 2001......................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$4,688.4</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$834.8</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$6,289.4</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allocation adjustments.......</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w:t>
            </w:r>
          </w:p>
        </w:tc>
        <w:tc>
          <w:tcPr>
            <w:tcW w:w="154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151.8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Balance, September 30, 2002.....................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$4,693.5</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$834.8</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$918.0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$6,446.3</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4780" w:type="dxa"/>
            <w:vAlign w:val="bottom"/>
          </w:tcPr>
          <w:p>
            <w:pPr>
              <w:jc w:val="right"/>
              <w:ind w:right="1158"/>
              <w:spacing w:after="0"/>
              <w:rPr>
                <w:sz w:val="20"/>
                <w:szCs w:val="20"/>
                <w:color w:val="auto"/>
              </w:rPr>
            </w:pPr>
            <w:r>
              <w:rPr>
                <w:rFonts w:ascii="Courier New" w:cs="Courier New" w:eastAsia="Courier New" w:hAnsi="Courier New"/>
                <w:sz w:val="16"/>
                <w:szCs w:val="16"/>
                <w:color w:val="auto"/>
              </w:rPr>
              <w:t>12</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040"/>
          </w:cols>
          <w:pgMar w:left="240" w:top="685" w:right="619" w:bottom="236" w:gutter="0" w:footer="0" w:header="0"/>
        </w:sectPr>
      </w:pPr>
    </w:p>
    <w:bookmarkStart w:id="13" w:name="page14"/>
    <w:bookmarkEnd w:id="13"/>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During the nine months ended September 30, 2002, the Company recorded the final purchase price allocation related to the Company's acquisition, on October 30, 2001, of Outdoor Life Network, which resulted in an increase in goodwill and a corresponding decrease in cable and satellite television distribution rights. In addition, during the nine months ended September 30, 2002, the Company recorded the final purchase price allocation related to certain of its cable system acquisitions, which resulted in an increase in goodwill and a corresponding decrease in franchise rights.</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As of September 30, 2002, the weighted average amortization period for the Company's intangible assets subject to amortization is 8.1 years and estimated related amortization expense for each of the five years ended December 31 is as follows (in millions):</w:t>
      </w:r>
    </w:p>
    <w:p>
      <w:pPr>
        <w:spacing w:after="0" w:line="376"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$208.2</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$202.3</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$181.8</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$162.4</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bl>
    <w:p>
      <w:pPr>
        <w:spacing w:after="0" w:line="194"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The following pro forma financial information for the three and nine months ended September 30, 2001 is presented as if SFAS No. 142 was adopted as of January 1, 2001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Three Months</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Nine Months</w:t>
            </w:r>
          </w:p>
        </w:tc>
      </w:tr>
      <w:tr>
        <w:trPr>
          <w:trHeight w:val="190"/>
        </w:trPr>
        <w:tc>
          <w:tcPr>
            <w:tcW w:w="5620" w:type="dxa"/>
            <w:vAlign w:val="bottom"/>
          </w:tcPr>
          <w:p>
            <w:pPr>
              <w:spacing w:after="0"/>
              <w:rPr>
                <w:sz w:val="16"/>
                <w:szCs w:val="16"/>
                <w:color w:val="auto"/>
              </w:rPr>
            </w:pPr>
          </w:p>
        </w:tc>
        <w:tc>
          <w:tcPr>
            <w:tcW w:w="21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Ended</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w w:val="99"/>
              </w:rPr>
              <w:t>Ended</w:t>
            </w:r>
          </w:p>
        </w:tc>
      </w:tr>
      <w:tr>
        <w:trPr>
          <w:trHeight w:val="190"/>
        </w:trPr>
        <w:tc>
          <w:tcPr>
            <w:tcW w:w="56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September 30,</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2001</w:t>
            </w:r>
          </w:p>
        </w:tc>
        <w:tc>
          <w:tcPr>
            <w:tcW w:w="19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6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($106.8)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79.4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233.8</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13.0</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283.9</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813.3</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$258.4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$1,989.7</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jc w:val="right"/>
              <w:ind w:right="1898"/>
              <w:spacing w:after="0"/>
              <w:rPr>
                <w:sz w:val="20"/>
                <w:szCs w:val="20"/>
                <w:color w:val="auto"/>
              </w:rPr>
            </w:pPr>
            <w:r>
              <w:rPr>
                <w:rFonts w:ascii="Courier New" w:cs="Courier New" w:eastAsia="Courier New" w:hAnsi="Courier New"/>
                <w:sz w:val="16"/>
                <w:szCs w:val="16"/>
                <w:color w:val="auto"/>
              </w:rPr>
              <w:t>Income before cumulative effect of</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accounting change, 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$258.4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$1,605.2</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Basic EPS</w:t>
            </w:r>
          </w:p>
        </w:tc>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($0.11)</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$0.98</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0.08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0.25</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spacing w:after="0"/>
              <w:rPr>
                <w:sz w:val="16"/>
                <w:szCs w:val="16"/>
                <w:color w:val="auto"/>
              </w:rPr>
            </w:pP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0.30</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0.86</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$0.27</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$2.10</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($0.11)</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$0.96</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0.08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0.24</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spacing w:after="0"/>
              <w:rPr>
                <w:sz w:val="16"/>
                <w:szCs w:val="16"/>
                <w:color w:val="auto"/>
              </w:rPr>
            </w:pP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0.30</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0.85</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$0.27</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$2.06</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758"/>
        </w:trPr>
        <w:tc>
          <w:tcPr>
            <w:tcW w:w="5620" w:type="dxa"/>
            <w:vAlign w:val="bottom"/>
          </w:tcPr>
          <w:p>
            <w:pPr>
              <w:jc w:val="right"/>
              <w:ind w:right="1498"/>
              <w:spacing w:after="0"/>
              <w:rPr>
                <w:sz w:val="20"/>
                <w:szCs w:val="20"/>
                <w:color w:val="auto"/>
              </w:rPr>
            </w:pPr>
            <w:r>
              <w:rPr>
                <w:rFonts w:ascii="Courier New" w:cs="Courier New" w:eastAsia="Courier New" w:hAnsi="Courier New"/>
                <w:sz w:val="16"/>
                <w:szCs w:val="16"/>
                <w:color w:val="auto"/>
              </w:rPr>
              <w:t>13</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14" w:name="page15"/>
    <w:bookmarkEnd w:id="14"/>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September 30, 2002 and December 31, 2001 as the Company has both the ability and the intent to refinance these obligations, if necessary, on a long-term basis with amounts available under the Comcast Cable Revolver.</w:t>
      </w:r>
    </w:p>
    <w:p>
      <w:pPr>
        <w:spacing w:after="0" w:line="189"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Zero Coupon Convertible Debentures</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9"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During the three months ended September 30, 2002, the Company repurchased from holders an aggregate of $167.1 million accreted value of Zero Coupon Debentures for cash. The Company financed the redemption with available cash. As of September 30, 2002, $939.2 million of Zero Coupon Debentures remain outstanding.</w:t>
      </w:r>
    </w:p>
    <w:p>
      <w:pPr>
        <w:spacing w:after="0" w:line="189"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outstanding under the Zero Coupon Debentures are classified as long-term in the Company's balance sheet as of September 30,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89"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September 30, 2002, the number of Sprint PCS shares held by the Company exceeded the number of ZONES outstanding.</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2002 and December 31, 2001, long-term debt includes $577.2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5" w:right="1440" w:bottom="1440" w:gutter="0" w:footer="0" w:header="0"/>
        </w:sectPr>
      </w:pPr>
    </w:p>
    <w:bookmarkStart w:id="15" w:name="page16"/>
    <w:bookmarkEnd w:id="15"/>
    <w:p>
      <w:pPr>
        <w:jc w:val="center"/>
        <w:ind w:right="2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96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Three Months Ended</w:t>
            </w:r>
          </w:p>
        </w:tc>
        <w:tc>
          <w:tcPr>
            <w:tcW w:w="29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680" w:type="dxa"/>
            <w:vAlign w:val="bottom"/>
          </w:tcPr>
          <w:p>
            <w:pPr>
              <w:spacing w:after="0"/>
              <w:rPr>
                <w:sz w:val="16"/>
                <w:szCs w:val="16"/>
                <w:color w:val="auto"/>
              </w:rPr>
            </w:pPr>
          </w:p>
        </w:tc>
        <w:tc>
          <w:tcPr>
            <w:tcW w:w="2960" w:type="dxa"/>
            <w:vAlign w:val="bottom"/>
            <w:gridSpan w:val="2"/>
          </w:tcPr>
          <w:p>
            <w:pPr>
              <w:jc w:val="right"/>
              <w:ind w:right="858"/>
              <w:spacing w:after="0"/>
              <w:rPr>
                <w:sz w:val="20"/>
                <w:szCs w:val="20"/>
                <w:color w:val="auto"/>
              </w:rPr>
            </w:pPr>
            <w:r>
              <w:rPr>
                <w:rFonts w:ascii="Courier New" w:cs="Courier New" w:eastAsia="Courier New" w:hAnsi="Courier New"/>
                <w:sz w:val="16"/>
                <w:szCs w:val="16"/>
                <w:color w:val="auto"/>
              </w:rPr>
              <w:t>September 30,</w:t>
            </w:r>
          </w:p>
        </w:tc>
        <w:tc>
          <w:tcPr>
            <w:tcW w:w="290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2002</w:t>
            </w: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2002</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Debt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$478.9</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$456.2</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$467.4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$445.2</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Derivative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210.2</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1,136.9</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1,145.2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961.3</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Total ..............................</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689.1</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1,593.1</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1,612.6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1,406.5</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Increase in debt component</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 interest expense.......................</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5.6</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17.4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Increase (decrease) in derivative component</w:t>
            </w: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 investment income/expense..............</w:t>
            </w:r>
          </w:p>
        </w:tc>
        <w:tc>
          <w:tcPr>
            <w:tcW w:w="14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(117.8)</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98.5</w:t>
            </w:r>
          </w:p>
        </w:tc>
        <w:tc>
          <w:tcPr>
            <w:tcW w:w="15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(1,052.8)</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274.1</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Balance at End of Period:</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Debt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484.8</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461.8</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484.8</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461.8</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Derivative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92.4</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1,235.4</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92.4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1,235.4</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Total ..............................</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$577.2</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$1,697.2</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$577.2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$1,697.2</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New Credit Facilities</w:t>
      </w:r>
    </w:p>
    <w:p>
      <w:pPr>
        <w:spacing w:after="0" w:line="8"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On May 3, 2002, Broadband and AT&amp;T Comcast Corporation, a company owned 50% each by AT&amp;T and the Company ("AT&amp;T Comcast"), entered into definitive credit agreements with a syndicate of lenders for an aggregate of $12.825 billion of financing to complete the AT&amp;T Broadband transaction (see Note</w:t>
      </w:r>
    </w:p>
    <w:p>
      <w:pPr>
        <w:jc w:val="both"/>
        <w:ind w:left="500" w:right="2660" w:hanging="6"/>
        <w:spacing w:after="0" w:line="251" w:lineRule="auto"/>
        <w:tabs>
          <w:tab w:leader="none" w:pos="7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to provide for the combined company's financing needs after the transaction. Under the terms of the new credit facilities, the obligation of the lenders to provide the financing upon completion of the AT&amp;T Broadband transaction is subject to a number of conditions, including a condition that the combined company holds investment-grade credit ratings from both Standard &amp; Poor's ("S&amp;P") and Moody's Investor Services ("Moody's") ratings agencies at the time of closing. On September 30, 2002, the Company announced that AT&amp;T Comcast had received investment-grade credit ratings from each of S&amp;P and Moody's allowing AT&amp;T Comcast to access all amounts under the credit facilities upon closing of the AT&amp;T Broadband transaction.</w:t>
      </w: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Rates</w:t>
      </w:r>
    </w:p>
    <w:p>
      <w:pPr>
        <w:spacing w:after="0" w:line="8" w:lineRule="exact"/>
        <w:rPr>
          <w:sz w:val="20"/>
          <w:szCs w:val="20"/>
          <w:color w:val="auto"/>
        </w:rPr>
      </w:pPr>
    </w:p>
    <w:p>
      <w:pPr>
        <w:jc w:val="both"/>
        <w:ind w:left="500" w:right="2660"/>
        <w:spacing w:after="0" w:line="252"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(expense), the Company's effective weighted average interest rate on its long-term debt outstanding was 6.58% and 6.03% as of September 30, 2002 and December 31, 2001, respectively.</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 Risk Management</w:t>
      </w:r>
    </w:p>
    <w:p>
      <w:pPr>
        <w:spacing w:after="0" w:line="8"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During the nine months ended September 30, 2002, the Company settled $950.0 million aggregate notional amount of fixed to variable interest rate exchange agreements ("Swaps") and received proceeds of $56.8 million. This amount is being recognized as an adjustment to interest expense over the term of the related debt. During the nine months ended September 30, 2002, variable to fixed Swaps with an aggregate notional amount of $106.9 million expired. As of September 30, 2002, the Company has variable to fixed Swaps with an aggregate notional amount of $143.4 million with an average pay rate of 4.8% and an average receive rate of 1.8%. The Swaps mature between 2002 and 2003.</w:t>
      </w:r>
    </w:p>
    <w:p>
      <w:pPr>
        <w:spacing w:after="0" w:line="190"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In June and July 2002, the Company entered into Rate Locks to hedge the risk that the cash flows related to the interest payments on an anticipated issuance or assumption of certain fixed rate debt in connection with the AT&amp;T Broadband transaction may be adversely affected by interest rate fluctuations (see Note 4). The Rate Locks mature in the fourth quarter of 2002, the timing of the anticipated issuance or assumption of the fixed rate debt. To the extent the Rate Locks are effective in offsetting the variability of the hedged cash flows, changes in the fair value of the Rate Locks are not included in earnings but are reported as a component of accumulated other comprehensive</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540"/>
          </w:cols>
          <w:pgMar w:left="240" w:top="685" w:right="1119" w:bottom="240" w:gutter="0" w:footer="0" w:header="0"/>
        </w:sectPr>
      </w:pPr>
    </w:p>
    <w:bookmarkStart w:id="16" w:name="page17"/>
    <w:bookmarkEnd w:id="16"/>
    <w:p>
      <w:pPr>
        <w:jc w:val="center"/>
        <w:ind w:right="2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580"/>
        <w:spacing w:after="0" w:line="252" w:lineRule="auto"/>
        <w:rPr>
          <w:sz w:val="20"/>
          <w:szCs w:val="20"/>
          <w:color w:val="auto"/>
        </w:rPr>
      </w:pPr>
      <w:r>
        <w:rPr>
          <w:rFonts w:ascii="Courier New" w:cs="Courier New" w:eastAsia="Courier New" w:hAnsi="Courier New"/>
          <w:sz w:val="16"/>
          <w:szCs w:val="16"/>
          <w:color w:val="auto"/>
        </w:rPr>
        <w:t>income (loss) (see Note 5). Upon the issuance or assumption of the debt, the value of the Rate Locks will be recognized as an adjustment to interest expense over the same period in which the related interest costs on the debt are recognized in earnings.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Lines and Letters of Credit</w:t>
      </w:r>
    </w:p>
    <w:p>
      <w:pPr>
        <w:spacing w:after="0" w:line="8" w:lineRule="exact"/>
        <w:rPr>
          <w:sz w:val="20"/>
          <w:szCs w:val="20"/>
          <w:color w:val="auto"/>
        </w:rPr>
      </w:pPr>
    </w:p>
    <w:p>
      <w:pPr>
        <w:jc w:val="both"/>
        <w:ind w:left="500" w:right="2580"/>
        <w:spacing w:after="0" w:line="255" w:lineRule="auto"/>
        <w:rPr>
          <w:sz w:val="20"/>
          <w:szCs w:val="20"/>
          <w:color w:val="auto"/>
        </w:rPr>
      </w:pPr>
      <w:r>
        <w:rPr>
          <w:rFonts w:ascii="Courier New" w:cs="Courier New" w:eastAsia="Courier New" w:hAnsi="Courier New"/>
          <w:sz w:val="16"/>
          <w:szCs w:val="16"/>
          <w:color w:val="auto"/>
        </w:rPr>
        <w:t>As of September 30, 2002, certain subsidiaries of the Company had unused lines of credit of $3.722 billion under their respective credit facilities.</w:t>
      </w:r>
    </w:p>
    <w:p>
      <w:pPr>
        <w:spacing w:after="0" w:line="184" w:lineRule="exact"/>
        <w:rPr>
          <w:sz w:val="20"/>
          <w:szCs w:val="20"/>
          <w:color w:val="auto"/>
        </w:rPr>
      </w:pPr>
    </w:p>
    <w:p>
      <w:pPr>
        <w:jc w:val="both"/>
        <w:ind w:left="500" w:right="2580"/>
        <w:spacing w:after="0" w:line="253" w:lineRule="auto"/>
        <w:rPr>
          <w:sz w:val="20"/>
          <w:szCs w:val="20"/>
          <w:color w:val="auto"/>
        </w:rPr>
      </w:pPr>
      <w:r>
        <w:rPr>
          <w:rFonts w:ascii="Courier New" w:cs="Courier New" w:eastAsia="Courier New" w:hAnsi="Courier New"/>
          <w:sz w:val="16"/>
          <w:szCs w:val="16"/>
          <w:color w:val="auto"/>
        </w:rPr>
        <w:t>As of September 30, 2002, the Company and certain of its subsidiaries had unused irrevocable standby letters of credit totaling $88.1 million to cover potential fundings under various agreements.</w:t>
      </w:r>
    </w:p>
    <w:p>
      <w:pPr>
        <w:spacing w:after="0" w:line="185" w:lineRule="exact"/>
        <w:rPr>
          <w:sz w:val="20"/>
          <w:szCs w:val="20"/>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of Shares</w:t>
      </w:r>
    </w:p>
    <w:p>
      <w:pPr>
        <w:spacing w:after="0" w:line="8" w:lineRule="exact"/>
        <w:rPr>
          <w:rFonts w:ascii="Courier New" w:cs="Courier New" w:eastAsia="Courier New" w:hAnsi="Courier New"/>
          <w:sz w:val="16"/>
          <w:szCs w:val="16"/>
          <w:color w:val="auto"/>
        </w:rPr>
      </w:pPr>
    </w:p>
    <w:p>
      <w:pPr>
        <w:jc w:val="both"/>
        <w:ind w:left="500" w:right="258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8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8" w:lineRule="exact"/>
        <w:rPr>
          <w:rFonts w:ascii="Courier New" w:cs="Courier New" w:eastAsia="Courier New" w:hAnsi="Courier New"/>
          <w:sz w:val="16"/>
          <w:szCs w:val="16"/>
          <w:color w:val="auto"/>
        </w:rPr>
      </w:pPr>
    </w:p>
    <w:p>
      <w:pPr>
        <w:ind w:left="500" w:right="258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3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Three Months Ended</w:t>
            </w:r>
          </w:p>
        </w:tc>
        <w:tc>
          <w:tcPr>
            <w:tcW w:w="2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360" w:type="dxa"/>
            <w:vAlign w:val="bottom"/>
          </w:tcPr>
          <w:p>
            <w:pPr>
              <w:spacing w:after="0"/>
              <w:rPr>
                <w:sz w:val="16"/>
                <w:szCs w:val="16"/>
                <w:color w:val="auto"/>
              </w:rPr>
            </w:pPr>
          </w:p>
        </w:tc>
        <w:tc>
          <w:tcPr>
            <w:tcW w:w="238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2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3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$75.6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Unrealized gains (losses) on marketable securities...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24.7</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(339.6)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265.9</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 (gains)</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36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(157.4)</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203.3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(486.5)</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Unrealized losses on the effective portion of</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360" w:type="dxa"/>
            <w:vAlign w:val="bottom"/>
          </w:tcPr>
          <w:p>
            <w:pPr>
              <w:ind w:left="200"/>
              <w:spacing w:after="0"/>
              <w:rPr>
                <w:sz w:val="20"/>
                <w:szCs w:val="20"/>
                <w:color w:val="auto"/>
              </w:rPr>
            </w:pPr>
            <w:r>
              <w:rPr>
                <w:rFonts w:ascii="Courier New" w:cs="Courier New" w:eastAsia="Courier New" w:hAnsi="Courier New"/>
                <w:sz w:val="16"/>
                <w:szCs w:val="16"/>
                <w:color w:val="auto"/>
              </w:rPr>
              <w:t>cash flow hedges...................................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(197.5)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losses..................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($98.4)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($565.0)</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$696.5</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hanging="499"/>
        <w:spacing w:after="0"/>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7" w:lineRule="exact"/>
        <w:rPr>
          <w:rFonts w:ascii="Courier New" w:cs="Courier New" w:eastAsia="Courier New" w:hAnsi="Courier New"/>
          <w:sz w:val="16"/>
          <w:szCs w:val="16"/>
          <w:color w:val="auto"/>
        </w:rPr>
      </w:pPr>
    </w:p>
    <w:p>
      <w:pPr>
        <w:jc w:val="both"/>
        <w:ind w:left="500" w:right="258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values of the assets and liabilities acquired by the Company through noncash transactions during the nine months ended September 30,</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are as follows (in millions):</w:t>
      </w:r>
    </w:p>
    <w:p>
      <w:pPr>
        <w:spacing w:after="0" w:line="38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Current assets..............................</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$56.6</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Property, plant &amp; equipment.................</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686.1</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Intangible assets...........................</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2,755.8</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Current liabilities.........................</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90"/>
        </w:trPr>
        <w:tc>
          <w:tcPr>
            <w:tcW w:w="2860" w:type="dxa"/>
            <w:vAlign w:val="bottom"/>
          </w:tcPr>
          <w:p>
            <w:pPr>
              <w:spacing w:after="0"/>
              <w:rPr>
                <w:sz w:val="16"/>
                <w:szCs w:val="16"/>
                <w:color w:val="auto"/>
              </w:rPr>
            </w:pP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75"/>
              </w:rPr>
              <w:t>Net assets acquired....................</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$3,461.5</w:t>
            </w:r>
          </w:p>
        </w:tc>
      </w:tr>
      <w:tr>
        <w:trPr>
          <w:trHeight w:val="190"/>
        </w:trPr>
        <w:tc>
          <w:tcPr>
            <w:tcW w:w="2860" w:type="dxa"/>
            <w:vAlign w:val="bottom"/>
          </w:tcPr>
          <w:p>
            <w:pPr>
              <w:spacing w:after="0"/>
              <w:rPr>
                <w:sz w:val="16"/>
                <w:szCs w:val="16"/>
                <w:color w:val="auto"/>
              </w:rPr>
            </w:pP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2860" w:type="dxa"/>
            <w:vAlign w:val="bottom"/>
          </w:tcPr>
          <w:p>
            <w:pPr>
              <w:spacing w:after="0"/>
              <w:rPr>
                <w:sz w:val="24"/>
                <w:szCs w:val="24"/>
                <w:color w:val="auto"/>
              </w:rPr>
            </w:pPr>
          </w:p>
        </w:tc>
        <w:tc>
          <w:tcPr>
            <w:tcW w:w="2860" w:type="dxa"/>
            <w:vAlign w:val="bottom"/>
          </w:tcPr>
          <w:p>
            <w:pPr>
              <w:jc w:val="right"/>
              <w:ind w:right="2578"/>
              <w:spacing w:after="0"/>
              <w:rPr>
                <w:sz w:val="20"/>
                <w:szCs w:val="20"/>
                <w:color w:val="auto"/>
              </w:rPr>
            </w:pPr>
            <w:r>
              <w:rPr>
                <w:rFonts w:ascii="Courier New" w:cs="Courier New" w:eastAsia="Courier New" w:hAnsi="Courier New"/>
                <w:sz w:val="16"/>
                <w:szCs w:val="16"/>
                <w:color w:val="auto"/>
                <w:w w:val="93"/>
              </w:rPr>
              <w:t>16</w:t>
            </w:r>
          </w:p>
        </w:tc>
      </w:tr>
    </w:tbl>
    <w:p>
      <w:pPr>
        <w:sectPr>
          <w:pgSz w:w="11900" w:h="16838" w:orient="portrait"/>
          <w:cols w:equalWidth="0" w:num="1">
            <w:col w:w="10460"/>
          </w:cols>
          <w:pgMar w:left="240" w:top="685" w:right="1199" w:bottom="1440" w:gutter="0" w:footer="0" w:header="0"/>
        </w:sectPr>
      </w:pPr>
    </w:p>
    <w:bookmarkStart w:id="17" w:name="page18"/>
    <w:bookmarkEnd w:id="17"/>
    <w:p>
      <w:pPr>
        <w:jc w:val="center"/>
        <w:ind w:right="2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right="2760"/>
        <w:spacing w:after="0" w:line="255"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Three Months</w:t>
            </w:r>
          </w:p>
        </w:tc>
        <w:tc>
          <w:tcPr>
            <w:tcW w:w="20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Nine Months</w:t>
            </w:r>
          </w:p>
        </w:tc>
      </w:tr>
      <w:tr>
        <w:trPr>
          <w:trHeight w:val="190"/>
        </w:trPr>
        <w:tc>
          <w:tcPr>
            <w:tcW w:w="5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ind w:right="798"/>
              <w:spacing w:after="0"/>
              <w:rPr>
                <w:sz w:val="20"/>
                <w:szCs w:val="20"/>
                <w:color w:val="auto"/>
              </w:rPr>
            </w:pPr>
            <w:r>
              <w:rPr>
                <w:rFonts w:ascii="Courier New" w:cs="Courier New" w:eastAsia="Courier New" w:hAnsi="Courier New"/>
                <w:sz w:val="16"/>
                <w:szCs w:val="16"/>
                <w:color w:val="auto"/>
                <w:w w:val="99"/>
              </w:rPr>
              <w:t>Ended</w:t>
            </w:r>
          </w:p>
        </w:tc>
        <w:tc>
          <w:tcPr>
            <w:tcW w:w="1280" w:type="dxa"/>
            <w:vAlign w:val="bottom"/>
          </w:tcPr>
          <w:p>
            <w:pPr>
              <w:jc w:val="center"/>
              <w:ind w:left="698"/>
              <w:spacing w:after="0"/>
              <w:rPr>
                <w:sz w:val="20"/>
                <w:szCs w:val="20"/>
                <w:color w:val="auto"/>
              </w:rPr>
            </w:pPr>
            <w:r>
              <w:rPr>
                <w:rFonts w:ascii="Courier New" w:cs="Courier New" w:eastAsia="Courier New" w:hAnsi="Courier New"/>
                <w:sz w:val="16"/>
                <w:szCs w:val="16"/>
                <w:color w:val="auto"/>
              </w:rPr>
              <w:t>Ended</w:t>
            </w:r>
          </w:p>
        </w:tc>
        <w:tc>
          <w:tcPr>
            <w:tcW w:w="780" w:type="dxa"/>
            <w:vAlign w:val="bottom"/>
          </w:tcPr>
          <w:p>
            <w:pPr>
              <w:spacing w:after="0"/>
              <w:rPr>
                <w:sz w:val="16"/>
                <w:szCs w:val="16"/>
                <w:color w:val="auto"/>
              </w:rPr>
            </w:pPr>
          </w:p>
        </w:tc>
      </w:tr>
      <w:tr>
        <w:trPr>
          <w:trHeight w:val="190"/>
        </w:trPr>
        <w:tc>
          <w:tcPr>
            <w:tcW w:w="5860" w:type="dxa"/>
            <w:vAlign w:val="bottom"/>
          </w:tcPr>
          <w:p>
            <w:pPr>
              <w:spacing w:after="0"/>
              <w:rPr>
                <w:sz w:val="16"/>
                <w:szCs w:val="16"/>
                <w:color w:val="auto"/>
              </w:rPr>
            </w:pPr>
          </w:p>
        </w:tc>
        <w:tc>
          <w:tcPr>
            <w:tcW w:w="2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September 30,</w:t>
            </w:r>
          </w:p>
        </w:tc>
        <w:tc>
          <w:tcPr>
            <w:tcW w:w="20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86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2002</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8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69"/>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$129.8</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$451.1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$426.5</w:t>
            </w:r>
          </w:p>
        </w:tc>
      </w:tr>
      <w:tr>
        <w:trPr>
          <w:trHeight w:val="190"/>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$53.4</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$211.9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$136.8</w:t>
            </w:r>
          </w:p>
        </w:tc>
      </w:tr>
    </w:tbl>
    <w:p>
      <w:pPr>
        <w:spacing w:after="0" w:line="384" w:lineRule="exact"/>
        <w:rPr>
          <w:sz w:val="20"/>
          <w:szCs w:val="20"/>
          <w:color w:val="auto"/>
        </w:rPr>
      </w:pPr>
    </w:p>
    <w:p>
      <w:pPr>
        <w:ind w:left="500" w:hanging="499"/>
        <w:spacing w:after="0"/>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7"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also an investor in At Home and a former distributor of the At Home service); (ii) class action lawsuits against the Company,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an amended consolidated complaint is required to be served by October 31, 2002.</w:t>
      </w:r>
    </w:p>
    <w:p>
      <w:pPr>
        <w:spacing w:after="0" w:line="190"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Since September 2001, certain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the bankruptcy court-supervised auction, as well as in connection with other aspects of AT&amp;T's relationship with At Home. No such lawsuits have been filed to date. The plan of liquidation in the At Home bankruptcy, approved in October 2002, implements a creditor settlement and provides that all claims of the bankrupt estate of At Home against AT&amp;T and other shareholders will be transferred to a liquidating trust funded with at least $12 million, and as much as $17 million, to finance the litigation of those claims.</w:t>
      </w:r>
    </w:p>
    <w:p>
      <w:pPr>
        <w:spacing w:after="0" w:line="189" w:lineRule="exact"/>
        <w:rPr>
          <w:rFonts w:ascii="Courier New" w:cs="Courier New" w:eastAsia="Courier New" w:hAnsi="Courier New"/>
          <w:sz w:val="16"/>
          <w:szCs w:val="16"/>
          <w:color w:val="auto"/>
        </w:rPr>
      </w:pPr>
    </w:p>
    <w:p>
      <w:pPr>
        <w:jc w:val="both"/>
        <w:ind w:left="500" w:right="276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closing of the AT&amp;T Broadband transaction, the Company will be contractually liable for 50% of any liabilities of AT&amp;T relating to At Home, including any resulting from any such pending or threatened litigation (the "AT&amp;T At Home Potential Liabilities"). AT&amp;T will be liable for the other 50% of such liabilities.</w:t>
      </w:r>
    </w:p>
    <w:p>
      <w:pPr>
        <w:spacing w:after="0" w:line="185"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such claims vigorously. In management's opinion, the final disposition of such claims is not expected to have a material adverse effect on the Company's or, following the closing of the AT&amp;T Broadband transaction, the combined company's, consolidated financial position, but could possibly be material to the consolidated results of operations of any one period. Further, no assurance can be given that any adverse outcome would not be material to such consolidated financial</w:t>
      </w:r>
    </w:p>
    <w:p>
      <w:pPr>
        <w:sectPr>
          <w:pgSz w:w="11900" w:h="16838" w:orient="portrait"/>
          <w:cols w:equalWidth="0" w:num="1">
            <w:col w:w="10640"/>
          </w:cols>
          <w:pgMar w:left="240" w:top="685" w:right="1019"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position.</w:t>
      </w:r>
    </w:p>
    <w:p>
      <w:pPr>
        <w:spacing w:after="0" w:line="198"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19"/>
          </w:cols>
          <w:pgMar w:left="740" w:top="142" w:right="1440" w:bottom="1440" w:gutter="0" w:footer="0" w:header="0"/>
        </w:sectPr>
      </w:pPr>
    </w:p>
    <w:bookmarkStart w:id="19" w:name="page20"/>
    <w:bookmarkEnd w:id="19"/>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Management has no basis for any expectation that the Company's 50% share of the AT&amp;T At Home Potential Liabilities would have a material adverse effect on the combined company's consolidated financial position or results of operations, although no assurance can be given that any adverse outcome would not be material.</w:t>
      </w:r>
    </w:p>
    <w:p>
      <w:pPr>
        <w:spacing w:after="0" w:line="186"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have a material adverse effect on the financial position or results of operations of the Company.</w:t>
      </w:r>
    </w:p>
    <w:p>
      <w:pPr>
        <w:spacing w:after="0" w:line="186"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$225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3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19"/>
          </w:cols>
          <w:pgMar w:left="740" w:top="685" w:right="1440" w:bottom="1440" w:gutter="0" w:footer="0" w:header="0"/>
        </w:sectPr>
      </w:pPr>
    </w:p>
    <w:bookmarkStart w:id="20" w:name="page21"/>
    <w:bookmarkEnd w:id="20"/>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7" w:lineRule="exact"/>
        <w:rPr>
          <w:rFonts w:ascii="Courier New" w:cs="Courier New" w:eastAsia="Courier New" w:hAnsi="Courier New"/>
          <w:sz w:val="16"/>
          <w:szCs w:val="16"/>
          <w:color w:val="auto"/>
        </w:rPr>
      </w:pPr>
    </w:p>
    <w:p>
      <w:pPr>
        <w:jc w:val="both"/>
        <w:ind w:left="500" w:right="316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Corporate and</w:t>
            </w:r>
          </w:p>
        </w:tc>
        <w:tc>
          <w:tcPr>
            <w:tcW w:w="118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Cable</w:t>
            </w:r>
          </w:p>
        </w:tc>
        <w:tc>
          <w:tcPr>
            <w:tcW w:w="14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Commerce</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Other (1)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$1,548.0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$1,011.8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$2,704.7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645.2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825.8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309.1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59.1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395.3</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336.1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158.3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430.5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174.2</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322.0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356.9</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$1,378.5</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$895.1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$127.2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$2,400.8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574.7</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153.7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770.1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878.8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(195.4)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(178.2)</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143.9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450.0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48.1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537.5</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$4,558.2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$2,999.8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$528.1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$8,086.1</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1780" w:type="dxa"/>
            <w:vAlign w:val="bottom"/>
          </w:tcPr>
          <w:p>
            <w:pPr>
              <w:ind w:left="500"/>
              <w:spacing w:after="0"/>
              <w:rPr>
                <w:sz w:val="20"/>
                <w:szCs w:val="20"/>
                <w:color w:val="auto"/>
              </w:rPr>
            </w:pPr>
            <w:r>
              <w:rPr>
                <w:rFonts w:ascii="Courier New" w:cs="Courier New" w:eastAsia="Courier New" w:hAnsi="Courier New"/>
                <w:sz w:val="16"/>
                <w:szCs w:val="16"/>
                <w:color w:val="auto"/>
              </w:rPr>
              <w:t>amortization</w:t>
            </w:r>
          </w:p>
        </w:tc>
        <w:tc>
          <w:tcPr>
            <w:tcW w:w="36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1,895.9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572.2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899.8</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188.2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996.1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489.6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(155.7)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1,330.0</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427.4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107.1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543.5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1,010.7</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110.5</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1,145.8</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$3,898.8</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$2,655.1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$417.6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$6,971.5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1,610.4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486.2</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2,027.7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2,194.9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106.6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138.2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2,439.7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(584.5)</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379.6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(207.1)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(412.0)</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405.6</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124.1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1,400.9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107.4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172.9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1,681.2</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 of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$28,768.4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$2,891.7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$4,117.2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$35,777.3</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7,811.0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2,115.5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9,927.9</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 of December 31,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$29,084.6</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$2,809.2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$6,366.7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8,363.2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62.7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3,315.7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11,741.6</w:t>
            </w:r>
          </w:p>
        </w:tc>
      </w:tr>
    </w:tbl>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_______________</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040"/>
          </w:cols>
          <w:pgMar w:left="240" w:top="685" w:right="619" w:bottom="1440" w:gutter="0" w:footer="0" w:header="0"/>
        </w:sectPr>
      </w:pPr>
    </w:p>
    <w:bookmarkStart w:id="21" w:name="page22"/>
    <w:bookmarkEnd w:id="21"/>
    <w:p>
      <w:pPr>
        <w:jc w:val="center"/>
        <w:ind w:right="281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3"/>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8" w:lineRule="exact"/>
        <w:rPr>
          <w:sz w:val="20"/>
          <w:szCs w:val="20"/>
          <w:color w:val="auto"/>
        </w:rPr>
      </w:pPr>
    </w:p>
    <w:p>
      <w:pPr>
        <w:jc w:val="center"/>
        <w:ind w:right="2713"/>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386" w:right="2339" w:hanging="386"/>
        <w:spacing w:after="0" w:line="252" w:lineRule="auto"/>
        <w:tabs>
          <w:tab w:leader="none" w:pos="38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and cable and satellite television distribution rights and goodwill of the Company's content operations (see Notes 5 and 6).</w:t>
      </w:r>
    </w:p>
    <w:p>
      <w:pPr>
        <w:spacing w:after="0" w:line="185" w:lineRule="exact"/>
        <w:rPr>
          <w:rFonts w:ascii="Courier New" w:cs="Courier New" w:eastAsia="Courier New" w:hAnsi="Courier New"/>
          <w:sz w:val="16"/>
          <w:szCs w:val="16"/>
          <w:color w:val="auto"/>
        </w:rPr>
      </w:pPr>
    </w:p>
    <w:p>
      <w:pPr>
        <w:jc w:val="both"/>
        <w:ind w:left="386" w:right="2339" w:hanging="386"/>
        <w:spacing w:after="0" w:line="251" w:lineRule="auto"/>
        <w:tabs>
          <w:tab w:leader="none" w:pos="38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$162.6 million, $114.0 million, $459.2 million and $348.4 million during the three months ended September 30, 2002 and 2001 and during the nine months ended September 30, 2002 and 2001, respectively, of non-US revenues, principally related to the Company's commerce segment. No single customer accounted for a significant amount of the Company's revenues in any period.</w:t>
      </w:r>
    </w:p>
    <w:p>
      <w:pPr>
        <w:jc w:val="both"/>
        <w:ind w:left="386" w:right="2339" w:hanging="386"/>
        <w:spacing w:after="0" w:line="251" w:lineRule="auto"/>
        <w:tabs>
          <w:tab w:leader="none" w:pos="38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46"/>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25"/>
          </w:cols>
          <w:pgMar w:left="734" w:top="685" w:right="1440" w:bottom="1440" w:gutter="0" w:footer="0" w:header="0"/>
        </w:sectPr>
      </w:pPr>
    </w:p>
    <w:bookmarkStart w:id="22" w:name="page23"/>
    <w:bookmarkEnd w:id="22"/>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left="980" w:right="3019" w:hanging="985"/>
        <w:spacing w:after="0" w:line="255" w:lineRule="auto"/>
        <w:tabs>
          <w:tab w:leader="none" w:pos="9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90"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Except where specifically indicated, the following management's discussion and analysis of financial condition and results of operations does not include the anticipated effects of the AT&amp;T Broadband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Refer to Note 4 to our financial statements included in Item 1 and Note 5 to our financial statements included in our Annual Report on Form 10-K for the year ended December 31, 2001 for a discussion of our acquisitions and other significant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87"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We have both the ability and intent to redeem the $939.2 million outstanding Zero Coupon Debentures with amounts available under subsidiary credit facilities if holders exercise their rights to require us to repurchase the Zero Coupon Debentures in December 2002. As of September 30, 2002, certain of our subsidiaries had unused lines of credit of $3.722 billion under their respective credit facilities.</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Zero Coupon Debentures. Refer to Note 10 to our financial statements included in Item 1 for a discussion of our commitments and contingencies.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Broadband Transaction</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Excluding AT&amp;T Broadband's exchangeable notes, which are mandatorily redeemable at AT&amp;T Broadband's option into shares of certain publicly traded companies held by AT&amp;T Broadband, we currently estimate that the combined company will require approximately $20 billion of assumed, refinanced and new indebtedness upon completion of the AT&amp;T Broadband transaction. Of this $20 billion of indebtedness, approximately $7 billion to $8 billion will be assumed indebtedness of AT&amp;T Broadband's subsidiaries, $9 billion to $10 billion will retire amounts we expect AT&amp;T Broadband Corp. ("Broadband") will owe AT&amp;T Corp. ("AT&amp;T") at, and will be required to pay, upon closing of the AT&amp;T Broadband transaction (subject to offset for amounts of AT&amp;T indebtedness assumed at closing as described in the following paragraph), and $2 billion to $4 billion will be needed to refinance AT&amp;T Broadband debt that will become due on or shortly after the closing of the AT&amp;T Broadband transaction and to provide appropriate cash reserves to fund AT&amp;T Broadband's operations and capital expenditures. We cannot provide assurances that the actual amount of this indebtedness will not exceed $20 billion.</w:t>
      </w:r>
    </w:p>
    <w:p>
      <w:pPr>
        <w:spacing w:after="0" w:line="38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Subsequent to the original merger agreement, economic and business factors led us and AT&amp;T to agree to change the form of consideration to be paid in the AT&amp;T Broadband transaction. On August 12, 2002, AT&amp;T Comcast Corporation ("AT&amp;T Comcast"), along with AT&amp;T, Broadband, two of AT&amp;T's cable subsidiaries and our wholly owned cable subsidiary, Comcast Cable Communications, Inc. ("Comcast Cable") filed a registration statement with the Securities and Exchange Commission for a proposed exchange offer relating to $11.8 billion aggregate principal amount of AT&amp;T's existing debt securities. The exchange offer, if successful, would result in the assumption of a portion of AT&amp;T's indebtedness by AT&amp;T Broadband (and a corresponding decrease in the amount of intercompany indebtedness Broadband must pay AT&amp;T upon closing). The exchange offer is</w:t>
      </w:r>
    </w:p>
    <w:p>
      <w:pPr>
        <w:sectPr>
          <w:pgSz w:w="11900" w:h="16838" w:orient="portrait"/>
          <w:cols w:equalWidth="0" w:num="1">
            <w:col w:w="10219"/>
          </w:cols>
          <w:pgMar w:left="240" w:top="685"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subject to market conditions and is expected to close in November 2002.</w:t>
      </w:r>
    </w:p>
    <w:p>
      <w:pPr>
        <w:sectPr>
          <w:pgSz w:w="11900" w:h="16838" w:orient="portrait"/>
          <w:cols w:equalWidth="0" w:num="1">
            <w:col w:w="10219"/>
          </w:cols>
          <w:pgMar w:left="240" w:top="142" w:right="1440" w:bottom="1440" w:gutter="0" w:footer="0" w:header="0"/>
        </w:sectPr>
      </w:pP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42" w:right="1440" w:bottom="1440" w:gutter="0" w:footer="0" w:header="0"/>
          <w:type w:val="continuous"/>
        </w:sectPr>
      </w:pPr>
    </w:p>
    <w:bookmarkStart w:id="24" w:name="page25"/>
    <w:bookmarkEnd w:id="24"/>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May 3, 2002, Broadband and AT&amp;T Comcast entered into definitive credit agreements with a syndicate of lenders for an aggregate of $12.825 billion of financing to complete the AT&amp;T Broadband transaction and to provide for the combined company's financing needs after the transaction. Under the terms of the new credit facilities, the obligation of the lenders to provide the financing upon completion of the AT&amp;T Broadband transaction is subject to a number of conditions, including a condition that the combined company holds investment-grade credit ratings from both Standard &amp; Poor's ("S&amp;P") and Moody's Investor Services ("Moody's") ratings agencies at the time of closing. On September 30, 2002, we announced that AT&amp;T Comcast had received investment-grade credit ratings from each of S&amp;P and Moody's allowing AT&amp;T Comcast to access all amounts under the credit facilities upon closing of the AT&amp;T Broadband transaction. We therefore expect that we will be able to obtain the necessary financing to complete the AT&amp;T Broadband transaction.</w:t>
      </w:r>
    </w:p>
    <w:p>
      <w:pPr>
        <w:spacing w:after="0" w:line="190"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We may also use other immediately available sources of financing to fund these requirements, including:</w:t>
      </w:r>
    </w:p>
    <w:p>
      <w:pPr>
        <w:spacing w:after="0" w:line="184" w:lineRule="exact"/>
        <w:rPr>
          <w:sz w:val="20"/>
          <w:szCs w:val="20"/>
          <w:color w:val="auto"/>
        </w:rPr>
      </w:pPr>
    </w:p>
    <w:p>
      <w:pPr>
        <w:ind w:left="980" w:hanging="486"/>
        <w:spacing w:after="0"/>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cash, cash equivalents and short- term investments,</w:t>
      </w:r>
    </w:p>
    <w:p>
      <w:pPr>
        <w:spacing w:after="0" w:line="197"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available under our subsidiaries' lines of credit, which totaled $3.722 billion as of September 30, 2002, and</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from the sales of our and AT&amp;T Broadband's investments.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addition, as more fully described in Note 4 to our financial statements included in Item 1 (see "Agreement and Plan of Merger with AT&amp;T Broadband"), upon closing of the Time Warner Entertainment L.P. ("TWE") restructuring agreement, AT&amp;T Broadband will receive $1.5 billion in common stock of AOL Time Warner, an approximate 21% equity interest in Time Warner Cable and $2.1 billion in cash.</w:t>
      </w:r>
    </w:p>
    <w:p>
      <w:pPr>
        <w:spacing w:after="0" w:line="37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Subsequent to closing of the AT&amp;T Broadband transaction, we will have a substantially higher amount of debt, interest expense and capital expenditures at the combined company. If the credit rating agencies determine that the combined company is less creditworthy, on a combined basis, than that of Comcast on an historical basis, it is possible that our cost of and access to capital could be negatively affected.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September 30, 2002 were $1.476 billion, substantially all of which is unrestricted.</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Investments</w:t>
      </w:r>
    </w:p>
    <w:p>
      <w:pPr>
        <w:spacing w:after="0" w:line="198"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A significant portion of our investments are in publicly traded companies and are reflected at fair value which fluctuates with market changes.</w:t>
      </w:r>
    </w:p>
    <w:p>
      <w:pPr>
        <w:spacing w:after="0" w:line="184"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86"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Refer to Note 5 to our financial statements included in Item 1 for a discussion of our investments.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Financing</w:t>
      </w:r>
    </w:p>
    <w:p>
      <w:pPr>
        <w:spacing w:after="0" w:line="198" w:lineRule="exact"/>
        <w:rPr>
          <w:sz w:val="20"/>
          <w:szCs w:val="20"/>
          <w:color w:val="auto"/>
        </w:rPr>
      </w:pPr>
    </w:p>
    <w:p>
      <w:pPr>
        <w:jc w:val="both"/>
        <w:ind w:right="2339" w:firstLine="493"/>
        <w:spacing w:after="0" w:line="257" w:lineRule="auto"/>
        <w:rPr>
          <w:sz w:val="20"/>
          <w:szCs w:val="20"/>
          <w:color w:val="auto"/>
        </w:rPr>
      </w:pPr>
      <w:r>
        <w:rPr>
          <w:rFonts w:ascii="Courier New" w:cs="Courier New" w:eastAsia="Courier New" w:hAnsi="Courier New"/>
          <w:sz w:val="16"/>
          <w:szCs w:val="16"/>
          <w:color w:val="auto"/>
        </w:rPr>
        <w:t>As of September 30, 2002 and December 31, 2001, our long-term debt, including current portion, was $10.042 billion and $12.202 billion, respectively.</w:t>
      </w:r>
    </w:p>
    <w:p>
      <w:pPr>
        <w:spacing w:after="0" w:line="370" w:lineRule="exact"/>
        <w:rPr>
          <w:sz w:val="20"/>
          <w:szCs w:val="20"/>
          <w:color w:val="auto"/>
        </w:rPr>
      </w:pPr>
    </w:p>
    <w:p>
      <w:pPr>
        <w:jc w:val="both"/>
        <w:ind w:right="2339" w:firstLine="493"/>
        <w:spacing w:after="0" w:line="254" w:lineRule="auto"/>
        <w:rPr>
          <w:sz w:val="20"/>
          <w:szCs w:val="20"/>
          <w:color w:val="auto"/>
        </w:rPr>
      </w:pPr>
      <w:r>
        <w:rPr>
          <w:rFonts w:ascii="Courier New" w:cs="Courier New" w:eastAsia="Courier New" w:hAnsi="Courier New"/>
          <w:sz w:val="16"/>
          <w:szCs w:val="16"/>
          <w:color w:val="auto"/>
        </w:rPr>
        <w:t>The $2.160 billion decrease from December 31, 2001 to September 30, 2002 results principally from the $1.035 billion aggregate reduction to the carrying value of our ZONES during 2002, and the effects of our net repayments during 2002.</w:t>
      </w:r>
    </w:p>
    <w:p>
      <w:pPr>
        <w:spacing w:after="0" w:line="372"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Excluding the effects of interest rate risk management instruments, 8.7% and 13.4% of our long- term debt as of September 30, 2002 and December 31, 2001, respectively, was at variable rates.</w:t>
      </w:r>
    </w:p>
    <w:p>
      <w:pPr>
        <w:spacing w:after="0" w:line="185"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We have and may in the future, depending on certain factors including market conditions, make optional repayments on our debt obligations, which may include open market repurchases of our outstanding public notes and debentures.</w:t>
      </w:r>
    </w:p>
    <w:p>
      <w:pPr>
        <w:sectPr>
          <w:pgSz w:w="11900" w:h="16838" w:orient="portrait"/>
          <w:cols w:equalWidth="0" w:num="1">
            <w:col w:w="10219"/>
          </w:cols>
          <w:pgMar w:left="240" w:top="685" w:right="1440" w:bottom="0" w:gutter="0" w:footer="0" w:header="0"/>
        </w:sectPr>
      </w:pPr>
    </w:p>
    <w:bookmarkStart w:id="25" w:name="page26"/>
    <w:bookmarkEnd w:id="25"/>
    <w:p>
      <w:pPr>
        <w:ind w:right="2339" w:firstLine="493"/>
        <w:spacing w:after="0" w:line="255"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long-term debt.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Equity Price Risk</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We have entered into cashless collar agreements (the "Equity Collars") and prepaid forward sales agreements</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31" w:right="1440" w:bottom="1440" w:gutter="0" w:footer="0" w:header="0"/>
        </w:sectPr>
      </w:pPr>
    </w:p>
    <w:bookmarkStart w:id="26" w:name="page27"/>
    <w:bookmarkEnd w:id="26"/>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("Prepaid Forward Sales") which we account for at fair value. The Equity Collars and Prepaid Forward Sales limit our exposure to and benefits from price fluctuations in Sprint PCS common stock.</w:t>
      </w:r>
    </w:p>
    <w:p>
      <w:pPr>
        <w:spacing w:after="0" w:line="185"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During the 2002 and 2001 interim periods, the change in the fair value of our investment in Sprint PCS common stock, classified as a trading security, were substantially offset by the changes in the fair values of the Equity Collars, the derivative components of the ZONES, and the Prepaid Forward Sales. See "Results of Operations - Investment Income (Expense)" below.</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 Risk</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During the nine months ended September 30, 2002, we settled $950.0 million aggregate notional amount of our fixed to variable interest rate exchange agreements ("Swaps") and received proceeds of $56.8 million. This amount is being recognized as an adjustment to interest expense over the term of the related debt. During the nine months ended September 30, 2002, variable to fixed Swaps with an aggregate notional amount of $106.9 million expired. As of September 30, 2002, we have $143.4 million aggregate notional amount of variable to fixed Swaps with an average pay rate of 4.8% and an average receive rate of 1.8%. The Swaps mature between 2002 and 2003.</w:t>
      </w:r>
    </w:p>
    <w:p>
      <w:pPr>
        <w:spacing w:after="0" w:line="19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In June and July 2002, we entered into interest rate lock agreements ("Rate Locks") to hedge the risk that the cash flows related to the interest payments on an anticipated issuance or assumption of certain fixed rate debt in connection with the AT&amp;T Broadband transaction may be adversely affected by interest rate fluctuations. The Rate Locks mature in the fourth quarter of 2002, the timing of the anticipated issuance or assumption of the fixed rate debt.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Accumulated Other Comprehensive Income (Loss)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change in accumulated other comprehensive income (loss) from December 31, 2001 to September 30, 2002 is principally attributable to the unrealized loss on our Rate Locks classified as cash flow hedges entered into in 2002, to declines in unrealized gains on our investments classified as available for sale held throughout the period, and to realized losses on sales of investments and investment impairment losses on investments classified as available for sale during the nine months ended September 30, 2002. Refer to Note 5 to our financial statements included in Item 1.</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Cash and cash equivalents increased $219.8 million as of September 30, 2002 from December 31, 2001. The increase in cash and cash equivalents resulted from cash flows from operating, financing and investing activities which are explained below.</w:t>
      </w:r>
    </w:p>
    <w:p>
      <w:pPr>
        <w:spacing w:after="0" w:line="187"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Net cash provided by operating activities amounted to $2.0 billion for the nine months ended September 30, 2002,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86"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Net cash used in financing activities consists primarily of borrowings and repayments of debt, proceeds from settlement of Swaps, and proceeds from the issuances of our common stock. Net cash used in financing activities was $1.052 billion for the nine months ended September 30, 2002. During the nine months ended September 30, 2002, we borrowed $876.2 million, consisting of:</w:t>
      </w:r>
    </w:p>
    <w:p>
      <w:pPr>
        <w:spacing w:after="0" w:line="186" w:lineRule="exact"/>
        <w:rPr>
          <w:sz w:val="20"/>
          <w:szCs w:val="20"/>
          <w:color w:val="auto"/>
        </w:rPr>
      </w:pPr>
    </w:p>
    <w:p>
      <w:pPr>
        <w:ind w:left="980" w:hanging="486"/>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$443.1 million under Comcast Cable's commercial paper program,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$433.1 million under revolving credit facilities.</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During the nine months ended September 30, 2002, we repaid $2.009 billion of our long-term debt, consisting of:</w:t>
      </w:r>
    </w:p>
    <w:p>
      <w:pPr>
        <w:spacing w:after="0" w:line="184" w:lineRule="exact"/>
        <w:rPr>
          <w:sz w:val="20"/>
          <w:szCs w:val="20"/>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$441.3 million under Comcast Cable's commercial paper program,</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million of our 9.625% Senior Notes due 2002,</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$1.201 billion on certain of our revolving credit facilities,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$167.1 million of our Zero Coupon Debentures.</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In addition, during the nine months ended September 30, 2002, we received proceeds of $56.8 million from settlement of certain of our Swaps and proceeds of $15.0 million from issuances of our common stock.</w:t>
      </w:r>
    </w:p>
    <w:p>
      <w:pPr>
        <w:sectPr>
          <w:pgSz w:w="11900" w:h="16838" w:orient="portrait"/>
          <w:cols w:equalWidth="0" w:num="1">
            <w:col w:w="10219"/>
          </w:cols>
          <w:pgMar w:left="240" w:top="685" w:right="1440" w:bottom="0" w:gutter="0" w:footer="0" w:header="0"/>
        </w:sectPr>
      </w:pPr>
    </w:p>
    <w:bookmarkStart w:id="27" w:name="page28"/>
    <w:bookmarkEnd w:id="27"/>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Net cash used in investing activities includes the effects of acquisitions, net of cash acquired, purchases of investments, capital expenditures, and additions to</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31" w:right="1440" w:bottom="1440" w:gutter="0" w:footer="0" w:header="0"/>
        </w:sectPr>
      </w:pPr>
    </w:p>
    <w:bookmarkStart w:id="28" w:name="page29"/>
    <w:bookmarkEnd w:id="28"/>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intangible and other noncurrent assets, offset by proceeds from sales of investments. Net cash used in investing activities was $728.0 million for the nine months ended September 30, 2002, consisting primarily of capital expenditures of $1.146 billion and additions to intangible and other noncurrent assets of $255.6 million, including $55.5 million related to the satellite and cable television affiliation agreements of QVC and our content subsidiaries. Such amounts were offset, in part, by proceeds from sales of investments of $733.5 million.</w:t>
      </w:r>
    </w:p>
    <w:p>
      <w:pPr>
        <w:spacing w:after="0" w:line="37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w:t>
      </w:r>
    </w:p>
    <w:p>
      <w:pPr>
        <w:spacing w:after="0" w:line="185"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adopted Statement of Financial Accounting Standards ("SFAS") No. 142, "Goodwill and Other Intangible Assets," on January 1, 2002, as required by the new statement. Refer to Notes 2 and 6 to our financial statements included in Item 1 for a discussion of the impact the adoption of the new statement had on our consolidated financial condition and results of operations.</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5" w:right="1440" w:bottom="1440" w:gutter="0" w:footer="0" w:header="0"/>
        </w:sectPr>
      </w:pPr>
    </w:p>
    <w:bookmarkStart w:id="29" w:name="page30"/>
    <w:bookmarkEnd w:id="29"/>
    <w:p>
      <w:pPr>
        <w:jc w:val="center"/>
        <w:ind w:right="29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right="2960" w:firstLine="493"/>
        <w:spacing w:after="0" w:line="255"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4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160" w:type="dxa"/>
            <w:vAlign w:val="bottom"/>
          </w:tcPr>
          <w:p>
            <w:pPr>
              <w:spacing w:after="0"/>
              <w:rPr>
                <w:sz w:val="16"/>
                <w:szCs w:val="16"/>
                <w:color w:val="auto"/>
              </w:rPr>
            </w:pPr>
          </w:p>
        </w:tc>
        <w:tc>
          <w:tcPr>
            <w:tcW w:w="242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16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$2,704.7</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$2,400.8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$303.9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643.1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573.8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69.3</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1,235.8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1,126.4</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109.4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338.9</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314.7</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564.1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(507.7)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430.5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(178.2)</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608.7</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(174.2)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(53.3)</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328.3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(381.6)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511.1</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(26.2)</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39.7</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($106.8)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$182.4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$825.8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$700.6</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17.9%</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60" w:type="dxa"/>
            <w:vAlign w:val="bottom"/>
          </w:tcPr>
          <w:p>
            <w:pPr>
              <w:spacing w:after="0"/>
              <w:rPr>
                <w:sz w:val="24"/>
                <w:szCs w:val="24"/>
                <w:color w:val="auto"/>
              </w:rPr>
            </w:pPr>
          </w:p>
        </w:tc>
        <w:tc>
          <w:tcPr>
            <w:tcW w:w="2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6160" w:type="dxa"/>
            <w:vAlign w:val="bottom"/>
          </w:tcPr>
          <w:p>
            <w:pPr>
              <w:spacing w:after="0"/>
              <w:rPr>
                <w:sz w:val="16"/>
                <w:szCs w:val="16"/>
                <w:color w:val="auto"/>
              </w:rPr>
            </w:pPr>
          </w:p>
        </w:tc>
        <w:tc>
          <w:tcPr>
            <w:tcW w:w="242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16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$8,086.1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$6,971.5</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$1,114.6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1,903.1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1,685.6</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217.5</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3,682.4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3,258.2</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424.2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1,015.5</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829.4</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155.1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1,610.3</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(1,455.2)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1,330.0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(412.0)</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1,742.0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(543.5)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(551.5)</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1,045.7</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(1,806.1)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(26.1)</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33.8</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129.5</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1,180.9</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(1,191.7)</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(52.3)</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(602.1)</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(549.8)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(91.3)</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(89.8)</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36.2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40.3</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change......................................................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$545.1</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($768.0)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$2,500.6</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$2,027.7</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$472.9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8" w:lineRule="exact"/>
        <w:rPr>
          <w:sz w:val="20"/>
          <w:szCs w:val="20"/>
          <w:color w:val="auto"/>
        </w:rPr>
      </w:pPr>
    </w:p>
    <w:p>
      <w:pPr>
        <w:jc w:val="both"/>
        <w:ind w:left="500" w:right="2960" w:hanging="499"/>
        <w:spacing w:after="0" w:line="251" w:lineRule="auto"/>
        <w:tabs>
          <w:tab w:leader="none" w:pos="5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840"/>
          </w:cols>
          <w:pgMar w:left="240" w:top="685" w:right="819" w:bottom="0" w:gutter="0" w:footer="0" w:header="0"/>
        </w:sectPr>
      </w:pPr>
    </w:p>
    <w:bookmarkStart w:id="30" w:name="page31"/>
    <w:bookmarkEnd w:id="30"/>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Revenues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increases in consolidated revenues for the interim periods from 2001 to 2002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the effects of our acquisitions and growth in our historical operations.</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On January 1, 2002, we adopted Emerging Issues Task Force ("EITF") 01-9, "Accounting for Consideration Given to a Customer (Including a Reseller of the Vendor's Products)" and EITF 01-14, "Income Statement Characterization of Reimbursements Received for 'Out-of-Pocket' Expenses Incurred."</w:t>
      </w:r>
    </w:p>
    <w:p>
      <w:pPr>
        <w:spacing w:after="0" w:line="187"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EITF 01-9 requires, among other things, that consideration paid to customers should be classified as a reduction of revenue unless certain criteria are met. Certain of our content subsidiaries have paid or may pay distribution fees to cable television and satellite broadcast systems for carriage of their programming. Upon adoption of EITF 01-9, we reclassified certain of these distribution fees from expense to a revenue reduction for all periods presented in our statement of operations. This change does not apply to distribution fees paid by our consolidated subsidiary, QVC, Inc. ("QVC") as the counterparties to QVC's distribution agreements do not make revenue payments to QVC.</w:t>
      </w:r>
    </w:p>
    <w:p>
      <w:pPr>
        <w:spacing w:after="0" w:line="19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EITF 01-14 requires that reimbursements received for out-of-pocket expenses incurred be characterized as revenue in the statement of operations. Under the terms of our franchise agreements, we are required to pay up to 5% of our gross revenues derived from providing cable services to the local franchising authority. We normally pass these fees through to our cable subscribers. Upon adoption of EITF 01-14, we reclassified franchise fees collected from cable subscribers from a reduction of selling, general and administrative expenses to a component of service revenues for all periods presented in our statement of operations.</w:t>
      </w:r>
    </w:p>
    <w:p>
      <w:pPr>
        <w:spacing w:after="0" w:line="379" w:lineRule="exact"/>
        <w:rPr>
          <w:sz w:val="20"/>
          <w:szCs w:val="20"/>
          <w:color w:val="auto"/>
        </w:rPr>
      </w:pPr>
    </w:p>
    <w:p>
      <w:pPr>
        <w:jc w:val="both"/>
        <w:ind w:right="2339" w:firstLine="493"/>
        <w:spacing w:after="0" w:line="254" w:lineRule="auto"/>
        <w:rPr>
          <w:sz w:val="20"/>
          <w:szCs w:val="20"/>
          <w:color w:val="auto"/>
        </w:rPr>
      </w:pPr>
      <w:r>
        <w:rPr>
          <w:rFonts w:ascii="Courier New" w:cs="Courier New" w:eastAsia="Courier New" w:hAnsi="Courier New"/>
          <w:sz w:val="16"/>
          <w:szCs w:val="16"/>
          <w:color w:val="auto"/>
        </w:rPr>
        <w:t>The changes in classification had no impact on our reported operating income (loss) or financial condition. Refer to Note 2 to our financial statements included in Item 1 for a discussion of the adoption of EITF 01-9 and EITF 01-14.</w:t>
      </w: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Cost of goods sold from electronic retailing</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Refer to the "Commerce" section of "Operating Results by Business Segment" below for a discussion of the increase in cost of goods sold from electronic retailing.</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increases in consolidated operating, selling, general and administrative expenses for the interim periods from 2001 to 2002 are primarily attributable to increases in expenses in our Cable segment and, to a lesser extent, to increases in expenses in our Commerce segment (see "Operating Results by Business Segment" below). The remaining changes are primarily the result of increased expenses in our content operations, principally due to the effects of our acquisitions and growth in our historical operations, and to decreased expenses in our international operations principally due to the deconsolidation of certain of our investees.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Depreciation</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increases in depreciation expense for the interim periods from 2001 to 2002 are primarily attributable to our Cable segment and are primarily due to the effects of our recent acquisitions and our capital expenditures.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Amortization</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Of the $507.7 million and $1.455 billion decreases in amortization expense for the interim periods from 2001 and 2002, $516.1 million and $1.485 billion are attributable to the adoption of SFAS No. 142 on January 1, 2002. The remaining changes are primarily the result of increases in amortization expense in our content operations, principally due to the effects of our acquisitions. Refer to Note 6 to our financial statements included in Item 1 for the pro forma impact of adoption of SFAS No. 142 on amortization expense.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8" w:lineRule="exact"/>
        <w:rPr>
          <w:sz w:val="20"/>
          <w:szCs w:val="20"/>
          <w:color w:val="auto"/>
        </w:rPr>
      </w:pPr>
    </w:p>
    <w:p>
      <w:pPr>
        <w:ind w:left="500"/>
        <w:spacing w:after="0"/>
        <w:tabs>
          <w:tab w:leader="none" w:pos="1960" w:val="left"/>
          <w:tab w:leader="none" w:pos="7080" w:val="left"/>
        </w:tabs>
        <w:rPr>
          <w:sz w:val="20"/>
          <w:szCs w:val="20"/>
          <w:color w:val="auto"/>
        </w:rPr>
      </w:pPr>
      <w:r>
        <w:rPr>
          <w:rFonts w:ascii="Courier New" w:cs="Courier New" w:eastAsia="Courier New" w:hAnsi="Courier New"/>
          <w:sz w:val="16"/>
          <w:szCs w:val="16"/>
          <w:color w:val="auto"/>
        </w:rPr>
        <w:t>The following</w:t>
        <w:tab/>
        <w:t>represent the operating results of our significant</w:t>
        <w:tab/>
        <w:t>business</w:t>
      </w:r>
    </w:p>
    <w:p>
      <w:pPr>
        <w:sectPr>
          <w:pgSz w:w="11900" w:h="16838" w:orient="portrait"/>
          <w:cols w:equalWidth="0" w:num="1">
            <w:col w:w="10219"/>
          </w:cols>
          <w:pgMar w:left="240" w:top="685" w:right="1440" w:bottom="0" w:gutter="0" w:footer="0" w:header="0"/>
        </w:sectPr>
      </w:pPr>
    </w:p>
    <w:bookmarkStart w:id="31" w:name="page32"/>
    <w:bookmarkEnd w:id="31"/>
    <w:p>
      <w:pPr>
        <w:ind w:right="2339"/>
        <w:spacing w:after="0" w:line="255" w:lineRule="auto"/>
        <w:rPr>
          <w:sz w:val="20"/>
          <w:szCs w:val="20"/>
          <w:color w:val="auto"/>
        </w:rPr>
      </w:pPr>
      <w:r>
        <w:rPr>
          <w:rFonts w:ascii="Courier New" w:cs="Courier New" w:eastAsia="Courier New" w:hAnsi="Courier New"/>
          <w:sz w:val="16"/>
          <w:szCs w:val="16"/>
          <w:color w:val="auto"/>
        </w:rPr>
        <w:t>segments, "Cable" and "Commerce." The remaining components of our operations are not</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42" w:right="1440" w:bottom="1440" w:gutter="0" w:footer="0" w:header="0"/>
        </w:sectPr>
      </w:pPr>
    </w:p>
    <w:bookmarkStart w:id="32" w:name="page33"/>
    <w:bookmarkEnd w:id="32"/>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3160"/>
        <w:spacing w:after="0" w:line="253" w:lineRule="auto"/>
        <w:rPr>
          <w:sz w:val="20"/>
          <w:szCs w:val="20"/>
          <w:color w:val="auto"/>
        </w:rPr>
      </w:pPr>
      <w:r>
        <w:rPr>
          <w:rFonts w:ascii="Courier New" w:cs="Courier New" w:eastAsia="Courier New" w:hAnsi="Courier New"/>
          <w:sz w:val="16"/>
          <w:szCs w:val="16"/>
          <w:color w:val="auto"/>
        </w:rPr>
        <w:t>independently significant to our consolidated financial condition or results of operations. Refer to Note 11 to our financial statements included in Item 1 for a summary of our financial data by business segment (dollars in millions).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Cable</w:t>
            </w:r>
          </w:p>
        </w:tc>
        <w:tc>
          <w:tcPr>
            <w:tcW w:w="246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Three Months Ended</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246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22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$1,180.5</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$1,110.2</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155.5</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72.1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86.5</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93.2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83.3</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69.4</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37.7</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49.4</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51.2</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1,548.0</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1,378.5</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169.5</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902.8</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803.8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$645.2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$574.7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220" w:type="dxa"/>
            <w:vAlign w:val="bottom"/>
          </w:tcPr>
          <w:p>
            <w:pPr>
              <w:spacing w:after="0"/>
              <w:rPr>
                <w:sz w:val="24"/>
                <w:szCs w:val="24"/>
                <w:color w:val="auto"/>
              </w:rPr>
            </w:pPr>
          </w:p>
        </w:tc>
        <w:tc>
          <w:tcPr>
            <w:tcW w:w="24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6220" w:type="dxa"/>
            <w:vAlign w:val="bottom"/>
          </w:tcPr>
          <w:p>
            <w:pPr>
              <w:spacing w:after="0"/>
              <w:rPr>
                <w:sz w:val="16"/>
                <w:szCs w:val="16"/>
                <w:color w:val="auto"/>
              </w:rPr>
            </w:pPr>
          </w:p>
        </w:tc>
        <w:tc>
          <w:tcPr>
            <w:tcW w:w="246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$3,516.7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$3,154.5</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414.7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202.7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274.2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235.2</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201.7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163.8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23.1</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150.9</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142.6</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8.3</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4,558.2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3,898.8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659.4</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2,662.3</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2,288.4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373.9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$1,895.9</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25.</w:t>
      </w:r>
    </w:p>
    <w:p>
      <w:pPr>
        <w:spacing w:after="0" w:line="200" w:lineRule="exact"/>
        <w:rPr>
          <w:sz w:val="20"/>
          <w:szCs w:val="20"/>
          <w:color w:val="auto"/>
        </w:rPr>
      </w:pPr>
    </w:p>
    <w:p>
      <w:pPr>
        <w:spacing w:after="0" w:line="377"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subscriptions. Of the $70.3 million and $362.2 million increases in video revenues for the interim periods from 2001 to 2002, zero and $138.7 million are attributable to the effects of our acquisitions of cable systems and $70.3 million and $223.5 million relate to increased rates and subscriber growth in our historical operations, driven principally by growth in digital boxes. During the three and nine months ended September 30, 2002, we added approximately 205,400 and 607,000 digital boxes.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2001 to 2002 are primarily due to the addition of approximately 169,800 and 390,600 high-speed Internet subscribers during the three and nine months ended September 30, 2002, and to the effects of rate increases.</w:t>
      </w:r>
    </w:p>
    <w:p>
      <w:pPr>
        <w:spacing w:after="0" w:line="187" w:lineRule="exact"/>
        <w:rPr>
          <w:sz w:val="20"/>
          <w:szCs w:val="20"/>
          <w:color w:val="auto"/>
        </w:rPr>
      </w:pPr>
    </w:p>
    <w:p>
      <w:pPr>
        <w:jc w:val="both"/>
        <w:ind w:right="3160" w:firstLine="493"/>
        <w:spacing w:after="0" w:line="253"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2001 to 2002 are primarily attributable to the effects of a stronger advertising market and the continued leveraging of our market-wide fiber interconnects.</w:t>
      </w:r>
    </w:p>
    <w:p>
      <w:pPr>
        <w:spacing w:after="0" w:line="185"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revenues of our regional sports programming networks and revenue from other product offerings. The increases for the interim periods from 2001 to 2002 are primarily attributable to the effects of our acquisitions, to increases in commissions from electronic retailing and to growth in our regional sports programming networks.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The decrease in franchise fees collected from our cable subscribers for the three month period from 2001 to 2002 is primarily attributable to the effects of franchise fees related to high-speed Internet revenue during the three months ended September 30, 2001. We no longer collect franchise fees for high-speed Internet service.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1040"/>
          </w:cols>
          <w:pgMar w:left="240" w:top="685" w:right="619" w:bottom="0" w:gutter="0" w:footer="0" w:header="0"/>
        </w:sectPr>
      </w:pPr>
    </w:p>
    <w:bookmarkStart w:id="33" w:name="page34"/>
    <w:bookmarkEnd w:id="33"/>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3160"/>
        <w:spacing w:after="0" w:line="255" w:lineRule="auto"/>
        <w:rPr>
          <w:sz w:val="20"/>
          <w:szCs w:val="20"/>
          <w:color w:val="auto"/>
        </w:rPr>
      </w:pPr>
      <w:r>
        <w:rPr>
          <w:rFonts w:ascii="Courier New" w:cs="Courier New" w:eastAsia="Courier New" w:hAnsi="Courier New"/>
          <w:sz w:val="16"/>
          <w:szCs w:val="16"/>
          <w:color w:val="auto"/>
        </w:rPr>
        <w:t>increase for the nine month period from 2001 to 2002 is attributable to the increases in our revenues upon which the fees apply.</w:t>
      </w:r>
    </w:p>
    <w:p>
      <w:pPr>
        <w:spacing w:after="0" w:line="184"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2001 to 2002 are primarily due to the effects of increases in the costs of cable programming, high-speed Internet subscriber growth, and, to a lesser extent, increases in labor costs and other volume related expenses in our historical operations. The increase for the nine month period from 2001 to 2002 is also attributable to the effects of our acquisitions of cable systems.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Commerce (QVC, Inc. and Subsidiaries)</w:t>
            </w:r>
          </w:p>
        </w:tc>
        <w:tc>
          <w:tcPr>
            <w:tcW w:w="250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25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$1,011.8</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$895.1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$116.7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643.1</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573.8</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183.3</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167.6</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$185.4</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$153.7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36.4%</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35.9%</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69"/>
        </w:trPr>
        <w:tc>
          <w:tcPr>
            <w:tcW w:w="6220" w:type="dxa"/>
            <w:vAlign w:val="bottom"/>
          </w:tcPr>
          <w:p>
            <w:pPr>
              <w:spacing w:after="0"/>
              <w:rPr>
                <w:sz w:val="24"/>
                <w:szCs w:val="24"/>
                <w:color w:val="auto"/>
              </w:rPr>
            </w:pPr>
          </w:p>
        </w:tc>
        <w:tc>
          <w:tcPr>
            <w:tcW w:w="2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220" w:type="dxa"/>
            <w:vAlign w:val="bottom"/>
          </w:tcPr>
          <w:p>
            <w:pPr>
              <w:spacing w:after="0"/>
              <w:rPr>
                <w:sz w:val="16"/>
                <w:szCs w:val="16"/>
                <w:color w:val="auto"/>
              </w:rPr>
            </w:pPr>
          </w:p>
        </w:tc>
        <w:tc>
          <w:tcPr>
            <w:tcW w:w="25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$2,999.8</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$2,655.1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$344.7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1,903.1</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1,685.6</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217.5</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524.5</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483.3</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572.2</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$486.2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36.6%</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36.5%</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25.</w:t>
      </w:r>
    </w:p>
    <w:p>
      <w:pPr>
        <w:spacing w:after="0" w:line="200" w:lineRule="exact"/>
        <w:rPr>
          <w:sz w:val="20"/>
          <w:szCs w:val="20"/>
          <w:color w:val="auto"/>
        </w:rPr>
      </w:pPr>
    </w:p>
    <w:p>
      <w:pPr>
        <w:spacing w:after="0" w:line="377"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Of the $116.7 million and $344.7 million increases in net sales from electronic retailing for the interim periods from 2001 to 2002, $68.5 million and $235.1 million are attributable to increases in net sales in the United States. This growth is principally the result of increases over the prior year interim period in the average number of homes receiving QVC services and in net sales per home as follows:</w:t>
      </w:r>
    </w:p>
    <w:p>
      <w:pPr>
        <w:spacing w:after="0" w:line="200" w:lineRule="exact"/>
        <w:rPr>
          <w:sz w:val="20"/>
          <w:szCs w:val="20"/>
          <w:color w:val="auto"/>
        </w:rPr>
      </w:pPr>
    </w:p>
    <w:p>
      <w:pPr>
        <w:spacing w:after="0" w:line="369" w:lineRule="exact"/>
        <w:rPr>
          <w:sz w:val="20"/>
          <w:szCs w:val="20"/>
          <w:color w:val="auto"/>
        </w:rPr>
      </w:pPr>
    </w:p>
    <w:p>
      <w:pPr>
        <w:jc w:val="center"/>
        <w:ind w:left="4840"/>
        <w:spacing w:after="0"/>
        <w:tabs>
          <w:tab w:leader="none" w:pos="960" w:val="left"/>
        </w:tabs>
        <w:rPr>
          <w:sz w:val="20"/>
          <w:szCs w:val="20"/>
          <w:color w:val="auto"/>
        </w:rPr>
      </w:pPr>
      <w:r>
        <w:rPr>
          <w:rFonts w:ascii="Courier New" w:cs="Courier New" w:eastAsia="Courier New" w:hAnsi="Courier New"/>
          <w:sz w:val="16"/>
          <w:szCs w:val="16"/>
          <w:color w:val="auto"/>
        </w:rPr>
        <w:t>Three Months</w:t>
      </w:r>
      <w:r>
        <w:rPr>
          <w:sz w:val="20"/>
          <w:szCs w:val="20"/>
          <w:color w:val="auto"/>
        </w:rPr>
        <w:tab/>
      </w:r>
      <w:r>
        <w:rPr>
          <w:rFonts w:ascii="Courier New" w:cs="Courier New" w:eastAsia="Courier New" w:hAnsi="Courier New"/>
          <w:sz w:val="16"/>
          <w:szCs w:val="16"/>
          <w:color w:val="auto"/>
        </w:rPr>
        <w:t>Nine Months</w:t>
      </w:r>
    </w:p>
    <w:p>
      <w:pPr>
        <w:spacing w:after="0" w:line="8" w:lineRule="exact"/>
        <w:rPr>
          <w:sz w:val="20"/>
          <w:szCs w:val="20"/>
          <w:color w:val="auto"/>
        </w:rPr>
      </w:pPr>
    </w:p>
    <w:p>
      <w:pPr>
        <w:jc w:val="center"/>
        <w:ind w:left="6520"/>
        <w:spacing w:after="0"/>
        <w:tabs>
          <w:tab w:leader="none" w:pos="1560" w:val="left"/>
        </w:tabs>
        <w:rPr>
          <w:sz w:val="20"/>
          <w:szCs w:val="20"/>
          <w:color w:val="auto"/>
        </w:rPr>
      </w:pPr>
      <w:r>
        <w:rPr>
          <w:rFonts w:ascii="Courier New" w:cs="Courier New" w:eastAsia="Courier New" w:hAnsi="Courier New"/>
          <w:sz w:val="16"/>
          <w:szCs w:val="16"/>
          <w:color w:val="auto"/>
        </w:rPr>
        <w:t>Ended</w:t>
      </w:r>
      <w:r>
        <w:rPr>
          <w:sz w:val="20"/>
          <w:szCs w:val="20"/>
          <w:color w:val="auto"/>
        </w:rPr>
        <w:tab/>
      </w:r>
      <w:r>
        <w:rPr>
          <w:rFonts w:ascii="Courier New" w:cs="Courier New" w:eastAsia="Courier New" w:hAnsi="Courier New"/>
          <w:sz w:val="16"/>
          <w:szCs w:val="16"/>
          <w:color w:val="auto"/>
        </w:rPr>
        <w:t>Ended</w:t>
      </w:r>
    </w:p>
    <w:p>
      <w:pPr>
        <w:spacing w:after="0" w:line="8" w:lineRule="exact"/>
        <w:rPr>
          <w:sz w:val="20"/>
          <w:szCs w:val="20"/>
          <w:color w:val="auto"/>
        </w:rPr>
      </w:pPr>
    </w:p>
    <w:p>
      <w:pPr>
        <w:jc w:val="center"/>
        <w:ind w:left="4960"/>
        <w:spacing w:after="0"/>
        <w:tabs>
          <w:tab w:leader="none" w:pos="380" w:val="left"/>
        </w:tabs>
        <w:rPr>
          <w:sz w:val="20"/>
          <w:szCs w:val="20"/>
          <w:color w:val="auto"/>
        </w:rPr>
      </w:pPr>
      <w:r>
        <w:rPr>
          <w:rFonts w:ascii="Courier New" w:cs="Courier New" w:eastAsia="Courier New" w:hAnsi="Courier New"/>
          <w:sz w:val="16"/>
          <w:szCs w:val="16"/>
          <w:color w:val="auto"/>
        </w:rPr>
        <w:t>September 30, 2002</w:t>
      </w:r>
      <w:r>
        <w:rPr>
          <w:sz w:val="20"/>
          <w:szCs w:val="20"/>
          <w:color w:val="auto"/>
        </w:rPr>
        <w:tab/>
      </w:r>
      <w:r>
        <w:rPr>
          <w:rFonts w:ascii="Courier New" w:cs="Courier New" w:eastAsia="Courier New" w:hAnsi="Courier New"/>
          <w:sz w:val="16"/>
          <w:szCs w:val="16"/>
          <w:color w:val="auto"/>
        </w:rPr>
        <w:t>September 30, 2002</w:t>
      </w:r>
    </w:p>
    <w:p>
      <w:pPr>
        <w:spacing w:after="0" w:line="8" w:lineRule="exact"/>
        <w:rPr>
          <w:sz w:val="20"/>
          <w:szCs w:val="20"/>
          <w:color w:val="auto"/>
        </w:rPr>
      </w:pPr>
    </w:p>
    <w:p>
      <w:pPr>
        <w:jc w:val="center"/>
        <w:ind w:left="494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040"/>
          </w:cols>
          <w:pgMar w:left="240" w:top="685" w:right="619" w:bottom="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average number of homes..........................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sales per home...............................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w:t>
      </w:r>
    </w:p>
    <w:p>
      <w:pPr>
        <w:spacing w:after="0" w:line="200" w:lineRule="exact"/>
        <w:rPr>
          <w:sz w:val="20"/>
          <w:szCs w:val="20"/>
          <w:color w:val="auto"/>
        </w:rPr>
      </w:pPr>
    </w:p>
    <w:p>
      <w:pPr>
        <w:sectPr>
          <w:pgSz w:w="11900" w:h="16838" w:orient="portrait"/>
          <w:cols w:equalWidth="0" w:num="3">
            <w:col w:w="6480" w:space="720"/>
            <w:col w:w="1440" w:space="720"/>
            <w:col w:w="1680"/>
          </w:cols>
          <w:pgMar w:left="240" w:top="685" w:right="619" w:bottom="0" w:gutter="0" w:footer="0" w:header="0"/>
          <w:type w:val="continuous"/>
        </w:sectPr>
      </w:pPr>
    </w:p>
    <w:p>
      <w:pPr>
        <w:spacing w:after="0" w:line="188"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w:t>
      </w:r>
    </w:p>
    <w:p>
      <w:pPr>
        <w:sectPr>
          <w:pgSz w:w="11900" w:h="16838" w:orient="portrait"/>
          <w:cols w:equalWidth="0" w:num="1">
            <w:col w:w="11040"/>
          </w:cols>
          <w:pgMar w:left="240" w:top="685" w:right="619" w:bottom="0" w:gutter="0" w:footer="0" w:header="0"/>
          <w:type w:val="continuous"/>
        </w:sectPr>
      </w:pPr>
    </w:p>
    <w:bookmarkStart w:id="34" w:name="page35"/>
    <w:bookmarkEnd w:id="34"/>
    <w:p>
      <w:pPr>
        <w:ind w:right="2339"/>
        <w:spacing w:after="0" w:line="255" w:lineRule="auto"/>
        <w:rPr>
          <w:sz w:val="20"/>
          <w:szCs w:val="20"/>
          <w:color w:val="auto"/>
        </w:rPr>
      </w:pPr>
      <w:r>
        <w:rPr>
          <w:rFonts w:ascii="Courier New" w:cs="Courier New" w:eastAsia="Courier New" w:hAnsi="Courier New"/>
          <w:sz w:val="16"/>
          <w:szCs w:val="16"/>
          <w:color w:val="auto"/>
        </w:rPr>
        <w:t>Future growth in sales will depend increasingly on continued additions of new customers from homes already receiving the QVC service</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42" w:right="1440" w:bottom="1440" w:gutter="0" w:footer="0" w:header="0"/>
        </w:sectPr>
      </w:pPr>
    </w:p>
    <w:bookmarkStart w:id="35" w:name="page36"/>
    <w:bookmarkEnd w:id="35"/>
    <w:p>
      <w:pPr>
        <w:jc w:val="center"/>
        <w:ind w:right="5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continued growth in repeat sales to existing customers.</w:t>
      </w:r>
    </w:p>
    <w:p>
      <w:pPr>
        <w:spacing w:after="0" w:line="198" w:lineRule="exact"/>
        <w:rPr>
          <w:sz w:val="20"/>
          <w:szCs w:val="20"/>
          <w:color w:val="auto"/>
        </w:rPr>
      </w:pPr>
    </w:p>
    <w:p>
      <w:pPr>
        <w:jc w:val="both"/>
        <w:ind w:right="500" w:firstLine="493"/>
        <w:spacing w:after="0" w:line="252" w:lineRule="auto"/>
        <w:rPr>
          <w:sz w:val="20"/>
          <w:szCs w:val="20"/>
          <w:color w:val="auto"/>
        </w:rPr>
      </w:pPr>
      <w:r>
        <w:rPr>
          <w:rFonts w:ascii="Courier New" w:cs="Courier New" w:eastAsia="Courier New" w:hAnsi="Courier New"/>
          <w:sz w:val="16"/>
          <w:szCs w:val="16"/>
          <w:color w:val="auto"/>
        </w:rPr>
        <w:t>The remaining increases of $48.2 million and $109.6 million in net sales from electronic retailing for the interim periods from 2001 to 2002 are primarily attributable to increases in net sales in Germany, Japan, and the United Kingdom, and to the effects of fluctuations in foreign currency exchange rates during the periods.</w:t>
      </w:r>
    </w:p>
    <w:p>
      <w:pPr>
        <w:spacing w:after="0" w:line="186"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 The increases in gross margin are primarily due to the effects of shifts in sales mix.</w:t>
      </w:r>
    </w:p>
    <w:p>
      <w:pPr>
        <w:spacing w:after="0" w:line="185"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attributable to higher variable costs and personnel costs associated with the increases in sales volume.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Expense</w:t>
      </w:r>
    </w:p>
    <w:p>
      <w:pPr>
        <w:spacing w:after="0" w:line="198"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decreases in interest expense for the interim periods from 2001 to 2002 are primarily due to the effects of our net debt repayments during the nine months ended September 30, 2002.</w:t>
      </w:r>
    </w:p>
    <w:p>
      <w:pPr>
        <w:spacing w:after="0" w:line="185" w:lineRule="exact"/>
        <w:rPr>
          <w:sz w:val="20"/>
          <w:szCs w:val="20"/>
          <w:color w:val="auto"/>
        </w:rPr>
      </w:pPr>
    </w:p>
    <w:p>
      <w:pPr>
        <w:jc w:val="both"/>
        <w:ind w:right="500" w:firstLine="493"/>
        <w:spacing w:after="0" w:line="252"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 Income (Expense)</w:t>
      </w:r>
    </w:p>
    <w:p>
      <w:pPr>
        <w:spacing w:after="0" w:line="8" w:lineRule="exact"/>
        <w:rPr>
          <w:sz w:val="20"/>
          <w:szCs w:val="20"/>
          <w:color w:val="auto"/>
        </w:rPr>
      </w:pPr>
    </w:p>
    <w:p>
      <w:pPr>
        <w:jc w:val="both"/>
        <w:ind w:right="500" w:firstLine="493"/>
        <w:spacing w:after="0" w:line="255"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6120" w:type="dxa"/>
            <w:vAlign w:val="bottom"/>
          </w:tcPr>
          <w:p>
            <w:pPr>
              <w:spacing w:after="0"/>
              <w:rPr>
                <w:sz w:val="16"/>
                <w:szCs w:val="16"/>
                <w:color w:val="auto"/>
              </w:rPr>
            </w:pPr>
          </w:p>
        </w:tc>
        <w:tc>
          <w:tcPr>
            <w:tcW w:w="22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Interest and dividend income.................................</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$25.6</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17.2</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Investment impairment losses.................................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Reclassification of unrealized gains.........................</w:t>
            </w:r>
          </w:p>
        </w:tc>
        <w:tc>
          <w:tcPr>
            <w:tcW w:w="112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237.9</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(181.2)</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154.5</w:t>
            </w:r>
          </w:p>
        </w:tc>
      </w:tr>
      <w:tr>
        <w:trPr>
          <w:trHeight w:val="190"/>
        </w:trPr>
        <w:tc>
          <w:tcPr>
            <w:tcW w:w="6120" w:type="dxa"/>
            <w:vAlign w:val="bottom"/>
          </w:tcPr>
          <w:p>
            <w:pPr>
              <w:jc w:val="right"/>
              <w:ind w:right="1998"/>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related to Sprint PCS common stock......................</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138.7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(120.2)</w:t>
            </w:r>
          </w:p>
        </w:tc>
      </w:tr>
      <w:tr>
        <w:trPr>
          <w:trHeight w:val="190"/>
        </w:trPr>
        <w:tc>
          <w:tcPr>
            <w:tcW w:w="6120" w:type="dxa"/>
            <w:vAlign w:val="bottom"/>
          </w:tcPr>
          <w:p>
            <w:pPr>
              <w:jc w:val="right"/>
              <w:ind w:right="1598"/>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hedged items............................................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29.0</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Investment income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$328.3</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758"/>
        </w:trPr>
        <w:tc>
          <w:tcPr>
            <w:tcW w:w="6120" w:type="dxa"/>
            <w:vAlign w:val="bottom"/>
          </w:tcPr>
          <w:p>
            <w:pPr>
              <w:jc w:val="right"/>
              <w:ind w:right="1998"/>
              <w:spacing w:after="0"/>
              <w:rPr>
                <w:sz w:val="20"/>
                <w:szCs w:val="20"/>
                <w:color w:val="auto"/>
              </w:rPr>
            </w:pPr>
            <w:r>
              <w:rPr>
                <w:rFonts w:ascii="Courier New" w:cs="Courier New" w:eastAsia="Courier New" w:hAnsi="Courier New"/>
                <w:sz w:val="16"/>
                <w:szCs w:val="16"/>
                <w:color w:val="auto"/>
              </w:rPr>
              <w:t>29</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Nine Months Ended</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$60.6</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476.8</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(227.2)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(954.8)</w:t>
            </w:r>
          </w:p>
        </w:tc>
      </w:tr>
      <w:tr>
        <w:trPr>
          <w:trHeight w:val="190"/>
        </w:trPr>
        <w:tc>
          <w:tcPr>
            <w:tcW w:w="1040" w:type="dxa"/>
            <w:vAlign w:val="bottom"/>
          </w:tcPr>
          <w:p>
            <w:pPr>
              <w:spacing w:after="0"/>
              <w:rPr>
                <w:sz w:val="16"/>
                <w:szCs w:val="16"/>
                <w:color w:val="auto"/>
              </w:rPr>
            </w:pP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1,330.3</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(1,620.9)</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420.1</w:t>
            </w:r>
          </w:p>
        </w:tc>
      </w:tr>
      <w:tr>
        <w:trPr>
          <w:trHeight w:val="379"/>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1,309.8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(311.7)</w:t>
            </w:r>
          </w:p>
        </w:tc>
      </w:tr>
      <w:tr>
        <w:trPr>
          <w:trHeight w:val="379"/>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(147.6)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($760.4)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380" w:space="200"/>
            <w:col w:w="2060"/>
          </w:cols>
          <w:pgMar w:left="240" w:top="685" w:right="1019" w:bottom="1440" w:gutter="0" w:footer="0" w:header="0"/>
        </w:sectPr>
      </w:pPr>
    </w:p>
    <w:bookmarkStart w:id="36" w:name="page37"/>
    <w:bookmarkEnd w:id="36"/>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investment impairment losses for the nine months ended September 30, 2002 and 2001 relate principally to other than temporary declines in our investment in AT&amp;T.</w:t>
      </w:r>
    </w:p>
    <w:p>
      <w:pPr>
        <w:spacing w:after="0" w:line="185"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During the three months ended September 30, 2001, we wrote-off our investment in Excite@Home common stock based upon a decline in the investment that was considered other than temporary. In connection with the realization of this impairment loss, we reclassified to investment income the accumulated unrealized gain of $237.9 million on our investment in Excite@Home common stock which was previously recorded as a component of accumulated other comprehensive income (loss). We recorded this accumulated unrealized gain prior to our designation of our right under a stockholders agreement as a hedge of our investment in the Excite@Home common stock.</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connection with the reclassification of our investment in Sprint PCS from an available for sale security to a trading security, we recorded to investment income (expense) the accumulated unrealized gain of $1.092 billion on our investment in Sprint PCS which was previously recorded as a component of accumulated other comprehensive income (loss).</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decrease in equity in net losses of affiliates for the three month period from 2001 to 2002 is primarily attributable to the effects of changes in the net income or loss of our equity method investees and to the effects of the decrease in the amortization of equity method goodwill as a result of the adoption of SFAS No. 142 on January 1, 2002. The increase for the nine month period from 2001 to 2002 is primarily attributable to the effects of the operations of our international investees and to the effects of the consolidation of The Golf Channel in June 2001, offset, in part, by decreases in the amortization of equity method goodwill.</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Other Income (Expense)</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to other income (expense) a pre-tax gain of $1.199 billion, representing the difference between the estimated fair value of $1.799 billion as of the closing date of the transaction and our cost basis in the systems exchanged.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Income Tax Expense</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changes in income tax expense for the interim periods from 2001 to 2002 are primarily the result of the effects of changes in our income before taxes, minority interest and cumulative effect of accounting change.</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Minority Interest</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increases in minority interest for the interim periods from 2001 to 2002 are attributable to the effects of changes in the net income or loss of our less than wholly owned consolidated subsidiaries.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connection with the adoption of SFAS No. 142, we completed an initial transitional impairment assessment of goodwill and other indefinite lived intangible assets, which consist of our cable and sports franchise rights, and we determined that no cumulative effect results from adopting this change in accounting principle.</w:t>
      </w:r>
    </w:p>
    <w:p>
      <w:pPr>
        <w:spacing w:after="0" w:line="18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In connection with the adoption of SFAS No. 133, "Accounting for Derivative Instruments and Hedging Activities," as amended, we recognized as income a cumulative effect of accounting change, net of related income taxes, of $384.5 million during the nine months ended September 30,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(loss) on our equity derivative instruments, net of related deferred income taxes of $207.0 million.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5" w:right="1440" w:bottom="240" w:gutter="0" w:footer="0" w:header="0"/>
        </w:sectPr>
      </w:pPr>
    </w:p>
    <w:bookmarkStart w:id="37" w:name="page38"/>
    <w:bookmarkEnd w:id="37"/>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tab/>
        <w:t>EVALUATION OF DISCLOSURE CONTROLS AND PROCEDURES</w:t>
      </w:r>
    </w:p>
    <w:p>
      <w:pPr>
        <w:spacing w:after="0" w:line="198" w:lineRule="exact"/>
        <w:rPr>
          <w:sz w:val="20"/>
          <w:szCs w:val="20"/>
          <w:color w:val="auto"/>
        </w:rPr>
      </w:pPr>
    </w:p>
    <w:p>
      <w:pPr>
        <w:jc w:val="both"/>
        <w:ind w:left="980" w:right="2339" w:hanging="486"/>
        <w:spacing w:after="0" w:line="251" w:lineRule="auto"/>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Evaluation of 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quarterly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189" w:lineRule="exact"/>
        <w:rPr>
          <w:rFonts w:ascii="Courier New" w:cs="Courier New" w:eastAsia="Courier New" w:hAnsi="Courier New"/>
          <w:sz w:val="16"/>
          <w:szCs w:val="16"/>
          <w:color w:val="auto"/>
        </w:rPr>
      </w:pPr>
    </w:p>
    <w:p>
      <w:pPr>
        <w:jc w:val="both"/>
        <w:ind w:left="980" w:right="2339" w:hanging="486"/>
        <w:spacing w:after="0" w:line="252" w:lineRule="auto"/>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8" w:lineRule="exact"/>
        <w:rPr>
          <w:sz w:val="20"/>
          <w:szCs w:val="20"/>
          <w:color w:val="auto"/>
        </w:rPr>
      </w:pPr>
    </w:p>
    <w:p>
      <w:pPr>
        <w:ind w:left="200" w:hanging="199"/>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9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also an investor in At Home and a former distributor of the At Home service); (ii) class action lawsuits against the Company,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an amended consolidated complaint is required to be served by October 31, 2002.</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Since September 2001, certain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the bankruptcy court-supervised auction, as well as in connection with other aspects of AT&amp;T's relationship with At Home. No such lawsuits have been filed to date. The plan of liquidation in the At Home bankruptcy, approved in October 2002, implements a creditor settlement and provides that all claims of the bankrupt estate of At Home against AT&amp;T and other shareholders will be transferred to a liquidating trust funded with at least $12 million, and as much as $17 million, to finance the litigation of those claims.</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Following closing of the AT&amp;T Broadband transaction, the Company will be contractually liable for 50% of any liabilities of AT&amp;T relating to At Home, including any resulting from any such pending or threatened litigation (the "AT&amp;T At Home Potential Liabilities"). AT&amp;T will be liable for the other 50% of such liabilities.</w:t>
      </w:r>
    </w:p>
    <w:p>
      <w:pPr>
        <w:spacing w:after="0" w:line="186"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such claims vigorously. In management's</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5" w:right="1440" w:bottom="0" w:gutter="0" w:footer="0" w:header="0"/>
        </w:sectPr>
      </w:pPr>
    </w:p>
    <w:bookmarkStart w:id="38" w:name="page39"/>
    <w:bookmarkEnd w:id="38"/>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opinion, the final disposition of such claims is not expected to have a material adverse effect on the Company's or, following the closing of the AT&amp;T Broadband transaction, the combined company's, consolidated financial position, but could possibly be material to the consolidated results of operations of any one period. Further, no assurance can be given that any adverse outcome would not be material to such consolidated financial position.</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Management has no basis for any expectation that the Company's 50% share of the AT&amp;T At Home Potential Liabilities would have a material adverse effect on the combined company's consolidated financial position or results of operations, although no assurance can be given that any adverse outcome would not be material.</w:t>
      </w:r>
    </w:p>
    <w:p>
      <w:pPr>
        <w:spacing w:after="0" w:line="186"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have a material adverse effect on the financial position or results of operations of the Company.</w:t>
      </w:r>
    </w:p>
    <w:p>
      <w:pPr>
        <w:spacing w:after="0" w:line="1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8" w:lineRule="exact"/>
        <w:rPr>
          <w:sz w:val="20"/>
          <w:szCs w:val="20"/>
          <w:color w:val="auto"/>
        </w:rPr>
      </w:pPr>
    </w:p>
    <w:p>
      <w:pPr>
        <w:ind w:left="980" w:right="3319" w:hanging="486"/>
        <w:spacing w:after="0" w:line="502" w:lineRule="auto"/>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 None.</w:t>
      </w: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7" w:lineRule="exact"/>
        <w:rPr>
          <w:rFonts w:ascii="Courier New" w:cs="Courier New" w:eastAsia="Courier New" w:hAnsi="Courier New"/>
          <w:sz w:val="16"/>
          <w:szCs w:val="16"/>
          <w:color w:val="auto"/>
        </w:rPr>
      </w:pPr>
    </w:p>
    <w:p>
      <w:pPr>
        <w:jc w:val="both"/>
        <w:ind w:left="1480" w:right="2339" w:hanging="493"/>
        <w:spacing w:after="0" w:line="253" w:lineRule="auto"/>
        <w:tabs>
          <w:tab w:leader="none" w:pos="1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7(c) on July 10, 2002 announcing shareholder approval of the AT&amp;T Broadband transaction.</w:t>
      </w:r>
    </w:p>
    <w:p>
      <w:pPr>
        <w:spacing w:after="0" w:line="185" w:lineRule="exact"/>
        <w:rPr>
          <w:rFonts w:ascii="Courier New" w:cs="Courier New" w:eastAsia="Courier New" w:hAnsi="Courier New"/>
          <w:sz w:val="16"/>
          <w:szCs w:val="16"/>
          <w:color w:val="auto"/>
        </w:rPr>
      </w:pPr>
    </w:p>
    <w:p>
      <w:pPr>
        <w:jc w:val="both"/>
        <w:ind w:left="1480" w:right="2339" w:hanging="493"/>
        <w:spacing w:after="0" w:line="252" w:lineRule="auto"/>
        <w:tabs>
          <w:tab w:leader="none" w:pos="1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7(c) and 9 on August 1, 2002 submitting to the Securities and Exchange Commission the Statements Under Oath of the Principal Executive Officer and the Principal Financial Officers of Comcast Regarding Facts and Circumstances Relating to Exchange Act Filings.</w:t>
      </w:r>
    </w:p>
    <w:p>
      <w:pPr>
        <w:spacing w:after="0" w:line="186" w:lineRule="exact"/>
        <w:rPr>
          <w:sz w:val="20"/>
          <w:szCs w:val="20"/>
          <w:color w:val="auto"/>
        </w:rPr>
      </w:pPr>
    </w:p>
    <w:p>
      <w:pPr>
        <w:jc w:val="both"/>
        <w:ind w:left="1480" w:right="2339" w:hanging="492"/>
        <w:spacing w:after="0" w:line="253" w:lineRule="auto"/>
        <w:rPr>
          <w:sz w:val="20"/>
          <w:szCs w:val="20"/>
          <w:color w:val="auto"/>
        </w:rPr>
      </w:pPr>
      <w:r>
        <w:rPr>
          <w:rFonts w:ascii="Courier New" w:cs="Courier New" w:eastAsia="Courier New" w:hAnsi="Courier New"/>
          <w:sz w:val="16"/>
          <w:szCs w:val="16"/>
          <w:color w:val="auto"/>
        </w:rPr>
        <w:t>(iii)We filed a Current</w:t>
      </w:r>
      <w:r>
        <w:rPr>
          <w:sz w:val="20"/>
          <w:szCs w:val="20"/>
          <w:color w:val="auto"/>
        </w:rPr>
        <w:t xml:space="preserve"> </w:t>
      </w:r>
      <w:r>
        <w:rPr>
          <w:rFonts w:ascii="Courier New" w:cs="Courier New" w:eastAsia="Courier New" w:hAnsi="Courier New"/>
          <w:sz w:val="16"/>
          <w:szCs w:val="16"/>
          <w:color w:val="auto"/>
        </w:rPr>
        <w:t>Report on Form 8-K under Items 5 and 7(b) on September 26, 2002 announcing a change in the measurement date for the AT&amp;T Broadband transaction.</w:t>
      </w:r>
    </w:p>
    <w:p>
      <w:pPr>
        <w:spacing w:after="0" w:line="185" w:lineRule="exact"/>
        <w:rPr>
          <w:sz w:val="20"/>
          <w:szCs w:val="20"/>
          <w:color w:val="auto"/>
        </w:rPr>
      </w:pPr>
    </w:p>
    <w:p>
      <w:pPr>
        <w:jc w:val="both"/>
        <w:ind w:left="1480" w:right="2339" w:hanging="493"/>
        <w:spacing w:after="0" w:line="252" w:lineRule="auto"/>
        <w:tabs>
          <w:tab w:leader="none" w:pos="1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7(b) on October 4, 2002 announcing the new measurement date for the AT&amp;T Broadband transaction is established as of the date of the substantive modification of the merger agreement related to the change in the "other" consideration being paid.</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5" w:right="1440" w:bottom="1440" w:gutter="0" w:footer="0" w:header="0"/>
        </w:sectPr>
      </w:pPr>
    </w:p>
    <w:bookmarkStart w:id="39" w:name="page40"/>
    <w:bookmarkEnd w:id="39"/>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/S/ LAWRENCE J. SALVA</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Lawrence J. Salva</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Senior Vice President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(Principal Accounting 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85" w:right="1440" w:bottom="1440" w:gutter="0" w:footer="0" w:header="0"/>
        </w:sectPr>
      </w:pPr>
    </w:p>
    <w:bookmarkStart w:id="40" w:name="page41"/>
    <w:bookmarkEnd w:id="40"/>
    <w:p>
      <w:pPr>
        <w:ind w:left="3260"/>
        <w:spacing w:after="0"/>
        <w:rPr>
          <w:sz w:val="20"/>
          <w:szCs w:val="20"/>
          <w:color w:val="auto"/>
        </w:rPr>
      </w:pPr>
      <w:r>
        <w:rPr>
          <w:rFonts w:ascii="Courier New" w:cs="Courier New" w:eastAsia="Courier New" w:hAnsi="Courier New"/>
          <w:sz w:val="16"/>
          <w:szCs w:val="16"/>
          <w:color w:val="auto"/>
        </w:rPr>
        <w:t>CERTIFICATIONS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Brian L. Roberts, certify that:</w:t>
      </w:r>
    </w:p>
    <w:p>
      <w:pPr>
        <w:spacing w:after="0" w:line="198" w:lineRule="exact"/>
        <w:rPr>
          <w:sz w:val="20"/>
          <w:szCs w:val="20"/>
          <w:color w:val="auto"/>
        </w:rPr>
      </w:pPr>
    </w:p>
    <w:p>
      <w:pPr>
        <w:ind w:left="500" w:hanging="499"/>
        <w:spacing w:after="0"/>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BRIAN L. ROBERTS</w:t>
      </w:r>
    </w:p>
    <w:p>
      <w:pPr>
        <w:spacing w:after="0" w:line="8" w:lineRule="exact"/>
        <w:rPr>
          <w:sz w:val="20"/>
          <w:szCs w:val="20"/>
          <w:color w:val="auto"/>
        </w:rPr>
      </w:pP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9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Brian L. Roberts Chief Executive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I, Lawrence S. Smith, certify that:</w:t>
      </w:r>
    </w:p>
    <w:p>
      <w:pPr>
        <w:spacing w:after="0" w:line="198" w:lineRule="exact"/>
        <w:rPr>
          <w:sz w:val="20"/>
          <w:szCs w:val="20"/>
          <w:color w:val="auto"/>
        </w:rPr>
      </w:pPr>
    </w:p>
    <w:p>
      <w:pPr>
        <w:ind w:left="500" w:hanging="499"/>
        <w:spacing w:after="0"/>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S. SMITH</w:t>
      </w:r>
    </w:p>
    <w:p>
      <w:pPr>
        <w:spacing w:after="0" w:line="8" w:lineRule="exact"/>
        <w:rPr>
          <w:sz w:val="20"/>
          <w:szCs w:val="20"/>
          <w:color w:val="auto"/>
        </w:rPr>
      </w:pPr>
    </w:p>
    <w:p>
      <w:pPr>
        <w:ind w:left="200" w:hanging="199"/>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6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I, John R. Alchin, certify that:</w:t>
      </w:r>
    </w:p>
    <w:p>
      <w:pPr>
        <w:spacing w:after="0" w:line="198" w:lineRule="exact"/>
        <w:rPr>
          <w:sz w:val="20"/>
          <w:szCs w:val="20"/>
          <w:color w:val="auto"/>
        </w:rPr>
      </w:pPr>
    </w:p>
    <w:p>
      <w:pPr>
        <w:ind w:left="500" w:hanging="499"/>
        <w:spacing w:after="0"/>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R. ALCHIN</w:t>
      </w:r>
    </w:p>
    <w:p>
      <w:pPr>
        <w:spacing w:after="0" w:line="8" w:lineRule="exact"/>
        <w:rPr>
          <w:sz w:val="20"/>
          <w:szCs w:val="20"/>
          <w:color w:val="auto"/>
        </w:rPr>
      </w:pPr>
    </w:p>
    <w:p>
      <w:pPr>
        <w:ind w:left="200" w:hanging="199"/>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6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36</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o"/>
      <w:numFmt w:val="bullet"/>
      <w:start w:val="1"/>
    </w:lvl>
  </w:abstractNum>
  <w:abstractNum w:abstractNumId="17">
    <w:nsid w:val="6763845E"/>
    <w:multiLevelType w:val="hybridMultilevel"/>
    <w:lvl w:ilvl="0">
      <w:lvlJc w:val="left"/>
      <w:lvlText w:val="o"/>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lvl w:ilvl="1">
      <w:lvlJc w:val="left"/>
      <w:lvlText w:val="(%2)"/>
      <w:numFmt w:val="lowerRoman"/>
      <w:start w:val="1"/>
    </w:lvl>
  </w:abstractNum>
  <w:abstractNum w:abstractNumId="22">
    <w:nsid w:val="B03E0C6"/>
    <w:multiLevelType w:val="hybridMultilevel"/>
    <w:lvl w:ilvl="0">
      <w:lvlJc w:val="left"/>
      <w:lvlText w:val="(%1)"/>
      <w:numFmt w:val="lowerRoman"/>
      <w:start w:val="4"/>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2019-12-12T09:08:49Z</dcterms:created>
  <dcterms:modified xsi:type="dcterms:W3CDTF">2019-12-12T09:08:49Z</dcterms:modified>
</cp:coreProperties>
</file>