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SCHEDULE 13D/A</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7)*</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ION MEDIA NETWORKS, INC.</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 Par Value $0.001 Per Share</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704231109</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Elizabeth A. Newell, Assistant Secretary</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NBC Universal, Inc.</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30 Rockefeller Plaza, New York, NY 10112</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(212) 664-3307</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Address and Telephone Number of Person Authorized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to Receive Notices and Communications)</w:t>
      </w:r>
    </w:p>
    <w:p>
      <w:pPr>
        <w:spacing w:after="0" w:line="3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April 10, 2007</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4"/>
          <w:szCs w:val="24"/>
          <w:color w:val="auto"/>
        </w:rPr>
      </w:pPr>
    </w:p>
    <w:p>
      <w:pPr>
        <w:ind w:right="160"/>
        <w:spacing w:after="0" w:line="268" w:lineRule="auto"/>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Arial" w:cs="Arial" w:eastAsia="Arial" w:hAnsi="Arial"/>
          <w:sz w:val="21"/>
          <w:szCs w:val="21"/>
          <w:color w:val="auto"/>
        </w:rPr>
        <w:t>o</w:t>
      </w:r>
    </w:p>
    <w:p>
      <w:pPr>
        <w:spacing w:after="0" w:line="174" w:lineRule="exact"/>
        <w:rPr>
          <w:sz w:val="24"/>
          <w:szCs w:val="24"/>
          <w:color w:val="auto"/>
        </w:rPr>
      </w:pPr>
    </w:p>
    <w:p>
      <w:pPr>
        <w:ind w:right="220"/>
        <w:spacing w:after="0" w:line="268"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 240.13d-7 for other parties to whom copies are to be sent.</w:t>
      </w:r>
    </w:p>
    <w:p>
      <w:pPr>
        <w:spacing w:after="0" w:line="186" w:lineRule="exact"/>
        <w:rPr>
          <w:sz w:val="24"/>
          <w:szCs w:val="24"/>
          <w:color w:val="auto"/>
        </w:rPr>
      </w:pPr>
    </w:p>
    <w:p>
      <w:pPr>
        <w:ind w:left="260" w:hanging="252"/>
        <w:spacing w:after="0" w:line="268" w:lineRule="auto"/>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6"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314325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 w:name="page2"/>
    <w:bookmarkEnd w:id="1"/>
    <w:p>
      <w:pPr>
        <w:ind w:right="160" w:firstLine="972"/>
        <w:spacing w:after="0" w:line="291" w:lineRule="auto"/>
        <w:rPr>
          <w:sz w:val="20"/>
          <w:szCs w:val="20"/>
          <w:color w:val="auto"/>
        </w:rPr>
      </w:pPr>
      <w:r>
        <w:rPr>
          <w:rFonts w:ascii="Arial" w:cs="Arial" w:eastAsia="Arial" w:hAnsi="Arial"/>
          <w:sz w:val="16"/>
          <w:szCs w:val="16"/>
          <w:color w:val="auto"/>
        </w:rPr>
        <w:t>This Amendment No. 7 to Schedule 13D (“</w:t>
      </w:r>
      <w:r>
        <w:rPr>
          <w:rFonts w:ascii="Arial" w:cs="Arial" w:eastAsia="Arial" w:hAnsi="Arial"/>
          <w:sz w:val="16"/>
          <w:szCs w:val="16"/>
          <w:u w:val="single" w:color="auto"/>
          <w:color w:val="auto"/>
        </w:rPr>
        <w:t>Amendment No. 7</w:t>
      </w:r>
      <w:r>
        <w:rPr>
          <w:rFonts w:ascii="Arial" w:cs="Arial" w:eastAsia="Arial" w:hAnsi="Arial"/>
          <w:sz w:val="16"/>
          <w:szCs w:val="16"/>
          <w:color w:val="auto"/>
        </w:rPr>
        <w:t>”) amends the Schedule 13D filed on September 27, 1999 (the “</w:t>
      </w:r>
      <w:r>
        <w:rPr>
          <w:rFonts w:ascii="Arial" w:cs="Arial" w:eastAsia="Arial" w:hAnsi="Arial"/>
          <w:sz w:val="16"/>
          <w:szCs w:val="16"/>
          <w:u w:val="single" w:color="auto"/>
          <w:color w:val="auto"/>
        </w:rPr>
        <w:t>Initial 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13D</w:t>
      </w:r>
      <w:r>
        <w:rPr>
          <w:rFonts w:ascii="Arial" w:cs="Arial" w:eastAsia="Arial" w:hAnsi="Arial"/>
          <w:sz w:val="16"/>
          <w:szCs w:val="16"/>
          <w:color w:val="auto"/>
        </w:rPr>
        <w:t>”), as amended by Amendment No. 1 filed on February 14, 2003, Amendment No. 2 filed on November 9, 2005, Amendment No. 3 filed on January 18, 2007, Amendment No. 4 filed on February 23, 2007, Amendment No. 5 filed on March 15, 2007, and Amendment No. 6 filed on March 30, 2007 (together with the Initial Schedule 13D, the “</w:t>
      </w:r>
      <w:r>
        <w:rPr>
          <w:rFonts w:ascii="Arial" w:cs="Arial" w:eastAsia="Arial" w:hAnsi="Arial"/>
          <w:sz w:val="16"/>
          <w:szCs w:val="16"/>
          <w:u w:val="single" w:color="auto"/>
          <w:color w:val="auto"/>
        </w:rPr>
        <w:t>Schedule 13D</w:t>
      </w:r>
      <w:r>
        <w:rPr>
          <w:rFonts w:ascii="Arial" w:cs="Arial" w:eastAsia="Arial" w:hAnsi="Arial"/>
          <w:sz w:val="16"/>
          <w:szCs w:val="16"/>
          <w:color w:val="auto"/>
        </w:rPr>
        <w:t>”), which relates to shares of Class A Common Stock (“</w:t>
      </w:r>
      <w:r>
        <w:rPr>
          <w:rFonts w:ascii="Arial" w:cs="Arial" w:eastAsia="Arial" w:hAnsi="Arial"/>
          <w:sz w:val="16"/>
          <w:szCs w:val="16"/>
          <w:u w:val="single" w:color="auto"/>
          <w:color w:val="auto"/>
        </w:rPr>
        <w:t>Class A Common Stock</w:t>
      </w:r>
      <w:r>
        <w:rPr>
          <w:rFonts w:ascii="Arial" w:cs="Arial" w:eastAsia="Arial" w:hAnsi="Arial"/>
          <w:sz w:val="16"/>
          <w:szCs w:val="16"/>
          <w:color w:val="auto"/>
        </w:rPr>
        <w:t>”), par value $0.001 per share, of ION Media Networks, Inc. (the “</w:t>
      </w:r>
      <w:r>
        <w:rPr>
          <w:rFonts w:ascii="Arial" w:cs="Arial" w:eastAsia="Arial" w:hAnsi="Arial"/>
          <w:sz w:val="16"/>
          <w:szCs w:val="16"/>
          <w:u w:val="single" w:color="auto"/>
          <w:color w:val="auto"/>
        </w:rPr>
        <w:t>Company</w:t>
      </w:r>
      <w:r>
        <w:rPr>
          <w:rFonts w:ascii="Arial" w:cs="Arial" w:eastAsia="Arial" w:hAnsi="Arial"/>
          <w:sz w:val="16"/>
          <w:szCs w:val="16"/>
          <w:color w:val="auto"/>
        </w:rPr>
        <w:t>”). Capitalized terms used but not defined herein shall have the meanings attributed to them in the Schedule 13D. All items or responses not described herein remain as previously reported in the Schedule 13D.</w:t>
      </w:r>
    </w:p>
    <w:p>
      <w:pPr>
        <w:spacing w:after="0" w:line="16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3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Item 4 of the Schedule 13D is hereby amended and supplemented by adding the following immediately after the last paragraph thereof:</w:t>
      </w:r>
    </w:p>
    <w:p>
      <w:pPr>
        <w:spacing w:after="0" w:line="248" w:lineRule="exact"/>
        <w:rPr>
          <w:sz w:val="20"/>
          <w:szCs w:val="20"/>
          <w:color w:val="auto"/>
        </w:rPr>
      </w:pPr>
    </w:p>
    <w:p>
      <w:pPr>
        <w:jc w:val="both"/>
        <w:ind w:right="120" w:firstLine="972"/>
        <w:spacing w:after="0" w:line="306" w:lineRule="auto"/>
        <w:rPr>
          <w:sz w:val="20"/>
          <w:szCs w:val="20"/>
          <w:color w:val="auto"/>
        </w:rPr>
      </w:pPr>
      <w:r>
        <w:rPr>
          <w:rFonts w:ascii="Arial" w:cs="Arial" w:eastAsia="Arial" w:hAnsi="Arial"/>
          <w:sz w:val="16"/>
          <w:szCs w:val="16"/>
          <w:color w:val="auto"/>
        </w:rPr>
        <w:t>“On April 10, 2007, NBCU and CLP entered into a letter agreement (the “</w:t>
      </w:r>
      <w:r>
        <w:rPr>
          <w:rFonts w:ascii="Arial" w:cs="Arial" w:eastAsia="Arial" w:hAnsi="Arial"/>
          <w:sz w:val="16"/>
          <w:szCs w:val="16"/>
          <w:u w:val="single" w:color="auto"/>
          <w:color w:val="auto"/>
        </w:rPr>
        <w:t>LOI Amendment</w:t>
      </w:r>
      <w:r>
        <w:rPr>
          <w:rFonts w:ascii="Arial" w:cs="Arial" w:eastAsia="Arial" w:hAnsi="Arial"/>
          <w:sz w:val="16"/>
          <w:szCs w:val="16"/>
          <w:color w:val="auto"/>
        </w:rPr>
        <w:t>”) to amend the Letter of Intent that was entered into on January 17, 2007 and later amended on March 14, 2007 by extending the expiration date of the Exclusivity Period from May 7, 2007 to November 7, 2007. This description of the LOI Amendment is subject to the terms of the LOI Amendment, attached hereto as Exhibit 26 and incorporated herein by reference.</w:t>
      </w:r>
    </w:p>
    <w:p>
      <w:pPr>
        <w:spacing w:after="0" w:line="161" w:lineRule="exact"/>
        <w:rPr>
          <w:sz w:val="20"/>
          <w:szCs w:val="20"/>
          <w:color w:val="auto"/>
        </w:rPr>
      </w:pPr>
    </w:p>
    <w:p>
      <w:pPr>
        <w:ind w:right="60" w:firstLine="972"/>
        <w:spacing w:after="0" w:line="332" w:lineRule="auto"/>
        <w:rPr>
          <w:sz w:val="20"/>
          <w:szCs w:val="20"/>
          <w:color w:val="auto"/>
        </w:rPr>
      </w:pPr>
      <w:r>
        <w:rPr>
          <w:rFonts w:ascii="Arial" w:cs="Arial" w:eastAsia="Arial" w:hAnsi="Arial"/>
          <w:sz w:val="16"/>
          <w:szCs w:val="16"/>
          <w:color w:val="auto"/>
        </w:rPr>
        <w:t>Except as set forth herein, in the Schedule 13D, and in the exhibits hereto and thereto, the Reporting Persons have no present plans or proposals that would result in or relate to any of the transactions or changes listed in Items 4(a) through 4(j) of the form of Schedule 13D.”</w:t>
      </w:r>
    </w:p>
    <w:p>
      <w:pPr>
        <w:spacing w:after="0" w:line="1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Materials to be Filed as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20" w:type="dxa"/>
            <w:vAlign w:val="bottom"/>
          </w:tcPr>
          <w:p>
            <w:pPr>
              <w:ind w:left="260"/>
              <w:spacing w:after="0"/>
              <w:rPr>
                <w:sz w:val="20"/>
                <w:szCs w:val="20"/>
                <w:color w:val="auto"/>
              </w:rPr>
            </w:pPr>
            <w:r>
              <w:rPr>
                <w:rFonts w:ascii="Arial" w:cs="Arial" w:eastAsia="Arial" w:hAnsi="Arial"/>
                <w:sz w:val="18"/>
                <w:szCs w:val="18"/>
                <w:b w:val="1"/>
                <w:bCs w:val="1"/>
                <w:color w:val="auto"/>
              </w:rPr>
              <w:t>Exhibit No.</w:t>
            </w:r>
          </w:p>
        </w:tc>
        <w:tc>
          <w:tcPr>
            <w:tcW w:w="10020" w:type="dxa"/>
            <w:vAlign w:val="bottom"/>
          </w:tcPr>
          <w:p>
            <w:pPr>
              <w:ind w:left="300"/>
              <w:spacing w:after="0"/>
              <w:rPr>
                <w:sz w:val="20"/>
                <w:szCs w:val="20"/>
                <w:color w:val="auto"/>
              </w:rPr>
            </w:pPr>
            <w:r>
              <w:rPr>
                <w:rFonts w:ascii="Arial" w:cs="Arial" w:eastAsia="Arial" w:hAnsi="Arial"/>
                <w:sz w:val="18"/>
                <w:szCs w:val="18"/>
                <w:b w:val="1"/>
                <w:bCs w:val="1"/>
                <w:color w:val="auto"/>
              </w:rPr>
              <w:t>Description</w:t>
            </w:r>
          </w:p>
        </w:tc>
      </w:tr>
      <w:tr>
        <w:trPr>
          <w:trHeight w:val="486"/>
        </w:trPr>
        <w:tc>
          <w:tcPr>
            <w:tcW w:w="1420" w:type="dxa"/>
            <w:vAlign w:val="bottom"/>
          </w:tcPr>
          <w:p>
            <w:pPr>
              <w:ind w:left="260"/>
              <w:spacing w:after="0"/>
              <w:rPr>
                <w:sz w:val="20"/>
                <w:szCs w:val="20"/>
                <w:color w:val="auto"/>
              </w:rPr>
            </w:pPr>
            <w:r>
              <w:rPr>
                <w:rFonts w:ascii="Arial" w:cs="Arial" w:eastAsia="Arial" w:hAnsi="Arial"/>
                <w:sz w:val="18"/>
                <w:szCs w:val="18"/>
                <w:color w:val="auto"/>
              </w:rPr>
              <w:t>Exhibit 26</w:t>
            </w:r>
          </w:p>
        </w:tc>
        <w:tc>
          <w:tcPr>
            <w:tcW w:w="10020" w:type="dxa"/>
            <w:vAlign w:val="bottom"/>
          </w:tcPr>
          <w:p>
            <w:pPr>
              <w:ind w:left="320"/>
              <w:spacing w:after="0"/>
              <w:rPr>
                <w:sz w:val="20"/>
                <w:szCs w:val="20"/>
                <w:color w:val="auto"/>
              </w:rPr>
            </w:pPr>
            <w:r>
              <w:rPr>
                <w:rFonts w:ascii="Arial" w:cs="Arial" w:eastAsia="Arial" w:hAnsi="Arial"/>
                <w:sz w:val="18"/>
                <w:szCs w:val="18"/>
                <w:color w:val="auto"/>
              </w:rPr>
              <w:t>Letter Agreement, dated April 10, 2007, between NBC Universal, Inc. and Citadel Limited Partnership.</w:t>
            </w:r>
          </w:p>
        </w:tc>
      </w:tr>
      <w:tr>
        <w:trPr>
          <w:trHeight w:val="877"/>
        </w:trPr>
        <w:tc>
          <w:tcPr>
            <w:tcW w:w="1420" w:type="dxa"/>
            <w:vAlign w:val="bottom"/>
            <w:tcBorders>
              <w:bottom w:val="single" w:sz="8" w:color="808080"/>
            </w:tcBorders>
          </w:tcPr>
          <w:p>
            <w:pPr>
              <w:spacing w:after="0"/>
              <w:rPr>
                <w:sz w:val="24"/>
                <w:szCs w:val="24"/>
                <w:color w:val="auto"/>
              </w:rPr>
            </w:pPr>
          </w:p>
        </w:tc>
        <w:tc>
          <w:tcPr>
            <w:tcW w:w="100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and correct.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GENERAL ELECTRIC COMPANY</w:t>
      </w:r>
    </w:p>
    <w:p>
      <w:pPr>
        <w:spacing w:after="0" w:line="200" w:lineRule="exact"/>
        <w:rPr>
          <w:sz w:val="20"/>
          <w:szCs w:val="20"/>
          <w:color w:val="auto"/>
        </w:rPr>
      </w:pPr>
    </w:p>
    <w:p>
      <w:pPr>
        <w:spacing w:after="0" w:line="322" w:lineRule="exact"/>
        <w:rPr>
          <w:sz w:val="20"/>
          <w:szCs w:val="20"/>
          <w:color w:val="auto"/>
        </w:rPr>
      </w:pPr>
    </w:p>
    <w:p>
      <w:pPr>
        <w:ind w:left="5280"/>
        <w:spacing w:after="0"/>
        <w:tabs>
          <w:tab w:leader="none" w:pos="5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Lynn A. Calpeter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36830</wp:posOffset>
            </wp:positionV>
            <wp:extent cx="30187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43" w:lineRule="exact"/>
        <w:rPr>
          <w:sz w:val="20"/>
          <w:szCs w:val="20"/>
          <w:color w:val="auto"/>
        </w:rPr>
      </w:pPr>
    </w:p>
    <w:p>
      <w:pPr>
        <w:ind w:left="5280"/>
        <w:spacing w:after="0"/>
        <w:tabs>
          <w:tab w:leader="none" w:pos="5900" w:val="left"/>
        </w:tabs>
        <w:rPr>
          <w:sz w:val="20"/>
          <w:szCs w:val="20"/>
          <w:color w:val="auto"/>
        </w:rPr>
      </w:pPr>
      <w:r>
        <w:rPr>
          <w:rFonts w:ascii="Arial" w:cs="Arial" w:eastAsia="Arial" w:hAnsi="Arial"/>
          <w:sz w:val="18"/>
          <w:szCs w:val="18"/>
          <w:color w:val="auto"/>
        </w:rPr>
        <w:t>Name:</w:t>
        <w:tab/>
        <w:t>Lynn A. Calpeter</w:t>
      </w:r>
    </w:p>
    <w:p>
      <w:pPr>
        <w:spacing w:after="0" w:line="23" w:lineRule="exact"/>
        <w:rPr>
          <w:sz w:val="20"/>
          <w:szCs w:val="20"/>
          <w:color w:val="auto"/>
        </w:rPr>
      </w:pPr>
    </w:p>
    <w:p>
      <w:pPr>
        <w:ind w:left="5280"/>
        <w:spacing w:after="0"/>
        <w:tabs>
          <w:tab w:leader="none" w:pos="5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NATIONAL BROADCASTING COMPANY HOLDING, INC.</w:t>
      </w:r>
    </w:p>
    <w:p>
      <w:pPr>
        <w:spacing w:after="0" w:line="200" w:lineRule="exact"/>
        <w:rPr>
          <w:sz w:val="20"/>
          <w:szCs w:val="20"/>
          <w:color w:val="auto"/>
        </w:rPr>
      </w:pPr>
    </w:p>
    <w:p>
      <w:pPr>
        <w:spacing w:after="0" w:line="322" w:lineRule="exact"/>
        <w:rPr>
          <w:sz w:val="20"/>
          <w:szCs w:val="20"/>
          <w:color w:val="auto"/>
        </w:rPr>
      </w:pPr>
    </w:p>
    <w:p>
      <w:pPr>
        <w:ind w:left="5280"/>
        <w:spacing w:after="0"/>
        <w:tabs>
          <w:tab w:leader="none" w:pos="5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Lynn A. Calpeter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36830</wp:posOffset>
            </wp:positionV>
            <wp:extent cx="30187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43" w:lineRule="exact"/>
        <w:rPr>
          <w:sz w:val="20"/>
          <w:szCs w:val="20"/>
          <w:color w:val="auto"/>
        </w:rPr>
      </w:pPr>
    </w:p>
    <w:p>
      <w:pPr>
        <w:ind w:left="5280"/>
        <w:spacing w:after="0"/>
        <w:tabs>
          <w:tab w:leader="none" w:pos="5900" w:val="left"/>
        </w:tabs>
        <w:rPr>
          <w:sz w:val="20"/>
          <w:szCs w:val="20"/>
          <w:color w:val="auto"/>
        </w:rPr>
      </w:pPr>
      <w:r>
        <w:rPr>
          <w:rFonts w:ascii="Arial" w:cs="Arial" w:eastAsia="Arial" w:hAnsi="Arial"/>
          <w:sz w:val="18"/>
          <w:szCs w:val="18"/>
          <w:color w:val="auto"/>
        </w:rPr>
        <w:t>Name:</w:t>
        <w:tab/>
        <w:t>Lynn A. Calpeter</w:t>
      </w:r>
    </w:p>
    <w:p>
      <w:pPr>
        <w:spacing w:after="0" w:line="23" w:lineRule="exact"/>
        <w:rPr>
          <w:sz w:val="20"/>
          <w:szCs w:val="20"/>
          <w:color w:val="auto"/>
        </w:rPr>
      </w:pPr>
    </w:p>
    <w:p>
      <w:pPr>
        <w:ind w:left="5280"/>
        <w:spacing w:after="0"/>
        <w:tabs>
          <w:tab w:leader="none" w:pos="5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NBC UNIVERSAL, INC.</w:t>
      </w:r>
    </w:p>
    <w:p>
      <w:pPr>
        <w:spacing w:after="0" w:line="200" w:lineRule="exact"/>
        <w:rPr>
          <w:sz w:val="20"/>
          <w:szCs w:val="20"/>
          <w:color w:val="auto"/>
        </w:rPr>
      </w:pPr>
    </w:p>
    <w:p>
      <w:pPr>
        <w:spacing w:after="0" w:line="322" w:lineRule="exact"/>
        <w:rPr>
          <w:sz w:val="20"/>
          <w:szCs w:val="20"/>
          <w:color w:val="auto"/>
        </w:rPr>
      </w:pPr>
    </w:p>
    <w:tbl>
      <w:tblPr>
        <w:tblLayout w:type="fixed"/>
        <w:tblInd w:w="528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Pr>
          <w:p>
            <w:pPr>
              <w:ind w:left="80"/>
              <w:spacing w:after="0"/>
              <w:rPr>
                <w:sz w:val="20"/>
                <w:szCs w:val="20"/>
                <w:color w:val="auto"/>
              </w:rPr>
            </w:pPr>
            <w:r>
              <w:rPr>
                <w:rFonts w:ascii="Arial" w:cs="Arial" w:eastAsia="Arial" w:hAnsi="Arial"/>
                <w:sz w:val="18"/>
                <w:szCs w:val="18"/>
                <w:color w:val="auto"/>
              </w:rPr>
              <w:t>/s/ Lynn A. Calpeter</w:t>
            </w:r>
          </w:p>
        </w:tc>
      </w:tr>
      <w:tr>
        <w:trPr>
          <w:trHeight w:val="43"/>
        </w:trPr>
        <w:tc>
          <w:tcPr>
            <w:tcW w:w="560" w:type="dxa"/>
            <w:vAlign w:val="bottom"/>
            <w:tcBorders>
              <w:bottom w:val="single" w:sz="8" w:color="auto"/>
            </w:tcBorders>
          </w:tcPr>
          <w:p>
            <w:pPr>
              <w:spacing w:after="0"/>
              <w:rPr>
                <w:sz w:val="3"/>
                <w:szCs w:val="3"/>
                <w:color w:val="auto"/>
              </w:rPr>
            </w:pPr>
          </w:p>
        </w:tc>
        <w:tc>
          <w:tcPr>
            <w:tcW w:w="4180" w:type="dxa"/>
            <w:vAlign w:val="bottom"/>
            <w:tcBorders>
              <w:bottom w:val="single" w:sz="8" w:color="auto"/>
            </w:tcBorders>
          </w:tcPr>
          <w:p>
            <w:pPr>
              <w:spacing w:after="0"/>
              <w:rPr>
                <w:sz w:val="3"/>
                <w:szCs w:val="3"/>
                <w:color w:val="auto"/>
              </w:rPr>
            </w:pPr>
          </w:p>
        </w:tc>
      </w:tr>
      <w:tr>
        <w:trPr>
          <w:trHeight w:val="215"/>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180" w:type="dxa"/>
            <w:vAlign w:val="bottom"/>
          </w:tcPr>
          <w:p>
            <w:pPr>
              <w:ind w:left="80"/>
              <w:spacing w:after="0"/>
              <w:rPr>
                <w:sz w:val="20"/>
                <w:szCs w:val="20"/>
                <w:color w:val="auto"/>
              </w:rPr>
            </w:pPr>
            <w:r>
              <w:rPr>
                <w:rFonts w:ascii="Arial" w:cs="Arial" w:eastAsia="Arial" w:hAnsi="Arial"/>
                <w:sz w:val="18"/>
                <w:szCs w:val="18"/>
                <w:color w:val="auto"/>
              </w:rPr>
              <w:t>Lynn A. Calpeter</w:t>
            </w: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180" w:type="dxa"/>
            <w:vAlign w:val="bottom"/>
          </w:tcPr>
          <w:p>
            <w:pPr>
              <w:ind w:left="80"/>
              <w:spacing w:after="0"/>
              <w:rPr>
                <w:sz w:val="20"/>
                <w:szCs w:val="20"/>
                <w:color w:val="auto"/>
              </w:rPr>
            </w:pPr>
            <w:r>
              <w:rPr>
                <w:rFonts w:ascii="Arial" w:cs="Arial" w:eastAsia="Arial" w:hAnsi="Arial"/>
                <w:sz w:val="18"/>
                <w:szCs w:val="18"/>
                <w:color w:val="auto"/>
                <w:w w:val="98"/>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NBC PALM BEACH INVESTMENT I, INC.</w:t>
      </w:r>
    </w:p>
    <w:p>
      <w:pPr>
        <w:spacing w:after="0" w:line="200" w:lineRule="exact"/>
        <w:rPr>
          <w:sz w:val="20"/>
          <w:szCs w:val="20"/>
          <w:color w:val="auto"/>
        </w:rPr>
      </w:pPr>
    </w:p>
    <w:p>
      <w:pPr>
        <w:spacing w:after="0" w:line="322" w:lineRule="exact"/>
        <w:rPr>
          <w:sz w:val="20"/>
          <w:szCs w:val="20"/>
          <w:color w:val="auto"/>
        </w:rPr>
      </w:pPr>
    </w:p>
    <w:tbl>
      <w:tblPr>
        <w:tblLayout w:type="fixed"/>
        <w:tblInd w:w="528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Pr>
          <w:p>
            <w:pPr>
              <w:ind w:left="80"/>
              <w:spacing w:after="0"/>
              <w:rPr>
                <w:sz w:val="20"/>
                <w:szCs w:val="20"/>
                <w:color w:val="auto"/>
              </w:rPr>
            </w:pPr>
            <w:r>
              <w:rPr>
                <w:rFonts w:ascii="Arial" w:cs="Arial" w:eastAsia="Arial" w:hAnsi="Arial"/>
                <w:sz w:val="18"/>
                <w:szCs w:val="18"/>
                <w:color w:val="auto"/>
              </w:rPr>
              <w:t>/s/ Lynn A. Calpeter</w:t>
            </w:r>
          </w:p>
        </w:tc>
      </w:tr>
      <w:tr>
        <w:trPr>
          <w:trHeight w:val="43"/>
        </w:trPr>
        <w:tc>
          <w:tcPr>
            <w:tcW w:w="560" w:type="dxa"/>
            <w:vAlign w:val="bottom"/>
            <w:tcBorders>
              <w:bottom w:val="single" w:sz="8" w:color="auto"/>
            </w:tcBorders>
          </w:tcPr>
          <w:p>
            <w:pPr>
              <w:spacing w:after="0"/>
              <w:rPr>
                <w:sz w:val="3"/>
                <w:szCs w:val="3"/>
                <w:color w:val="auto"/>
              </w:rPr>
            </w:pPr>
          </w:p>
        </w:tc>
        <w:tc>
          <w:tcPr>
            <w:tcW w:w="4180" w:type="dxa"/>
            <w:vAlign w:val="bottom"/>
            <w:tcBorders>
              <w:bottom w:val="single" w:sz="8" w:color="auto"/>
            </w:tcBorders>
          </w:tcPr>
          <w:p>
            <w:pPr>
              <w:spacing w:after="0"/>
              <w:rPr>
                <w:sz w:val="3"/>
                <w:szCs w:val="3"/>
                <w:color w:val="auto"/>
              </w:rPr>
            </w:pPr>
          </w:p>
        </w:tc>
      </w:tr>
      <w:tr>
        <w:trPr>
          <w:trHeight w:val="215"/>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180" w:type="dxa"/>
            <w:vAlign w:val="bottom"/>
          </w:tcPr>
          <w:p>
            <w:pPr>
              <w:ind w:left="80"/>
              <w:spacing w:after="0"/>
              <w:rPr>
                <w:sz w:val="20"/>
                <w:szCs w:val="20"/>
                <w:color w:val="auto"/>
              </w:rPr>
            </w:pPr>
            <w:r>
              <w:rPr>
                <w:rFonts w:ascii="Arial" w:cs="Arial" w:eastAsia="Arial" w:hAnsi="Arial"/>
                <w:sz w:val="18"/>
                <w:szCs w:val="18"/>
                <w:color w:val="auto"/>
              </w:rPr>
              <w:t>Lynn A. Calpeter</w:t>
            </w: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180" w:type="dxa"/>
            <w:vAlign w:val="bottom"/>
          </w:tcPr>
          <w:p>
            <w:pPr>
              <w:ind w:left="80"/>
              <w:spacing w:after="0"/>
              <w:rPr>
                <w:sz w:val="20"/>
                <w:szCs w:val="20"/>
                <w:color w:val="auto"/>
              </w:rPr>
            </w:pPr>
            <w:r>
              <w:rPr>
                <w:rFonts w:ascii="Arial" w:cs="Arial" w:eastAsia="Arial" w:hAnsi="Arial"/>
                <w:sz w:val="18"/>
                <w:szCs w:val="18"/>
                <w:color w:val="auto"/>
              </w:rPr>
              <w:t>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NBC PALM BEACH INVESTMENT II, INC.</w:t>
      </w:r>
    </w:p>
    <w:p>
      <w:pPr>
        <w:spacing w:after="0" w:line="200" w:lineRule="exact"/>
        <w:rPr>
          <w:sz w:val="20"/>
          <w:szCs w:val="20"/>
          <w:color w:val="auto"/>
        </w:rPr>
      </w:pPr>
    </w:p>
    <w:p>
      <w:pPr>
        <w:spacing w:after="0" w:line="322" w:lineRule="exact"/>
        <w:rPr>
          <w:sz w:val="20"/>
          <w:szCs w:val="20"/>
          <w:color w:val="auto"/>
        </w:rPr>
      </w:pPr>
    </w:p>
    <w:tbl>
      <w:tblPr>
        <w:tblLayout w:type="fixed"/>
        <w:tblInd w:w="528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Pr>
          <w:p>
            <w:pPr>
              <w:ind w:left="80"/>
              <w:spacing w:after="0"/>
              <w:rPr>
                <w:sz w:val="20"/>
                <w:szCs w:val="20"/>
                <w:color w:val="auto"/>
              </w:rPr>
            </w:pPr>
            <w:r>
              <w:rPr>
                <w:rFonts w:ascii="Arial" w:cs="Arial" w:eastAsia="Arial" w:hAnsi="Arial"/>
                <w:sz w:val="18"/>
                <w:szCs w:val="18"/>
                <w:color w:val="auto"/>
              </w:rPr>
              <w:t>/s/ Lynn A. Calpeter</w:t>
            </w:r>
          </w:p>
        </w:tc>
      </w:tr>
      <w:tr>
        <w:trPr>
          <w:trHeight w:val="43"/>
        </w:trPr>
        <w:tc>
          <w:tcPr>
            <w:tcW w:w="560" w:type="dxa"/>
            <w:vAlign w:val="bottom"/>
            <w:tcBorders>
              <w:bottom w:val="single" w:sz="8" w:color="auto"/>
            </w:tcBorders>
          </w:tcPr>
          <w:p>
            <w:pPr>
              <w:spacing w:after="0"/>
              <w:rPr>
                <w:sz w:val="3"/>
                <w:szCs w:val="3"/>
                <w:color w:val="auto"/>
              </w:rPr>
            </w:pPr>
          </w:p>
        </w:tc>
        <w:tc>
          <w:tcPr>
            <w:tcW w:w="4180" w:type="dxa"/>
            <w:vAlign w:val="bottom"/>
            <w:tcBorders>
              <w:bottom w:val="single" w:sz="8" w:color="auto"/>
            </w:tcBorders>
          </w:tcPr>
          <w:p>
            <w:pPr>
              <w:spacing w:after="0"/>
              <w:rPr>
                <w:sz w:val="3"/>
                <w:szCs w:val="3"/>
                <w:color w:val="auto"/>
              </w:rPr>
            </w:pPr>
          </w:p>
        </w:tc>
      </w:tr>
      <w:tr>
        <w:trPr>
          <w:trHeight w:val="215"/>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180" w:type="dxa"/>
            <w:vAlign w:val="bottom"/>
          </w:tcPr>
          <w:p>
            <w:pPr>
              <w:ind w:left="80"/>
              <w:spacing w:after="0"/>
              <w:rPr>
                <w:sz w:val="20"/>
                <w:szCs w:val="20"/>
                <w:color w:val="auto"/>
              </w:rPr>
            </w:pPr>
            <w:r>
              <w:rPr>
                <w:rFonts w:ascii="Arial" w:cs="Arial" w:eastAsia="Arial" w:hAnsi="Arial"/>
                <w:sz w:val="18"/>
                <w:szCs w:val="18"/>
                <w:color w:val="auto"/>
              </w:rPr>
              <w:t>Lynn A. Calpeter</w:t>
            </w: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180" w:type="dxa"/>
            <w:vAlign w:val="bottom"/>
          </w:tcPr>
          <w:p>
            <w:pPr>
              <w:ind w:left="80"/>
              <w:spacing w:after="0"/>
              <w:rPr>
                <w:sz w:val="20"/>
                <w:szCs w:val="20"/>
                <w:color w:val="auto"/>
              </w:rPr>
            </w:pPr>
            <w:r>
              <w:rPr>
                <w:rFonts w:ascii="Arial" w:cs="Arial" w:eastAsia="Arial" w:hAnsi="Arial"/>
                <w:sz w:val="18"/>
                <w:szCs w:val="18"/>
                <w:color w:val="auto"/>
              </w:rPr>
              <w:t>Vice President and Treasurer</w:t>
            </w:r>
          </w:p>
        </w:tc>
      </w:tr>
    </w:tbl>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Dated: April 10,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6700" w:type="dxa"/>
            <w:vAlign w:val="bottom"/>
            <w:gridSpan w:val="3"/>
          </w:tcPr>
          <w:p>
            <w:pPr>
              <w:ind w:left="3620"/>
              <w:spacing w:after="0"/>
              <w:rPr>
                <w:sz w:val="20"/>
                <w:szCs w:val="20"/>
                <w:color w:val="auto"/>
              </w:rPr>
            </w:pPr>
            <w:r>
              <w:rPr>
                <w:rFonts w:ascii="Arial" w:cs="Arial" w:eastAsia="Arial" w:hAnsi="Arial"/>
                <w:sz w:val="18"/>
                <w:szCs w:val="18"/>
                <w:b w:val="1"/>
                <w:bCs w:val="1"/>
                <w:color w:val="auto"/>
              </w:rPr>
              <w:t>EXHIBIT INDEX</w:t>
            </w:r>
          </w:p>
        </w:tc>
      </w:tr>
      <w:tr>
        <w:trPr>
          <w:trHeight w:val="721"/>
        </w:trPr>
        <w:tc>
          <w:tcPr>
            <w:tcW w:w="116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3620" w:type="dxa"/>
            <w:vAlign w:val="bottom"/>
          </w:tcPr>
          <w:p>
            <w:pPr>
              <w:ind w:left="300"/>
              <w:spacing w:after="0"/>
              <w:rPr>
                <w:sz w:val="20"/>
                <w:szCs w:val="20"/>
                <w:color w:val="auto"/>
              </w:rPr>
            </w:pPr>
            <w:r>
              <w:rPr>
                <w:rFonts w:ascii="Arial" w:cs="Arial" w:eastAsia="Arial" w:hAnsi="Arial"/>
                <w:sz w:val="18"/>
                <w:szCs w:val="18"/>
                <w:b w:val="1"/>
                <w:bCs w:val="1"/>
                <w:color w:val="auto"/>
              </w:rPr>
              <w:t>Description</w:t>
            </w:r>
          </w:p>
        </w:tc>
        <w:tc>
          <w:tcPr>
            <w:tcW w:w="1360" w:type="dxa"/>
            <w:vAlign w:val="bottom"/>
            <w:tcBorders>
              <w:top w:val="single" w:sz="8" w:color="auto"/>
            </w:tcBorders>
          </w:tcPr>
          <w:p>
            <w:pPr>
              <w:spacing w:after="0"/>
              <w:rPr>
                <w:sz w:val="24"/>
                <w:szCs w:val="24"/>
                <w:color w:val="auto"/>
              </w:rPr>
            </w:pPr>
          </w:p>
        </w:tc>
        <w:tc>
          <w:tcPr>
            <w:tcW w:w="1720" w:type="dxa"/>
            <w:vAlign w:val="bottom"/>
          </w:tcPr>
          <w:p>
            <w:pPr>
              <w:spacing w:after="0"/>
              <w:rPr>
                <w:sz w:val="24"/>
                <w:szCs w:val="24"/>
                <w:color w:val="auto"/>
              </w:rPr>
            </w:pPr>
          </w:p>
        </w:tc>
      </w:tr>
      <w:tr>
        <w:trPr>
          <w:trHeight w:val="453"/>
        </w:trPr>
        <w:tc>
          <w:tcPr>
            <w:tcW w:w="1160" w:type="dxa"/>
            <w:vAlign w:val="bottom"/>
          </w:tcPr>
          <w:p>
            <w:pPr>
              <w:spacing w:after="0"/>
              <w:rPr>
                <w:sz w:val="20"/>
                <w:szCs w:val="20"/>
                <w:color w:val="auto"/>
              </w:rPr>
            </w:pPr>
            <w:r>
              <w:rPr>
                <w:rFonts w:ascii="Arial" w:cs="Arial" w:eastAsia="Arial" w:hAnsi="Arial"/>
                <w:sz w:val="18"/>
                <w:szCs w:val="18"/>
                <w:color w:val="auto"/>
              </w:rPr>
              <w:t>Exhibit 26</w:t>
            </w:r>
          </w:p>
        </w:tc>
        <w:tc>
          <w:tcPr>
            <w:tcW w:w="6700" w:type="dxa"/>
            <w:vAlign w:val="bottom"/>
            <w:gridSpan w:val="3"/>
          </w:tcPr>
          <w:p>
            <w:pPr>
              <w:ind w:left="300"/>
              <w:spacing w:after="0"/>
              <w:rPr>
                <w:sz w:val="20"/>
                <w:szCs w:val="20"/>
                <w:color w:val="auto"/>
              </w:rPr>
            </w:pPr>
            <w:r>
              <w:rPr>
                <w:rFonts w:ascii="Arial" w:cs="Arial" w:eastAsia="Arial" w:hAnsi="Arial"/>
                <w:sz w:val="18"/>
                <w:szCs w:val="18"/>
                <w:color w:val="auto"/>
                <w:w w:val="89"/>
              </w:rPr>
              <w:t>Letter Agreement, dated April 10, 2007, between NBC Universal, Inc. and Citadel Limited</w:t>
            </w:r>
          </w:p>
        </w:tc>
      </w:tr>
      <w:tr>
        <w:trPr>
          <w:trHeight w:val="222"/>
        </w:trPr>
        <w:tc>
          <w:tcPr>
            <w:tcW w:w="1160" w:type="dxa"/>
            <w:vAlign w:val="bottom"/>
          </w:tcPr>
          <w:p>
            <w:pPr>
              <w:spacing w:after="0"/>
              <w:rPr>
                <w:sz w:val="19"/>
                <w:szCs w:val="19"/>
                <w:color w:val="auto"/>
              </w:rPr>
            </w:pPr>
          </w:p>
        </w:tc>
        <w:tc>
          <w:tcPr>
            <w:tcW w:w="6700" w:type="dxa"/>
            <w:vAlign w:val="bottom"/>
            <w:gridSpan w:val="3"/>
          </w:tcPr>
          <w:p>
            <w:pPr>
              <w:ind w:left="300"/>
              <w:spacing w:after="0"/>
              <w:rPr>
                <w:sz w:val="20"/>
                <w:szCs w:val="20"/>
                <w:color w:val="auto"/>
              </w:rPr>
            </w:pPr>
            <w:r>
              <w:rPr>
                <w:rFonts w:ascii="Arial" w:cs="Arial" w:eastAsia="Arial" w:hAnsi="Arial"/>
                <w:sz w:val="18"/>
                <w:szCs w:val="18"/>
                <w:color w:val="auto"/>
              </w:rPr>
              <w:t>Partnership.</w:t>
            </w:r>
          </w:p>
        </w:tc>
      </w:tr>
    </w:tbl>
    <w:p>
      <w:pPr>
        <w:sectPr>
          <w:pgSz w:w="11900" w:h="16838" w:orient="portrait"/>
          <w:cols w:equalWidth="0" w:num="1">
            <w:col w:w="9959"/>
          </w:cols>
          <w:pgMar w:left="500" w:top="108" w:right="1440" w:bottom="1440" w:gutter="0" w:footer="0" w:header="0"/>
        </w:sectPr>
      </w:pPr>
    </w:p>
    <w:bookmarkStart w:id="4" w:name="page5"/>
    <w:bookmarkEnd w:id="4"/>
    <w:p>
      <w:pPr>
        <w:jc w:val="center"/>
        <w:ind w:right="-139"/>
        <w:spacing w:after="0"/>
        <w:rPr>
          <w:sz w:val="20"/>
          <w:szCs w:val="20"/>
          <w:color w:val="auto"/>
        </w:rPr>
      </w:pPr>
      <w:r>
        <w:rPr>
          <w:rFonts w:ascii="Arial" w:cs="Arial" w:eastAsia="Arial" w:hAnsi="Arial"/>
          <w:sz w:val="18"/>
          <w:szCs w:val="18"/>
          <w:b w:val="1"/>
          <w:bCs w:val="1"/>
          <w:u w:val="single" w:color="auto"/>
          <w:color w:val="auto"/>
        </w:rPr>
        <w:t>EXHIBIT 26</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April 10,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NBC Universal,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10112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right="20" w:firstLine="972"/>
        <w:spacing w:after="0" w:line="259" w:lineRule="auto"/>
        <w:rPr>
          <w:sz w:val="20"/>
          <w:szCs w:val="20"/>
          <w:color w:val="auto"/>
        </w:rPr>
      </w:pPr>
      <w:r>
        <w:rPr>
          <w:rFonts w:ascii="Arial" w:cs="Arial" w:eastAsia="Arial" w:hAnsi="Arial"/>
          <w:sz w:val="18"/>
          <w:szCs w:val="18"/>
          <w:color w:val="auto"/>
        </w:rPr>
        <w:t>Reference is made to the letter of intent, dated as of January 17, 2007, amended on March 14, 2007 (as so amended, the “</w:t>
      </w:r>
      <w:r>
        <w:rPr>
          <w:rFonts w:ascii="Arial" w:cs="Arial" w:eastAsia="Arial" w:hAnsi="Arial"/>
          <w:sz w:val="18"/>
          <w:szCs w:val="18"/>
          <w:u w:val="single" w:color="auto"/>
          <w:color w:val="auto"/>
        </w:rPr>
        <w:t>Letter of Intent</w:t>
      </w:r>
      <w:r>
        <w:rPr>
          <w:rFonts w:ascii="Arial" w:cs="Arial" w:eastAsia="Arial" w:hAnsi="Arial"/>
          <w:sz w:val="18"/>
          <w:szCs w:val="18"/>
          <w:color w:val="auto"/>
        </w:rPr>
        <w:t>”), by and between NBC Universal, Inc. (together with its Affiliates, “</w:t>
      </w:r>
      <w:r>
        <w:rPr>
          <w:rFonts w:ascii="Arial" w:cs="Arial" w:eastAsia="Arial" w:hAnsi="Arial"/>
          <w:sz w:val="18"/>
          <w:szCs w:val="18"/>
          <w:u w:val="single" w:color="auto"/>
          <w:color w:val="auto"/>
        </w:rPr>
        <w:t>NBCU</w:t>
      </w:r>
      <w:r>
        <w:rPr>
          <w:rFonts w:ascii="Arial" w:cs="Arial" w:eastAsia="Arial" w:hAnsi="Arial"/>
          <w:sz w:val="18"/>
          <w:szCs w:val="18"/>
          <w:color w:val="auto"/>
        </w:rPr>
        <w:t>”) and Citadel Limited Partnership (together with its Affiliates, “</w:t>
      </w:r>
      <w:r>
        <w:rPr>
          <w:rFonts w:ascii="Arial" w:cs="Arial" w:eastAsia="Arial" w:hAnsi="Arial"/>
          <w:sz w:val="18"/>
          <w:szCs w:val="18"/>
          <w:u w:val="single" w:color="auto"/>
          <w:color w:val="auto"/>
        </w:rPr>
        <w:t>CLP</w:t>
      </w:r>
      <w:r>
        <w:rPr>
          <w:rFonts w:ascii="Arial" w:cs="Arial" w:eastAsia="Arial" w:hAnsi="Arial"/>
          <w:sz w:val="18"/>
          <w:szCs w:val="18"/>
          <w:color w:val="auto"/>
        </w:rPr>
        <w:t>”). All capitalized terms used but not otherwise defined herein shall have the meanings given to them in the Letter of Intent.</w:t>
      </w:r>
    </w:p>
    <w:p>
      <w:pPr>
        <w:spacing w:after="0" w:line="194" w:lineRule="exact"/>
        <w:rPr>
          <w:sz w:val="20"/>
          <w:szCs w:val="20"/>
          <w:color w:val="auto"/>
        </w:rPr>
      </w:pPr>
    </w:p>
    <w:p>
      <w:pPr>
        <w:jc w:val="both"/>
        <w:ind w:firstLine="972"/>
        <w:spacing w:after="0" w:line="332" w:lineRule="auto"/>
        <w:rPr>
          <w:sz w:val="20"/>
          <w:szCs w:val="20"/>
          <w:color w:val="auto"/>
        </w:rPr>
      </w:pPr>
      <w:r>
        <w:rPr>
          <w:rFonts w:ascii="Arial" w:cs="Arial" w:eastAsia="Arial" w:hAnsi="Arial"/>
          <w:sz w:val="16"/>
          <w:szCs w:val="16"/>
          <w:color w:val="auto"/>
        </w:rPr>
        <w:t>NBCU and CLP hereby agree to amend Paragraph 2(a) of the Letter of Intent by deleting the date “May 7, 2007” and replacing it with “November 7, 2007.” Except as and to the extent expressly modified by this letter agreement, the Letter of Intent shall remain in full force and effect in all respects.</w:t>
      </w:r>
    </w:p>
    <w:p>
      <w:pPr>
        <w:spacing w:after="0" w:line="13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Please acknowledge your agreement to and acceptance of the terms of this letter agreement by signing in the space provided below.</w:t>
      </w:r>
    </w:p>
    <w:p>
      <w:pPr>
        <w:spacing w:after="0" w:line="22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CITADEL LIMITED PARTNERSHIP</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By: Citadel Investment Group, L.L.C.,</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its General Partner</w:t>
      </w:r>
    </w:p>
    <w:p>
      <w:pPr>
        <w:spacing w:after="0" w:line="31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By: /s/ Matthew Hinerfeld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10795</wp:posOffset>
            </wp:positionV>
            <wp:extent cx="2263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Name:  Matthew Hinerfeld</w:t>
      </w:r>
    </w:p>
    <w:p>
      <w:pPr>
        <w:spacing w:after="0" w:line="15" w:lineRule="exact"/>
        <w:rPr>
          <w:sz w:val="20"/>
          <w:szCs w:val="20"/>
          <w:color w:val="auto"/>
        </w:rPr>
      </w:pPr>
    </w:p>
    <w:p>
      <w:pPr>
        <w:ind w:left="6840"/>
        <w:spacing w:after="0"/>
        <w:tabs>
          <w:tab w:leader="none" w:pos="7400" w:val="left"/>
        </w:tabs>
        <w:rPr>
          <w:sz w:val="20"/>
          <w:szCs w:val="20"/>
          <w:color w:val="auto"/>
        </w:rPr>
      </w:pPr>
      <w:r>
        <w:rPr>
          <w:rFonts w:ascii="Arial" w:cs="Arial" w:eastAsia="Arial" w:hAnsi="Arial"/>
          <w:sz w:val="18"/>
          <w:szCs w:val="18"/>
          <w:color w:val="auto"/>
        </w:rPr>
        <w:t>Title:</w:t>
        <w:tab/>
        <w:t>Managing Director &amp;</w:t>
      </w:r>
    </w:p>
    <w:p>
      <w:pPr>
        <w:spacing w:after="0" w:line="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Deputy General Counsel</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of April 10, 2007: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NBC UNIVERSAL, INC.</w:t>
      </w:r>
    </w:p>
    <w:p>
      <w:pPr>
        <w:spacing w:after="0" w:line="32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Bruce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10795</wp:posOffset>
            </wp:positionV>
            <wp:extent cx="23241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Bruce Campbell</w:t>
      </w:r>
    </w:p>
    <w:p>
      <w:pPr>
        <w:spacing w:after="0" w:line="15" w:lineRule="exact"/>
        <w:rPr>
          <w:sz w:val="20"/>
          <w:szCs w:val="20"/>
          <w:color w:val="auto"/>
        </w:rPr>
      </w:pPr>
    </w:p>
    <w:p>
      <w:pPr>
        <w:ind w:left="420"/>
        <w:spacing w:after="0"/>
        <w:tabs>
          <w:tab w:leader="none" w:pos="980" w:val="left"/>
        </w:tabs>
        <w:rPr>
          <w:sz w:val="20"/>
          <w:szCs w:val="20"/>
          <w:color w:val="auto"/>
        </w:rPr>
      </w:pPr>
      <w:r>
        <w:rPr>
          <w:rFonts w:ascii="Arial" w:cs="Arial" w:eastAsia="Arial" w:hAnsi="Arial"/>
          <w:sz w:val="18"/>
          <w:szCs w:val="18"/>
          <w:color w:val="auto"/>
        </w:rPr>
        <w:t>Title:</w:t>
        <w:tab/>
        <w:t>Executive Vice President, Business Development</w:t>
      </w:r>
    </w:p>
    <w:sectPr>
      <w:pgSz w:w="11900" w:h="16838" w:orient="portrait"/>
      <w:cols w:equalWidth="0" w:num="1">
        <w:col w:w="11280"/>
      </w:cols>
      <w:pgMar w:left="240" w:top="12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2019-12-16T11:25:23Z</dcterms:created>
  <dcterms:modified xsi:type="dcterms:W3CDTF">2019-12-16T11:25:23Z</dcterms:modified>
</cp:coreProperties>
</file>