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ANSTROM S DECKER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COMCAST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CMCSA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8"/>
            <w:vMerge w:val="continue"/>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LANDMARK COMMUNICATIONS, INC.</w:t>
            </w: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0000FF"/>
              </w:rPr>
              <w:t>11/20/2006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150 WEST BRAMBLETON AVENUE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4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gridSpan w:val="9"/>
          </w:tcPr>
          <w:p>
            <w:pPr>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NORFOLK</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0000FF"/>
                <w:w w:val="76"/>
              </w:rPr>
              <w:t>VA</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23510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80"/>
              <w:spacing w:after="0" w:line="152"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780" w:type="dxa"/>
            <w:vAlign w:val="bottom"/>
            <w:tcBorders>
              <w:top w:val="single" w:sz="8" w:color="2C2C2C"/>
            </w:tcBorders>
            <w:gridSpan w:val="18"/>
          </w:tcPr>
          <w:p>
            <w:pPr>
              <w:ind w:left="1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8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ind w:left="3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0000FF"/>
              </w:rPr>
              <w:t>2,451</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11/20/2006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60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0000FF"/>
              </w:rPr>
              <w:t>2,451</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6,136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These securities convert on a one-to-one basis.</w:t>
      </w:r>
    </w:p>
    <w:p>
      <w:pPr>
        <w:spacing w:after="0" w:line="41" w:lineRule="exact"/>
        <w:rPr>
          <w:rFonts w:ascii="Times New Roman" w:cs="Times New Roman" w:eastAsia="Times New Roman" w:hAnsi="Times New Roman"/>
          <w:sz w:val="14"/>
          <w:szCs w:val="14"/>
          <w:color w:val="008000"/>
        </w:rPr>
      </w:pPr>
    </w:p>
    <w:p>
      <w:pPr>
        <w:ind w:left="40" w:right="46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 Anstrom, S. Decker</w:t>
            </w:r>
          </w:p>
        </w:tc>
        <w:tc>
          <w:tcPr>
            <w:tcW w:w="5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2"/>
              </w:rPr>
              <w:t>11/21/2006</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69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2019-12-18T10:11:32Z</dcterms:created>
  <dcterms:modified xsi:type="dcterms:W3CDTF">2019-12-18T10:11:32Z</dcterms:modified>
</cp:coreProperties>
</file>