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6995160" cy="7359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735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241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Murdock Daniel C.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5"/>
        </w:trPr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74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19103</w:t>
            </w:r>
          </w:p>
        </w:tc>
      </w:tr>
      <w:tr>
        <w:trPr>
          <w:trHeight w:val="462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24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03/01/2024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2,156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24,938.4827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03/01/2024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1,380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26,318.4827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03/01/2024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337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42.8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25,981.4827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03/01/2024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525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42.8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25,456.4827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03/02/2024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1,590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27,046.4827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03/02/2024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526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42.8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26,520.4827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28,980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42.8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28,980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02/28/2034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28,980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19,280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19,280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52,732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51,352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2,156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49,196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03/02/2024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1,590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47,606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-3217545</wp:posOffset>
            </wp:positionV>
            <wp:extent cx="28575" cy="3222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22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date of the grant was March 1, 2024, and the stock options vest as follows: 20% vests on the 1st, 2nd, 3rd, 4th and 5th anniversaries of the date of the grant.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installments of 20% on the 13 month, 2nd, 3rd, 4th and 5th anniversaries of the date of the grant, respectively.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24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2024-03-05T18:58:21Z</dcterms:created>
  <dcterms:modified xsi:type="dcterms:W3CDTF">2024-03-05T18:58:21Z</dcterms:modified>
</cp:coreProperties>
</file>