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103505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9" w:lineRule="exact"/>
        <w:rPr>
          <w:sz w:val="24"/>
          <w:szCs w:val="24"/>
          <w:color w:val="auto"/>
        </w:rPr>
      </w:pPr>
    </w:p>
    <w:tbl>
      <w:tblPr>
        <w:tblLayout w:type="fixed"/>
        <w:tblInd w:w="700" w:type="dxa"/>
        <w:tblCellMar>
          <w:top w:w="0" w:type="dxa"/>
          <w:left w:w="0" w:type="dxa"/>
          <w:bottom w:w="0" w:type="dxa"/>
          <w:right w:w="0" w:type="dxa"/>
        </w:tblCellMar>
      </w:tblPr>
      <w:tr>
        <w:trPr>
          <w:trHeight w:val="351"/>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Arial" w:cs="Arial" w:eastAsia="Arial" w:hAnsi="Arial"/>
                <w:sz w:val="27"/>
                <w:szCs w:val="27"/>
                <w:b w:val="1"/>
                <w:bCs w:val="1"/>
                <w:color w:val="auto"/>
              </w:rPr>
              <w:t>FORM 8-K</w:t>
            </w:r>
          </w:p>
        </w:tc>
      </w:tr>
      <w:tr>
        <w:trPr>
          <w:trHeight w:val="405"/>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Arial" w:cs="Arial" w:eastAsia="Arial" w:hAnsi="Arial"/>
                <w:sz w:val="27"/>
                <w:szCs w:val="27"/>
                <w:b w:val="1"/>
                <w:bCs w:val="1"/>
                <w:color w:val="auto"/>
                <w:w w:val="99"/>
              </w:rPr>
              <w:t>CURRENT REPORT</w:t>
            </w:r>
          </w:p>
        </w:tc>
      </w:tr>
      <w:tr>
        <w:trPr>
          <w:trHeight w:val="324"/>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Arial" w:cs="Arial" w:eastAsia="Arial" w:hAnsi="Arial"/>
                <w:sz w:val="27"/>
                <w:szCs w:val="27"/>
                <w:b w:val="1"/>
                <w:bCs w:val="1"/>
                <w:color w:val="auto"/>
                <w:w w:val="89"/>
              </w:rPr>
              <w:t>Pursuant to Section 13 or 15(d) of the</w:t>
            </w:r>
          </w:p>
        </w:tc>
      </w:tr>
      <w:tr>
        <w:trPr>
          <w:trHeight w:val="351"/>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Arial" w:cs="Arial" w:eastAsia="Arial" w:hAnsi="Arial"/>
                <w:sz w:val="27"/>
                <w:szCs w:val="27"/>
                <w:b w:val="1"/>
                <w:bCs w:val="1"/>
                <w:color w:val="auto"/>
                <w:w w:val="88"/>
              </w:rPr>
              <w:t>Securities Exchange Act of 1934</w:t>
            </w:r>
          </w:p>
        </w:tc>
      </w:tr>
      <w:tr>
        <w:trPr>
          <w:trHeight w:val="447"/>
        </w:trPr>
        <w:tc>
          <w:tcPr>
            <w:tcW w:w="2520" w:type="dxa"/>
            <w:vAlign w:val="bottom"/>
          </w:tcPr>
          <w:p>
            <w:pPr>
              <w:spacing w:after="0"/>
              <w:rPr>
                <w:sz w:val="24"/>
                <w:szCs w:val="24"/>
                <w:color w:val="auto"/>
              </w:rPr>
            </w:pPr>
          </w:p>
        </w:tc>
        <w:tc>
          <w:tcPr>
            <w:tcW w:w="7140" w:type="dxa"/>
            <w:vAlign w:val="bottom"/>
          </w:tcPr>
          <w:p>
            <w:pPr>
              <w:jc w:val="center"/>
              <w:ind w:right="2223"/>
              <w:spacing w:after="0"/>
              <w:rPr>
                <w:sz w:val="20"/>
                <w:szCs w:val="20"/>
                <w:color w:val="auto"/>
              </w:rPr>
            </w:pPr>
            <w:r>
              <w:rPr>
                <w:rFonts w:ascii="Arial" w:cs="Arial" w:eastAsia="Arial" w:hAnsi="Arial"/>
                <w:sz w:val="18"/>
                <w:szCs w:val="18"/>
                <w:color w:val="auto"/>
                <w:w w:val="90"/>
              </w:rPr>
              <w:t>Date of report (Date of earliest event reported): July 29, 2021</w:t>
            </w:r>
          </w:p>
        </w:tc>
      </w:tr>
      <w:tr>
        <w:trPr>
          <w:trHeight w:val="454"/>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Arial" w:cs="Arial" w:eastAsia="Arial" w:hAnsi="Arial"/>
                <w:sz w:val="29"/>
                <w:szCs w:val="29"/>
                <w:b w:val="1"/>
                <w:bCs w:val="1"/>
                <w:color w:val="auto"/>
                <w:w w:val="90"/>
              </w:rPr>
              <w:t>Comcast Corporation</w:t>
            </w:r>
          </w:p>
        </w:tc>
      </w:tr>
      <w:tr>
        <w:trPr>
          <w:trHeight w:val="140"/>
        </w:trPr>
        <w:tc>
          <w:tcPr>
            <w:tcW w:w="2520" w:type="dxa"/>
            <w:vAlign w:val="bottom"/>
          </w:tcPr>
          <w:p>
            <w:pPr>
              <w:spacing w:after="0"/>
              <w:rPr>
                <w:sz w:val="12"/>
                <w:szCs w:val="12"/>
                <w:color w:val="auto"/>
              </w:rPr>
            </w:pPr>
          </w:p>
        </w:tc>
        <w:tc>
          <w:tcPr>
            <w:tcW w:w="7140" w:type="dxa"/>
            <w:vAlign w:val="bottom"/>
          </w:tcPr>
          <w:p>
            <w:pPr>
              <w:jc w:val="center"/>
              <w:ind w:right="2263"/>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20" w:type="dxa"/>
            <w:vAlign w:val="bottom"/>
          </w:tcPr>
          <w:p>
            <w:pPr>
              <w:spacing w:after="0"/>
              <w:rPr>
                <w:sz w:val="15"/>
                <w:szCs w:val="15"/>
                <w:color w:val="auto"/>
              </w:rPr>
            </w:pPr>
          </w:p>
        </w:tc>
        <w:tc>
          <w:tcPr>
            <w:tcW w:w="7140" w:type="dxa"/>
            <w:vAlign w:val="bottom"/>
          </w:tcPr>
          <w:p>
            <w:pPr>
              <w:jc w:val="center"/>
              <w:ind w:right="2263"/>
              <w:spacing w:after="0"/>
              <w:rPr>
                <w:sz w:val="20"/>
                <w:szCs w:val="20"/>
                <w:color w:val="auto"/>
              </w:rPr>
            </w:pPr>
            <w:r>
              <w:rPr>
                <w:rFonts w:ascii="Arial" w:cs="Arial" w:eastAsia="Arial" w:hAnsi="Arial"/>
                <w:sz w:val="14"/>
                <w:szCs w:val="14"/>
                <w:color w:val="auto"/>
                <w:w w:val="93"/>
              </w:rPr>
              <w:t>as Specified in its Charter)</w:t>
            </w:r>
          </w:p>
        </w:tc>
      </w:tr>
      <w:tr>
        <w:trPr>
          <w:trHeight w:val="380"/>
        </w:trPr>
        <w:tc>
          <w:tcPr>
            <w:tcW w:w="2520" w:type="dxa"/>
            <w:vAlign w:val="bottom"/>
          </w:tcPr>
          <w:p>
            <w:pPr>
              <w:spacing w:after="0"/>
              <w:rPr>
                <w:sz w:val="24"/>
                <w:szCs w:val="24"/>
                <w:color w:val="auto"/>
              </w:rPr>
            </w:pPr>
          </w:p>
        </w:tc>
        <w:tc>
          <w:tcPr>
            <w:tcW w:w="7140" w:type="dxa"/>
            <w:vAlign w:val="bottom"/>
          </w:tcPr>
          <w:p>
            <w:pPr>
              <w:jc w:val="center"/>
              <w:ind w:right="2263"/>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520" w:type="dxa"/>
            <w:vAlign w:val="bottom"/>
          </w:tcPr>
          <w:p>
            <w:pPr>
              <w:spacing w:after="0"/>
              <w:rPr>
                <w:sz w:val="15"/>
                <w:szCs w:val="15"/>
                <w:color w:val="auto"/>
              </w:rPr>
            </w:pPr>
          </w:p>
        </w:tc>
        <w:tc>
          <w:tcPr>
            <w:tcW w:w="7140" w:type="dxa"/>
            <w:vAlign w:val="bottom"/>
          </w:tcPr>
          <w:p>
            <w:pPr>
              <w:jc w:val="center"/>
              <w:ind w:right="2263"/>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85"/>
        </w:trPr>
        <w:tc>
          <w:tcPr>
            <w:tcW w:w="2520" w:type="dxa"/>
            <w:vAlign w:val="bottom"/>
          </w:tcPr>
          <w:p>
            <w:pPr>
              <w:jc w:val="center"/>
              <w:ind w:right="97"/>
              <w:spacing w:after="0"/>
              <w:rPr>
                <w:sz w:val="20"/>
                <w:szCs w:val="20"/>
                <w:color w:val="auto"/>
              </w:rPr>
            </w:pPr>
            <w:r>
              <w:rPr>
                <w:rFonts w:ascii="Arial" w:cs="Arial" w:eastAsia="Arial" w:hAnsi="Arial"/>
                <w:sz w:val="18"/>
                <w:szCs w:val="18"/>
                <w:b w:val="1"/>
                <w:bCs w:val="1"/>
                <w:color w:val="auto"/>
                <w:w w:val="90"/>
              </w:rPr>
              <w:t>001-32871</w:t>
            </w:r>
          </w:p>
        </w:tc>
        <w:tc>
          <w:tcPr>
            <w:tcW w:w="7140" w:type="dxa"/>
            <w:vAlign w:val="bottom"/>
          </w:tcPr>
          <w:p>
            <w:pPr>
              <w:jc w:val="center"/>
              <w:ind w:left="5043"/>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520" w:type="dxa"/>
            <w:vAlign w:val="bottom"/>
          </w:tcPr>
          <w:p>
            <w:pPr>
              <w:jc w:val="center"/>
              <w:ind w:right="97"/>
              <w:spacing w:after="0"/>
              <w:rPr>
                <w:sz w:val="20"/>
                <w:szCs w:val="20"/>
                <w:color w:val="auto"/>
              </w:rPr>
            </w:pPr>
            <w:r>
              <w:rPr>
                <w:rFonts w:ascii="Arial" w:cs="Arial" w:eastAsia="Arial" w:hAnsi="Arial"/>
                <w:sz w:val="14"/>
                <w:szCs w:val="14"/>
                <w:color w:val="auto"/>
                <w:w w:val="94"/>
              </w:rPr>
              <w:t>(Commission File Number)</w:t>
            </w:r>
          </w:p>
        </w:tc>
        <w:tc>
          <w:tcPr>
            <w:tcW w:w="7140" w:type="dxa"/>
            <w:vAlign w:val="bottom"/>
          </w:tcPr>
          <w:p>
            <w:pPr>
              <w:jc w:val="center"/>
              <w:ind w:left="5063"/>
              <w:spacing w:after="0"/>
              <w:rPr>
                <w:sz w:val="20"/>
                <w:szCs w:val="20"/>
                <w:color w:val="auto"/>
              </w:rPr>
            </w:pPr>
            <w:r>
              <w:rPr>
                <w:rFonts w:ascii="Arial" w:cs="Arial" w:eastAsia="Arial" w:hAnsi="Arial"/>
                <w:sz w:val="14"/>
                <w:szCs w:val="14"/>
                <w:color w:val="auto"/>
                <w:w w:val="97"/>
              </w:rPr>
              <w:t>(IRS Employer Identification No.)</w:t>
            </w:r>
          </w:p>
        </w:tc>
      </w:tr>
      <w:tr>
        <w:trPr>
          <w:trHeight w:val="385"/>
        </w:trPr>
        <w:tc>
          <w:tcPr>
            <w:tcW w:w="2520" w:type="dxa"/>
            <w:vAlign w:val="bottom"/>
          </w:tcPr>
          <w:p>
            <w:pPr>
              <w:jc w:val="center"/>
              <w:ind w:right="97"/>
              <w:spacing w:after="0"/>
              <w:rPr>
                <w:sz w:val="20"/>
                <w:szCs w:val="20"/>
                <w:color w:val="auto"/>
              </w:rPr>
            </w:pPr>
            <w:r>
              <w:rPr>
                <w:rFonts w:ascii="Arial" w:cs="Arial" w:eastAsia="Arial" w:hAnsi="Arial"/>
                <w:sz w:val="18"/>
                <w:szCs w:val="18"/>
                <w:b w:val="1"/>
                <w:bCs w:val="1"/>
                <w:color w:val="auto"/>
                <w:w w:val="90"/>
              </w:rPr>
              <w:t>One Comcast Center</w:t>
            </w:r>
          </w:p>
        </w:tc>
        <w:tc>
          <w:tcPr>
            <w:tcW w:w="7140" w:type="dxa"/>
            <w:vAlign w:val="bottom"/>
          </w:tcPr>
          <w:p>
            <w:pPr>
              <w:spacing w:after="0"/>
              <w:rPr>
                <w:sz w:val="24"/>
                <w:szCs w:val="24"/>
                <w:color w:val="auto"/>
              </w:rPr>
            </w:pPr>
          </w:p>
        </w:tc>
      </w:tr>
      <w:tr>
        <w:trPr>
          <w:trHeight w:val="229"/>
        </w:trPr>
        <w:tc>
          <w:tcPr>
            <w:tcW w:w="2520" w:type="dxa"/>
            <w:vAlign w:val="bottom"/>
          </w:tcPr>
          <w:p>
            <w:pPr>
              <w:ind w:left="440"/>
              <w:spacing w:after="0"/>
              <w:rPr>
                <w:sz w:val="20"/>
                <w:szCs w:val="20"/>
                <w:color w:val="auto"/>
              </w:rPr>
            </w:pPr>
            <w:r>
              <w:rPr>
                <w:rFonts w:ascii="Arial" w:cs="Arial" w:eastAsia="Arial" w:hAnsi="Arial"/>
                <w:sz w:val="18"/>
                <w:szCs w:val="18"/>
                <w:b w:val="1"/>
                <w:bCs w:val="1"/>
                <w:color w:val="auto"/>
              </w:rPr>
              <w:t>Philadelphia, PA</w:t>
            </w:r>
          </w:p>
        </w:tc>
        <w:tc>
          <w:tcPr>
            <w:tcW w:w="7140" w:type="dxa"/>
            <w:vAlign w:val="bottom"/>
          </w:tcPr>
          <w:p>
            <w:pPr>
              <w:jc w:val="center"/>
              <w:ind w:left="5043"/>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520" w:type="dxa"/>
            <w:vAlign w:val="bottom"/>
          </w:tcPr>
          <w:p>
            <w:pPr>
              <w:jc w:val="center"/>
              <w:ind w:right="97"/>
              <w:spacing w:after="0"/>
              <w:rPr>
                <w:sz w:val="20"/>
                <w:szCs w:val="20"/>
                <w:color w:val="auto"/>
              </w:rPr>
            </w:pPr>
            <w:r>
              <w:rPr>
                <w:rFonts w:ascii="Arial" w:cs="Arial" w:eastAsia="Arial" w:hAnsi="Arial"/>
                <w:sz w:val="14"/>
                <w:szCs w:val="14"/>
                <w:color w:val="auto"/>
                <w:w w:val="95"/>
              </w:rPr>
              <w:t>(Address of Principal Executive Offices)</w:t>
            </w:r>
          </w:p>
        </w:tc>
        <w:tc>
          <w:tcPr>
            <w:tcW w:w="7140" w:type="dxa"/>
            <w:vAlign w:val="bottom"/>
          </w:tcPr>
          <w:p>
            <w:pPr>
              <w:jc w:val="center"/>
              <w:ind w:left="5043"/>
              <w:spacing w:after="0"/>
              <w:rPr>
                <w:sz w:val="20"/>
                <w:szCs w:val="20"/>
                <w:color w:val="auto"/>
              </w:rPr>
            </w:pPr>
            <w:r>
              <w:rPr>
                <w:rFonts w:ascii="Arial" w:cs="Arial" w:eastAsia="Arial" w:hAnsi="Arial"/>
                <w:sz w:val="14"/>
                <w:szCs w:val="14"/>
                <w:color w:val="auto"/>
                <w:w w:val="96"/>
              </w:rPr>
              <w:t>(Zip Code)</w:t>
            </w:r>
          </w:p>
        </w:tc>
      </w:tr>
      <w:tr>
        <w:trPr>
          <w:trHeight w:val="309"/>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Arial" w:cs="Arial" w:eastAsia="Arial" w:hAnsi="Arial"/>
                <w:sz w:val="14"/>
                <w:szCs w:val="14"/>
                <w:color w:val="auto"/>
                <w:w w:val="93"/>
              </w:rPr>
              <w:t xml:space="preserve">Registrant’s telephone number, including area code: </w:t>
            </w:r>
            <w:r>
              <w:rPr>
                <w:rFonts w:ascii="Arial" w:cs="Arial" w:eastAsia="Arial" w:hAnsi="Arial"/>
                <w:sz w:val="17"/>
                <w:szCs w:val="17"/>
                <w:b w:val="1"/>
                <w:bCs w:val="1"/>
                <w:color w:val="auto"/>
                <w:w w:val="93"/>
              </w:rPr>
              <w:t>(215) 286-1700</w:t>
            </w:r>
          </w:p>
        </w:tc>
      </w:tr>
      <w:tr>
        <w:trPr>
          <w:trHeight w:val="406"/>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2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44" w:lineRule="exact"/>
        <w:rPr>
          <w:sz w:val="24"/>
          <w:szCs w:val="24"/>
          <w:color w:val="auto"/>
        </w:rPr>
      </w:pPr>
    </w:p>
    <w:tbl>
      <w:tblPr>
        <w:tblLayout w:type="fixed"/>
        <w:tblInd w:w="640" w:type="dxa"/>
        <w:tblCellMar>
          <w:top w:w="0" w:type="dxa"/>
          <w:left w:w="0" w:type="dxa"/>
          <w:bottom w:w="0" w:type="dxa"/>
          <w:right w:w="0" w:type="dxa"/>
        </w:tblCellMar>
      </w:tblPr>
      <w:tr>
        <w:trPr>
          <w:trHeight w:val="182"/>
        </w:trPr>
        <w:tc>
          <w:tcPr>
            <w:tcW w:w="4720" w:type="dxa"/>
            <w:vAlign w:val="bottom"/>
            <w:gridSpan w:val="2"/>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95"/>
        </w:trPr>
        <w:tc>
          <w:tcPr>
            <w:tcW w:w="4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Title of Each Class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82"/>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Class A Common Stock, $0.01 par value</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CMCSA</w:t>
            </w:r>
          </w:p>
        </w:tc>
        <w:tc>
          <w:tcPr>
            <w:tcW w:w="100" w:type="dxa"/>
            <w:vAlign w:val="bottom"/>
          </w:tcPr>
          <w:p>
            <w:pPr>
              <w:spacing w:after="0"/>
              <w:rPr>
                <w:sz w:val="15"/>
                <w:szCs w:val="15"/>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NASDAQ Global Select Market</w:t>
            </w:r>
          </w:p>
        </w:tc>
      </w:tr>
      <w:tr>
        <w:trPr>
          <w:trHeight w:val="184"/>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0.250% Notes due 2027</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CMCS27</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1.500% Notes due 2029</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CMCS29</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0.750% Notes due 2032</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CMCS32</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1.875% Notes due 2036</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CMCS36</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1.250% Notes due 2040</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CMCS40</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9.455% Guaranteed Notes due 2022</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CMCSA/22</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5.50% Notes due 2029</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CCGBP29</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2.0% Exchangeable Subordinated Debentures due 2029</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CCZ</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263"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jc w:val="right"/>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58" w:lineRule="exact"/>
        <w:rPr>
          <w:sz w:val="24"/>
          <w:szCs w:val="24"/>
          <w:color w:val="auto"/>
        </w:rPr>
      </w:pPr>
    </w:p>
    <w:p>
      <w:pPr>
        <w:ind w:right="56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636905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57785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29, 2021, Comcast Corporation (“Comcast”) issued a press release reporting the results of its operations for the three and six months ended June 30, 2021.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w w:val="92"/>
              </w:rPr>
              <w:t>Item 9.01. Exhibits</w:t>
            </w:r>
          </w:p>
        </w:tc>
        <w:tc>
          <w:tcPr>
            <w:tcW w:w="9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96"/>
              </w:rPr>
              <w:t>Exhibit</w:t>
            </w:r>
          </w:p>
        </w:tc>
        <w:tc>
          <w:tcPr>
            <w:tcW w:w="97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260" w:type="dxa"/>
            <w:vAlign w:val="bottom"/>
            <w:gridSpan w:val="4"/>
          </w:tcPr>
          <w:p>
            <w:pPr>
              <w:jc w:val="center"/>
              <w:ind w:right="620"/>
              <w:spacing w:after="0" w:line="189" w:lineRule="exact"/>
              <w:rPr>
                <w:sz w:val="20"/>
                <w:szCs w:val="20"/>
                <w:color w:val="auto"/>
              </w:rPr>
            </w:pPr>
            <w:r>
              <w:rPr>
                <w:rFonts w:ascii="Arial" w:cs="Arial" w:eastAsia="Arial" w:hAnsi="Arial"/>
                <w:sz w:val="18"/>
                <w:szCs w:val="18"/>
                <w:b w:val="1"/>
                <w:bCs w:val="1"/>
                <w:color w:val="auto"/>
                <w:w w:val="94"/>
              </w:rPr>
              <w:t>Number</w:t>
            </w:r>
          </w:p>
        </w:tc>
        <w:tc>
          <w:tcPr>
            <w:tcW w:w="9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480" w:type="dxa"/>
            <w:vAlign w:val="bottom"/>
            <w:gridSpan w:val="2"/>
          </w:tcPr>
          <w:p>
            <w:pPr>
              <w:jc w:val="center"/>
              <w:ind w:left="90"/>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6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Comcast Corporation press release dated July 29, 2021.</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gridSpan w:val="3"/>
          </w:tcPr>
          <w:p>
            <w:pPr>
              <w:jc w:val="center"/>
              <w:ind w:left="310"/>
              <w:spacing w:after="0"/>
              <w:rPr>
                <w:rFonts w:ascii="Arial" w:cs="Arial" w:eastAsia="Arial" w:hAnsi="Arial"/>
                <w:sz w:val="18"/>
                <w:szCs w:val="18"/>
                <w:color w:val="0000FF"/>
                <w:w w:val="85"/>
              </w:rPr>
            </w:pPr>
            <w:hyperlink w:anchor="page21">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2</w:t>
              </w:r>
            </w:hyperlink>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4"/>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Explanation of Non-GAAP and Other Financial Measures.</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w w:val="8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Arial" w:cs="Arial" w:eastAsia="Arial" w:hAnsi="Arial"/>
                <w:sz w:val="18"/>
                <w:szCs w:val="18"/>
                <w:b w:val="1"/>
                <w:bCs w:val="1"/>
                <w:color w:val="auto"/>
              </w:rPr>
              <w:t>COMCAST CORPORATION</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380"/>
              <w:spacing w:after="0"/>
              <w:rPr>
                <w:sz w:val="20"/>
                <w:szCs w:val="20"/>
                <w:color w:val="auto"/>
              </w:rPr>
            </w:pPr>
            <w:r>
              <w:rPr>
                <w:rFonts w:ascii="Arial" w:cs="Arial" w:eastAsia="Arial" w:hAnsi="Arial"/>
                <w:sz w:val="18"/>
                <w:szCs w:val="18"/>
                <w:color w:val="auto"/>
              </w:rPr>
              <w:t>July 29, 2021</w:t>
            </w:r>
          </w:p>
        </w:tc>
        <w:tc>
          <w:tcPr>
            <w:tcW w:w="7160" w:type="dxa"/>
            <w:vAlign w:val="bottom"/>
            <w:gridSpan w:val="2"/>
          </w:tcPr>
          <w:p>
            <w:pPr>
              <w:ind w:left="1920"/>
              <w:spacing w:after="0"/>
              <w:rPr>
                <w:sz w:val="20"/>
                <w:szCs w:val="20"/>
                <w:color w:val="auto"/>
              </w:rPr>
            </w:pPr>
            <w:r>
              <w:rPr>
                <w:rFonts w:ascii="Arial" w:cs="Arial" w:eastAsia="Arial" w:hAnsi="Arial"/>
                <w:sz w:val="18"/>
                <w:szCs w:val="18"/>
                <w:color w:val="auto"/>
              </w:rPr>
              <w:t>By:  /s/ Daniel C. Murdock</w:t>
            </w:r>
          </w:p>
        </w:tc>
      </w:tr>
      <w:tr>
        <w:trPr>
          <w:trHeight w:val="222"/>
        </w:trPr>
        <w:tc>
          <w:tcPr>
            <w:tcW w:w="7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Daniel C. Murdock</w:t>
            </w:r>
          </w:p>
        </w:tc>
      </w:tr>
      <w:tr>
        <w:trPr>
          <w:trHeight w:val="176"/>
        </w:trPr>
        <w:tc>
          <w:tcPr>
            <w:tcW w:w="7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Accounting Officer and</w:t>
            </w:r>
          </w:p>
        </w:tc>
      </w:tr>
      <w:tr>
        <w:trPr>
          <w:trHeight w:val="229"/>
        </w:trPr>
        <w:tc>
          <w:tcPr>
            <w:tcW w:w="7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Controller</w:t>
            </w:r>
          </w:p>
        </w:tc>
      </w:tr>
      <w:tr>
        <w:trPr>
          <w:trHeight w:val="230"/>
        </w:trPr>
        <w:tc>
          <w:tcPr>
            <w:tcW w:w="7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945"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465455</wp:posOffset>
            </wp:positionH>
            <wp:positionV relativeFrom="page">
              <wp:posOffset>260350</wp:posOffset>
            </wp:positionV>
            <wp:extent cx="137160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257175</wp:posOffset>
            </wp:positionV>
            <wp:extent cx="7098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2nd QUARTER 2021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PHILADELPHIA - July 29, 2021… Comcast Corporation (NASDAQ: CMCSA) today reported results for the quarter ended June 30, 2021.</w:t>
      </w:r>
    </w:p>
    <w:p>
      <w:pPr>
        <w:spacing w:after="0" w:line="5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i w:val="1"/>
          <w:iCs w:val="1"/>
          <w:color w:val="auto"/>
        </w:rPr>
        <w:t xml:space="preserve">“We delivered excellent results in the quarter, continuing our great start to the year. At Cable, our performance was exceptional, highlighted by 11% revenue and 15% Adjusted EBITDA growth, the best broadband and total customer relationship net additions on record for a second quarter, and the most wireless net additions since the launch of Xfinity Mobile in 2017. At NBCUniversal, Adjusted EBITDA increased an impressive 13%, fueled by the recovery at Theme Parks, particularly at Universal Orlando. And I am pleased with and encouraged by our customer and financial metrics in the U.K., which drove Sky’s double-digit total revenue growth in the quarter. We remain committed to innovating for our customers and investing for a strong future. I have great confidence in our strategy and our ability to execute, which is reflected in our decision to restart our share repurchase program during the quarter, earlier than previously planned," </w:t>
      </w:r>
      <w:r>
        <w:rPr>
          <w:rFonts w:ascii="Arial" w:cs="Arial" w:eastAsia="Arial" w:hAnsi="Arial"/>
          <w:sz w:val="18"/>
          <w:szCs w:val="18"/>
          <w:color w:val="auto"/>
        </w:rPr>
        <w:t>commented Brian L.</w:t>
      </w:r>
      <w:r>
        <w:rPr>
          <w:rFonts w:ascii="Arial" w:cs="Arial" w:eastAsia="Arial" w:hAnsi="Arial"/>
          <w:sz w:val="18"/>
          <w:szCs w:val="18"/>
          <w:i w:val="1"/>
          <w:iCs w:val="1"/>
          <w:color w:val="auto"/>
        </w:rPr>
        <w:t xml:space="preserve"> </w:t>
      </w:r>
      <w:r>
        <w:rPr>
          <w:rFonts w:ascii="Arial" w:cs="Arial" w:eastAsia="Arial" w:hAnsi="Arial"/>
          <w:sz w:val="18"/>
          <w:szCs w:val="18"/>
          <w:color w:val="auto"/>
        </w:rPr>
        <w:t>Roberts, Chairman and Chief Executive Officer of Comcast Corporation.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45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60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44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5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right w:val="single" w:sz="8" w:color="D9D9D6"/>
            </w:tcBorders>
            <w:shd w:val="clear" w:color="auto" w:fill="D9D9D6"/>
          </w:tcPr>
          <w:p>
            <w:pPr>
              <w:spacing w:after="0"/>
              <w:rPr>
                <w:sz w:val="17"/>
                <w:szCs w:val="17"/>
                <w:color w:val="auto"/>
              </w:rPr>
            </w:pPr>
          </w:p>
        </w:tc>
        <w:tc>
          <w:tcPr>
            <w:tcW w:w="8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4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D9D9D6"/>
            </w:tcBorders>
            <w:shd w:val="clear" w:color="auto" w:fill="D9D9D6"/>
          </w:tcPr>
          <w:p>
            <w:pPr>
              <w:spacing w:after="0"/>
              <w:rPr>
                <w:sz w:val="14"/>
                <w:szCs w:val="14"/>
                <w:color w:val="auto"/>
              </w:rPr>
            </w:pPr>
          </w:p>
        </w:tc>
        <w:tc>
          <w:tcPr>
            <w:tcW w:w="4540" w:type="dxa"/>
            <w:vAlign w:val="bottom"/>
            <w:tcBorders>
              <w:bottom w:val="single" w:sz="8" w:color="D9D9D6"/>
            </w:tcBorders>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600" w:type="dxa"/>
            <w:vAlign w:val="bottom"/>
            <w:tcBorders>
              <w:bottom w:val="single" w:sz="8" w:color="D9D9D6"/>
            </w:tcBorders>
            <w:shd w:val="clear" w:color="auto" w:fill="D9D9D6"/>
          </w:tcPr>
          <w:p>
            <w:pPr>
              <w:spacing w:after="0"/>
              <w:rPr>
                <w:sz w:val="14"/>
                <w:szCs w:val="14"/>
                <w:color w:val="auto"/>
              </w:rPr>
            </w:pPr>
          </w:p>
        </w:tc>
        <w:tc>
          <w:tcPr>
            <w:tcW w:w="340" w:type="dxa"/>
            <w:vAlign w:val="bottom"/>
            <w:tcBorders>
              <w:bottom w:val="single" w:sz="8" w:color="D9D9D6"/>
              <w:right w:val="single" w:sz="8" w:color="D9D9D6"/>
            </w:tcBorders>
            <w:shd w:val="clear" w:color="auto" w:fill="D9D9D6"/>
          </w:tcPr>
          <w:p>
            <w:pPr>
              <w:spacing w:after="0"/>
              <w:rPr>
                <w:sz w:val="14"/>
                <w:szCs w:val="14"/>
                <w:color w:val="auto"/>
              </w:rPr>
            </w:pPr>
          </w:p>
        </w:tc>
        <w:tc>
          <w:tcPr>
            <w:tcW w:w="160" w:type="dxa"/>
            <w:vAlign w:val="bottom"/>
            <w:tcBorders>
              <w:bottom w:val="single" w:sz="8" w:color="D9D9D6"/>
            </w:tcBorders>
            <w:shd w:val="clear" w:color="auto" w:fill="D9D9D6"/>
          </w:tcPr>
          <w:p>
            <w:pPr>
              <w:spacing w:after="0"/>
              <w:rPr>
                <w:sz w:val="14"/>
                <w:szCs w:val="14"/>
                <w:color w:val="auto"/>
              </w:rPr>
            </w:pPr>
          </w:p>
        </w:tc>
        <w:tc>
          <w:tcPr>
            <w:tcW w:w="78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2nd Quarter</w:t>
            </w:r>
          </w:p>
        </w:tc>
        <w:tc>
          <w:tcPr>
            <w:tcW w:w="58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200" w:type="dxa"/>
            <w:vAlign w:val="bottom"/>
            <w:tcBorders>
              <w:bottom w:val="single" w:sz="8" w:color="D9D9D6"/>
            </w:tcBorders>
            <w:shd w:val="clear" w:color="auto" w:fill="D9D9D6"/>
          </w:tcPr>
          <w:p>
            <w:pPr>
              <w:spacing w:after="0"/>
              <w:rPr>
                <w:sz w:val="14"/>
                <w:szCs w:val="14"/>
                <w:color w:val="auto"/>
              </w:rPr>
            </w:pPr>
          </w:p>
        </w:tc>
        <w:tc>
          <w:tcPr>
            <w:tcW w:w="280" w:type="dxa"/>
            <w:vAlign w:val="bottom"/>
            <w:tcBorders>
              <w:bottom w:val="single" w:sz="8" w:color="D9D9D6"/>
              <w:right w:val="single" w:sz="8" w:color="828282"/>
            </w:tcBorders>
            <w:shd w:val="clear" w:color="auto" w:fill="D9D9D6"/>
          </w:tcPr>
          <w:p>
            <w:pPr>
              <w:spacing w:after="0"/>
              <w:rPr>
                <w:sz w:val="14"/>
                <w:szCs w:val="14"/>
                <w:color w:val="auto"/>
              </w:rPr>
            </w:pPr>
          </w:p>
        </w:tc>
        <w:tc>
          <w:tcPr>
            <w:tcW w:w="84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80" w:type="dxa"/>
            <w:vAlign w:val="bottom"/>
            <w:tcBorders>
              <w:bottom w:val="single" w:sz="8" w:color="D9D9D6"/>
            </w:tcBorders>
            <w:shd w:val="clear" w:color="auto" w:fill="D9D9D6"/>
          </w:tcPr>
          <w:p>
            <w:pPr>
              <w:spacing w:after="0"/>
              <w:rPr>
                <w:sz w:val="14"/>
                <w:szCs w:val="14"/>
                <w:color w:val="auto"/>
              </w:rPr>
            </w:pPr>
          </w:p>
        </w:tc>
        <w:tc>
          <w:tcPr>
            <w:tcW w:w="80" w:type="dxa"/>
            <w:vAlign w:val="bottom"/>
            <w:tcBorders>
              <w:bottom w:val="single" w:sz="8" w:color="D9D9D6"/>
            </w:tcBorders>
            <w:shd w:val="clear" w:color="auto" w:fill="D9D9D6"/>
          </w:tcPr>
          <w:p>
            <w:pPr>
              <w:spacing w:after="0"/>
              <w:rPr>
                <w:sz w:val="14"/>
                <w:szCs w:val="14"/>
                <w:color w:val="auto"/>
              </w:rPr>
            </w:pP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w w:val="99"/>
              </w:rPr>
              <w:t>Year to Date</w:t>
            </w:r>
          </w:p>
        </w:tc>
        <w:tc>
          <w:tcPr>
            <w:tcW w:w="280" w:type="dxa"/>
            <w:vAlign w:val="bottom"/>
            <w:tcBorders>
              <w:bottom w:val="single" w:sz="8" w:color="D9D9D6"/>
            </w:tcBorders>
            <w:shd w:val="clear" w:color="auto" w:fill="D9D9D6"/>
          </w:tcPr>
          <w:p>
            <w:pPr>
              <w:spacing w:after="0"/>
              <w:rPr>
                <w:sz w:val="14"/>
                <w:szCs w:val="14"/>
                <w:color w:val="auto"/>
              </w:rPr>
            </w:pPr>
          </w:p>
        </w:tc>
        <w:tc>
          <w:tcPr>
            <w:tcW w:w="280" w:type="dxa"/>
            <w:vAlign w:val="bottom"/>
            <w:tcBorders>
              <w:bottom w:val="single" w:sz="8" w:color="D9D9D6"/>
            </w:tcBorders>
            <w:shd w:val="clear" w:color="auto" w:fill="D9D9D6"/>
          </w:tcPr>
          <w:p>
            <w:pPr>
              <w:spacing w:after="0"/>
              <w:rPr>
                <w:sz w:val="14"/>
                <w:szCs w:val="14"/>
                <w:color w:val="auto"/>
              </w:rPr>
            </w:pPr>
          </w:p>
        </w:tc>
        <w:tc>
          <w:tcPr>
            <w:tcW w:w="500" w:type="dxa"/>
            <w:vAlign w:val="bottom"/>
            <w:tcBorders>
              <w:bottom w:val="single" w:sz="8" w:color="D9D9D6"/>
            </w:tcBorders>
            <w:shd w:val="clear" w:color="auto" w:fill="D9D9D6"/>
          </w:tcPr>
          <w:p>
            <w:pPr>
              <w:spacing w:after="0"/>
              <w:rPr>
                <w:sz w:val="14"/>
                <w:szCs w:val="14"/>
                <w:color w:val="auto"/>
              </w:rPr>
            </w:pPr>
          </w:p>
        </w:tc>
        <w:tc>
          <w:tcPr>
            <w:tcW w:w="140" w:type="dxa"/>
            <w:vAlign w:val="bottom"/>
            <w:tcBorders>
              <w:bottom w:val="single" w:sz="8" w:color="D9D9D6"/>
            </w:tcBorders>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4540" w:type="dxa"/>
            <w:vAlign w:val="bottom"/>
            <w:vMerge w:val="continue"/>
            <w:shd w:val="clear" w:color="auto" w:fill="D9D9D6"/>
          </w:tcPr>
          <w:p>
            <w:pPr>
              <w:spacing w:after="0"/>
              <w:rPr>
                <w:sz w:val="14"/>
                <w:szCs w:val="14"/>
                <w:color w:val="auto"/>
              </w:rPr>
            </w:pPr>
          </w:p>
        </w:tc>
        <w:tc>
          <w:tcPr>
            <w:tcW w:w="94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9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580" w:type="dxa"/>
            <w:vAlign w:val="bottom"/>
            <w:shd w:val="clear" w:color="auto" w:fill="D9D9D6"/>
          </w:tcPr>
          <w:p>
            <w:pPr>
              <w:spacing w:after="0"/>
              <w:rPr>
                <w:sz w:val="14"/>
                <w:szCs w:val="14"/>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Change</w:t>
            </w:r>
          </w:p>
        </w:tc>
        <w:tc>
          <w:tcPr>
            <w:tcW w:w="280" w:type="dxa"/>
            <w:vAlign w:val="bottom"/>
            <w:tcBorders>
              <w:right w:val="single" w:sz="8" w:color="828282"/>
            </w:tcBorders>
            <w:shd w:val="clear" w:color="auto" w:fill="D9D9D6"/>
          </w:tcPr>
          <w:p>
            <w:pPr>
              <w:spacing w:after="0"/>
              <w:rPr>
                <w:sz w:val="14"/>
                <w:szCs w:val="14"/>
                <w:color w:val="auto"/>
              </w:rPr>
            </w:pPr>
          </w:p>
        </w:tc>
        <w:tc>
          <w:tcPr>
            <w:tcW w:w="124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2021</w:t>
            </w: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2020</w:t>
            </w:r>
          </w:p>
        </w:tc>
        <w:tc>
          <w:tcPr>
            <w:tcW w:w="280" w:type="dxa"/>
            <w:vAlign w:val="bottom"/>
            <w:shd w:val="clear" w:color="auto" w:fill="D9D9D6"/>
          </w:tcPr>
          <w:p>
            <w:pPr>
              <w:spacing w:after="0"/>
              <w:rPr>
                <w:sz w:val="14"/>
                <w:szCs w:val="14"/>
                <w:color w:val="auto"/>
              </w:rPr>
            </w:pPr>
          </w:p>
        </w:tc>
        <w:tc>
          <w:tcPr>
            <w:tcW w:w="920" w:type="dxa"/>
            <w:vAlign w:val="bottom"/>
            <w:gridSpan w:val="3"/>
            <w:shd w:val="clear" w:color="auto" w:fill="D9D9D6"/>
          </w:tcPr>
          <w:p>
            <w:pPr>
              <w:ind w:left="2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540" w:type="dxa"/>
            <w:vAlign w:val="bottom"/>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4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828282"/>
            </w:tcBorders>
            <w:shd w:val="clear" w:color="auto" w:fill="D9D9D6"/>
          </w:tcPr>
          <w:p>
            <w:pPr>
              <w:spacing w:after="0" w:line="20" w:lineRule="exact"/>
              <w:rPr>
                <w:sz w:val="1"/>
                <w:szCs w:val="1"/>
                <w:color w:val="auto"/>
              </w:rPr>
            </w:pPr>
          </w:p>
        </w:tc>
        <w:tc>
          <w:tcPr>
            <w:tcW w:w="84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48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shd w:val="clear" w:color="auto" w:fill="D9D9D6"/>
          </w:tcPr>
          <w:p>
            <w:pPr>
              <w:spacing w:after="0"/>
              <w:rPr>
                <w:sz w:val="24"/>
                <w:szCs w:val="24"/>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$28,546</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$23,715</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20.4 %</w:t>
            </w:r>
          </w:p>
        </w:tc>
        <w:tc>
          <w:tcPr>
            <w:tcW w:w="280" w:type="dxa"/>
            <w:vAlign w:val="bottom"/>
            <w:tcBorders>
              <w:right w:val="single" w:sz="8" w:color="828282"/>
            </w:tcBorders>
            <w:shd w:val="clear" w:color="auto" w:fill="D9D9D6"/>
          </w:tcPr>
          <w:p>
            <w:pPr>
              <w:spacing w:after="0"/>
              <w:rPr>
                <w:sz w:val="24"/>
                <w:szCs w:val="24"/>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$55,751</w:t>
            </w:r>
          </w:p>
        </w:tc>
        <w:tc>
          <w:tcPr>
            <w:tcW w:w="8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$50,324</w:t>
            </w:r>
          </w:p>
        </w:tc>
        <w:tc>
          <w:tcPr>
            <w:tcW w:w="280" w:type="dxa"/>
            <w:vAlign w:val="bottom"/>
            <w:shd w:val="clear" w:color="auto" w:fill="D9D9D6"/>
          </w:tcPr>
          <w:p>
            <w:pPr>
              <w:spacing w:after="0"/>
              <w:rPr>
                <w:sz w:val="24"/>
                <w:szCs w:val="24"/>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10.8 %</w:t>
            </w:r>
          </w:p>
        </w:tc>
        <w:tc>
          <w:tcPr>
            <w:tcW w:w="14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Income Attributable to Comcast</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$3,738</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$2,988</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25.1 %</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$7,067</w:t>
            </w:r>
          </w:p>
        </w:tc>
        <w:tc>
          <w:tcPr>
            <w:tcW w:w="8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$5,135</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37.6 %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9"/>
                <w:szCs w:val="9"/>
                <w:color w:val="auto"/>
              </w:rPr>
              <w:t>1</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$3,943</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$3,170</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24.3 %</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$7,472</w:t>
            </w:r>
          </w:p>
        </w:tc>
        <w:tc>
          <w:tcPr>
            <w:tcW w:w="8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$6,436</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16.1 %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EBITDA</w:t>
            </w:r>
            <w:r>
              <w:rPr>
                <w:rFonts w:ascii="Arial" w:cs="Arial" w:eastAsia="Arial" w:hAnsi="Arial"/>
                <w:sz w:val="9"/>
                <w:szCs w:val="9"/>
                <w:color w:val="auto"/>
              </w:rPr>
              <w:t>2</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$8,927</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$7,927</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12.6 %</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$17,339</w:t>
            </w:r>
          </w:p>
        </w:tc>
        <w:tc>
          <w:tcPr>
            <w:tcW w:w="8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$16,057</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8.0 %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9"/>
                <w:szCs w:val="9"/>
                <w:color w:val="auto"/>
              </w:rPr>
              <w:t>3</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$0.80</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$0.65</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23.1</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$1.51</w:t>
            </w:r>
          </w:p>
        </w:tc>
        <w:tc>
          <w:tcPr>
            <w:tcW w:w="8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$1.11</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36.0 %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Earnings per Share</w:t>
            </w:r>
            <w:r>
              <w:rPr>
                <w:rFonts w:ascii="Arial" w:cs="Arial" w:eastAsia="Arial" w:hAnsi="Arial"/>
                <w:sz w:val="9"/>
                <w:szCs w:val="9"/>
                <w:color w:val="auto"/>
              </w:rPr>
              <w:t>1</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$0.84</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$0.69</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21.7</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$1.60</w:t>
            </w:r>
          </w:p>
        </w:tc>
        <w:tc>
          <w:tcPr>
            <w:tcW w:w="8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$1.40</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14.3 %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$7,606</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$8,643</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(12.0</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$15,357</w:t>
            </w:r>
          </w:p>
        </w:tc>
        <w:tc>
          <w:tcPr>
            <w:tcW w:w="8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$14,467</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6.2 %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0" w:type="dxa"/>
            <w:vAlign w:val="bottom"/>
            <w:tcBorders>
              <w:bottom w:val="single" w:sz="8" w:color="D9D9D6"/>
            </w:tcBorders>
            <w:shd w:val="clear" w:color="auto" w:fill="D9D9D6"/>
          </w:tcPr>
          <w:p>
            <w:pPr>
              <w:spacing w:after="0"/>
              <w:rPr>
                <w:sz w:val="19"/>
                <w:szCs w:val="19"/>
                <w:color w:val="auto"/>
              </w:rPr>
            </w:pPr>
          </w:p>
        </w:tc>
        <w:tc>
          <w:tcPr>
            <w:tcW w:w="45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Free Cash Flow</w:t>
            </w:r>
            <w:r>
              <w:rPr>
                <w:rFonts w:ascii="Arial" w:cs="Arial" w:eastAsia="Arial" w:hAnsi="Arial"/>
                <w:sz w:val="9"/>
                <w:szCs w:val="9"/>
                <w:color w:val="auto"/>
              </w:rPr>
              <w:t>4</w:t>
            </w:r>
          </w:p>
        </w:tc>
        <w:tc>
          <w:tcPr>
            <w:tcW w:w="940" w:type="dxa"/>
            <w:vAlign w:val="bottom"/>
            <w:tcBorders>
              <w:bottom w:val="single" w:sz="8" w:color="D9D9D6"/>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$4,791</w:t>
            </w:r>
          </w:p>
        </w:tc>
        <w:tc>
          <w:tcPr>
            <w:tcW w:w="940" w:type="dxa"/>
            <w:vAlign w:val="bottom"/>
            <w:tcBorders>
              <w:bottom w:val="single" w:sz="8" w:color="D9D9D6"/>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$5,966</w:t>
            </w:r>
          </w:p>
        </w:tc>
        <w:tc>
          <w:tcPr>
            <w:tcW w:w="90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(19.7</w:t>
            </w:r>
          </w:p>
        </w:tc>
        <w:tc>
          <w:tcPr>
            <w:tcW w:w="20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9D9D6"/>
              <w:right w:val="single" w:sz="8" w:color="828282"/>
            </w:tcBorders>
            <w:shd w:val="clear" w:color="auto" w:fill="D9D9D6"/>
          </w:tcPr>
          <w:p>
            <w:pPr>
              <w:spacing w:after="0"/>
              <w:rPr>
                <w:sz w:val="19"/>
                <w:szCs w:val="19"/>
                <w:color w:val="auto"/>
              </w:rPr>
            </w:pPr>
          </w:p>
        </w:tc>
        <w:tc>
          <w:tcPr>
            <w:tcW w:w="116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$10,071</w:t>
            </w:r>
          </w:p>
        </w:tc>
        <w:tc>
          <w:tcPr>
            <w:tcW w:w="80" w:type="dxa"/>
            <w:vAlign w:val="bottom"/>
            <w:tcBorders>
              <w:bottom w:val="single" w:sz="8" w:color="D9D9D6"/>
            </w:tcBorders>
            <w:shd w:val="clear" w:color="auto" w:fill="D9D9D6"/>
          </w:tcPr>
          <w:p>
            <w:pPr>
              <w:spacing w:after="0"/>
              <w:rPr>
                <w:sz w:val="19"/>
                <w:szCs w:val="19"/>
                <w:color w:val="auto"/>
              </w:rPr>
            </w:pPr>
          </w:p>
        </w:tc>
        <w:tc>
          <w:tcPr>
            <w:tcW w:w="880" w:type="dxa"/>
            <w:vAlign w:val="bottom"/>
            <w:tcBorders>
              <w:bottom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$9,291</w:t>
            </w:r>
          </w:p>
        </w:tc>
        <w:tc>
          <w:tcPr>
            <w:tcW w:w="280" w:type="dxa"/>
            <w:vAlign w:val="bottom"/>
            <w:tcBorders>
              <w:bottom w:val="single" w:sz="8" w:color="D9D9D6"/>
            </w:tcBorders>
            <w:shd w:val="clear" w:color="auto" w:fill="D9D9D6"/>
          </w:tcPr>
          <w:p>
            <w:pPr>
              <w:spacing w:after="0"/>
              <w:rPr>
                <w:sz w:val="19"/>
                <w:szCs w:val="19"/>
                <w:color w:val="auto"/>
              </w:rPr>
            </w:pPr>
          </w:p>
        </w:tc>
        <w:tc>
          <w:tcPr>
            <w:tcW w:w="7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8.4 %</w:t>
            </w:r>
          </w:p>
        </w:tc>
        <w:tc>
          <w:tcPr>
            <w:tcW w:w="140" w:type="dxa"/>
            <w:vAlign w:val="bottom"/>
            <w:tcBorders>
              <w:bottom w:val="single" w:sz="8" w:color="D9D9D6"/>
            </w:tcBorders>
            <w:shd w:val="clear" w:color="auto" w:fill="D9D9D6"/>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2nd Quarter 2021 Highlights:</w:t>
      </w:r>
    </w:p>
    <w:p>
      <w:pPr>
        <w:spacing w:after="0" w:line="45" w:lineRule="exact"/>
        <w:rPr>
          <w:sz w:val="20"/>
          <w:szCs w:val="20"/>
          <w:color w:val="auto"/>
        </w:rPr>
      </w:pPr>
    </w:p>
    <w:p>
      <w:pPr>
        <w:ind w:left="34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Adjusted EBITDA Increased 12.6% to $8.9 Billion; Adjusted EPS Increased 21.7% to $0.84; Generated Free Cash Flow of $4.8 Billion</w:t>
      </w:r>
    </w:p>
    <w:p>
      <w:pPr>
        <w:spacing w:after="0" w:line="8" w:lineRule="exact"/>
        <w:rPr>
          <w:rFonts w:ascii="Arial" w:cs="Arial" w:eastAsia="Arial" w:hAnsi="Arial"/>
          <w:sz w:val="18"/>
          <w:szCs w:val="18"/>
          <w:color w:val="auto"/>
        </w:rPr>
      </w:pPr>
    </w:p>
    <w:p>
      <w:pPr>
        <w:ind w:left="340" w:right="2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Resumed Share Repurchase Program in May, Earlier Than Previously Planned; Returned $1.7 Billion to Shareholders During the Quarter Through a Combination of Share Repurchases and Dividend Payments</w:t>
      </w:r>
    </w:p>
    <w:p>
      <w:pPr>
        <w:ind w:left="34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Total Customer Relationship Net Additions Were 294,000, the Best Second Quarter Result on Record; Total Broadband Customer Net Additions Were 354,000, the Best Second Quarter Result on Record</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Adjusted EBITDA Increased 14.5% and Adjusted EBITDA per Customer Relationship Increased 8.9%</w:t>
      </w:r>
    </w:p>
    <w:p>
      <w:pPr>
        <w:spacing w:after="0" w:line="36"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Wireless Customer Line Net Additions Were 280,000, the Best Quarterly Result on Record</w:t>
      </w:r>
    </w:p>
    <w:p>
      <w:pPr>
        <w:spacing w:after="0" w:line="22"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color w:val="auto"/>
        </w:rPr>
        <w:t>NBCUniversal Adjusted EBITDA Increased 12.5% to $1.6 billion, Including Peacock Losses</w:t>
      </w:r>
    </w:p>
    <w:p>
      <w:pPr>
        <w:spacing w:after="0" w:line="9" w:lineRule="exact"/>
        <w:rPr>
          <w:rFonts w:ascii="Arial" w:cs="Arial" w:eastAsia="Arial" w:hAnsi="Arial"/>
          <w:sz w:val="18"/>
          <w:szCs w:val="18"/>
          <w:b w:val="1"/>
          <w:bCs w:val="1"/>
          <w:i w:val="1"/>
          <w:iCs w:val="1"/>
          <w:color w:val="auto"/>
        </w:rPr>
      </w:pPr>
    </w:p>
    <w:p>
      <w:pPr>
        <w:ind w:left="300" w:hanging="292"/>
        <w:spacing w:after="0" w:line="238" w:lineRule="auto"/>
        <w:tabs>
          <w:tab w:leader="none" w:pos="300" w:val="left"/>
        </w:tabs>
        <w:numPr>
          <w:ilvl w:val="0"/>
          <w:numId w:val="2"/>
        </w:numPr>
        <w:rPr>
          <w:rFonts w:ascii="Arial" w:cs="Arial" w:eastAsia="Arial" w:hAnsi="Arial"/>
          <w:sz w:val="20"/>
          <w:szCs w:val="20"/>
          <w:color w:val="auto"/>
        </w:rPr>
      </w:pPr>
      <w:r>
        <w:rPr>
          <w:rFonts w:ascii="Arial" w:cs="Arial" w:eastAsia="Arial" w:hAnsi="Arial"/>
          <w:sz w:val="18"/>
          <w:szCs w:val="18"/>
          <w:color w:val="auto"/>
        </w:rPr>
        <w:t>Theme Parks Delivered Its First Profitable Quarter Since the First Quarter of 2020, Driven by Universal Orlando</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Sky Revenue Increased 28.0% to $5.2 billion; On a Constant Currency Basis, Revenue Increased 14.9%</w:t>
      </w:r>
    </w:p>
    <w:p>
      <w:pPr>
        <w:sectPr>
          <w:pgSz w:w="11900" w:h="16838" w:orient="portrait"/>
          <w:cols w:equalWidth="0" w:num="1">
            <w:col w:w="11240"/>
          </w:cols>
          <w:pgMar w:left="320" w:top="733"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second quarter of 2021 increased 20.4% to $28.5 billion.</w:t>
      </w:r>
      <w:r>
        <w:rPr>
          <w:rFonts w:ascii="Arial" w:cs="Arial" w:eastAsia="Arial" w:hAnsi="Arial"/>
          <w:sz w:val="18"/>
          <w:szCs w:val="18"/>
          <w:b w:val="1"/>
          <w:bCs w:val="1"/>
          <w:i w:val="1"/>
          <w:iCs w:val="1"/>
          <w:color w:val="auto"/>
        </w:rPr>
        <w:t xml:space="preserve"> Net Income Attributable to Comcast </w:t>
      </w:r>
      <w:r>
        <w:rPr>
          <w:rFonts w:ascii="Arial" w:cs="Arial" w:eastAsia="Arial" w:hAnsi="Arial"/>
          <w:sz w:val="18"/>
          <w:szCs w:val="18"/>
          <w:color w:val="auto"/>
        </w:rPr>
        <w:t>increased 25.1% to $3.7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billion. </w:t>
      </w:r>
      <w:r>
        <w:rPr>
          <w:rFonts w:ascii="Arial" w:cs="Arial" w:eastAsia="Arial" w:hAnsi="Arial"/>
          <w:sz w:val="18"/>
          <w:szCs w:val="18"/>
          <w:b w:val="1"/>
          <w:bCs w:val="1"/>
          <w:i w:val="1"/>
          <w:iCs w:val="1"/>
          <w:color w:val="auto"/>
        </w:rPr>
        <w:t>Adjusted Net Income</w:t>
      </w:r>
      <w:r>
        <w:rPr>
          <w:rFonts w:ascii="Arial" w:cs="Arial" w:eastAsia="Arial" w:hAnsi="Arial"/>
          <w:sz w:val="18"/>
          <w:szCs w:val="18"/>
          <w:color w:val="auto"/>
        </w:rPr>
        <w:t xml:space="preserve"> increased 24.3% to $3.9 billion.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increased 12.6% to $8.9 billion.</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the six months ended June 30, 2021, revenue increased 10.8% to $ 55.8 billion compared to 2020. Net income attributable to Comcast increased 37.6% to $7.1 billion. Adjusted Net Income increased 16.1% to $7.5 billion. Adjusted EBITDA increased 8.0% to $17.3 billion.</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second quarter of 2021 was $0.80, an increase of 23.1% compared to the prior year period.</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21.7% to $0.84.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2021, EPS was $1.51, a 36.0% increase compared to 2020. Adjusted EPS increased 14.3% to $1.60.</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3.3% to $2.1 billion in the second quarter of 2021. Cable Communications’ capital expenditures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16.8% to $1.7 billion. NBCUniversal’s capital expenditures decreased 52.0% to $182 million. Sky's capital expenditures decreased 14.4% to $184 million.</w:t>
      </w:r>
    </w:p>
    <w:p>
      <w:pPr>
        <w:spacing w:after="0" w:line="20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For the six months ended June 30, 2021, capital expenditures increased 1.2% to $4.0 billion compared to 2020. Cable Communications' capital expenditures increased 12.7% to $3.1 billion. NBCUniversal's capital expenditures decreased 53.2% to $354 million. Sky's capital expenditures increased 10.4% to $455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$7.6 billion in the second quarter of 2021.</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$4.8 billion.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2021, net cash provided by operating activities was $15.4 billion. Free cash flow was $10.1 billion.</w:t>
      </w:r>
    </w:p>
    <w:p>
      <w:pPr>
        <w:spacing w:after="0" w:line="20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resumed its share repurchase program in May 2021 after pausing the program in 2019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accelerate the reduction of indebtedness it incurred in connection with its acquisition of Sky. During the second quarter of 2021, Comcast paid dividends totaling $1.2 billion and repurchased 8.8 million of its common shares for $500 million. As of June 30, 2021, Comcast had $9.5 billion available under its share repurchase authorization.</w:t>
      </w:r>
    </w:p>
    <w:p>
      <w:pPr>
        <w:spacing w:after="0" w:line="21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the six months ended June 30, 2021, Comcast paid dividends totaling $2.2 billion and repurchased 8.8 million of its common shares for $500 million.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674"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39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8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64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right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8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68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D9D9D6"/>
          </w:tcPr>
          <w:p>
            <w:pPr>
              <w:spacing w:after="0"/>
              <w:rPr>
                <w:sz w:val="14"/>
                <w:szCs w:val="14"/>
                <w:color w:val="auto"/>
              </w:rPr>
            </w:pPr>
          </w:p>
        </w:tc>
        <w:tc>
          <w:tcPr>
            <w:tcW w:w="3980" w:type="dxa"/>
            <w:vAlign w:val="bottom"/>
            <w:shd w:val="clear" w:color="auto" w:fill="D9D9D6"/>
          </w:tcPr>
          <w:p>
            <w:pPr>
              <w:spacing w:after="0"/>
              <w:rPr>
                <w:sz w:val="14"/>
                <w:szCs w:val="14"/>
                <w:color w:val="auto"/>
              </w:rPr>
            </w:pPr>
          </w:p>
        </w:tc>
        <w:tc>
          <w:tcPr>
            <w:tcW w:w="80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120" w:type="dxa"/>
            <w:vAlign w:val="bottom"/>
            <w:gridSpan w:val="5"/>
            <w:shd w:val="clear" w:color="auto" w:fill="D9D9D6"/>
          </w:tcPr>
          <w:p>
            <w:pPr>
              <w:jc w:val="right"/>
              <w:ind w:right="220"/>
              <w:spacing w:after="0"/>
              <w:rPr>
                <w:sz w:val="20"/>
                <w:szCs w:val="20"/>
                <w:color w:val="auto"/>
              </w:rPr>
            </w:pPr>
            <w:r>
              <w:rPr>
                <w:rFonts w:ascii="Arial" w:cs="Arial" w:eastAsia="Arial" w:hAnsi="Arial"/>
                <w:sz w:val="14"/>
                <w:szCs w:val="14"/>
                <w:color w:val="auto"/>
              </w:rPr>
              <w:t>2nd Quarter</w:t>
            </w: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200" w:type="dxa"/>
            <w:vAlign w:val="bottom"/>
            <w:tcBorders>
              <w:right w:val="single" w:sz="8" w:color="97999B"/>
            </w:tcBorders>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80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102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w w:val="99"/>
              </w:rPr>
              <w:t>Year to Date</w:t>
            </w: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3980" w:type="dxa"/>
            <w:vAlign w:val="bottom"/>
            <w:shd w:val="clear" w:color="auto" w:fill="D9D9D6"/>
          </w:tcPr>
          <w:p>
            <w:pPr>
              <w:spacing w:after="0" w:line="20" w:lineRule="exact"/>
              <w:rPr>
                <w:sz w:val="1"/>
                <w:szCs w:val="1"/>
                <w:color w:val="auto"/>
              </w:rPr>
            </w:pPr>
          </w:p>
        </w:tc>
        <w:tc>
          <w:tcPr>
            <w:tcW w:w="8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200" w:type="dxa"/>
            <w:vAlign w:val="bottom"/>
            <w:tcBorders>
              <w:right w:val="single" w:sz="8" w:color="97999B"/>
            </w:tcBorders>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8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398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40" w:type="dxa"/>
            <w:vAlign w:val="bottom"/>
            <w:shd w:val="clear" w:color="auto" w:fill="D9D9D6"/>
          </w:tcPr>
          <w:p>
            <w:pPr>
              <w:spacing w:after="0"/>
              <w:rPr>
                <w:sz w:val="14"/>
                <w:szCs w:val="14"/>
                <w:color w:val="auto"/>
              </w:rPr>
            </w:pPr>
          </w:p>
        </w:tc>
        <w:tc>
          <w:tcPr>
            <w:tcW w:w="9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060" w:type="dxa"/>
            <w:vAlign w:val="bottom"/>
            <w:gridSpan w:val="4"/>
            <w:shd w:val="clear" w:color="auto" w:fill="D9D9D6"/>
          </w:tcPr>
          <w:p>
            <w:pPr>
              <w:ind w:left="540"/>
              <w:spacing w:after="0"/>
              <w:rPr>
                <w:sz w:val="20"/>
                <w:szCs w:val="20"/>
                <w:color w:val="auto"/>
              </w:rPr>
            </w:pPr>
            <w:r>
              <w:rPr>
                <w:rFonts w:ascii="Arial" w:cs="Arial" w:eastAsia="Arial" w:hAnsi="Arial"/>
                <w:sz w:val="14"/>
                <w:szCs w:val="14"/>
                <w:color w:val="auto"/>
              </w:rPr>
              <w:t>Change</w:t>
            </w:r>
          </w:p>
        </w:tc>
        <w:tc>
          <w:tcPr>
            <w:tcW w:w="200" w:type="dxa"/>
            <w:vAlign w:val="bottom"/>
            <w:tcBorders>
              <w:right w:val="single" w:sz="8" w:color="97999B"/>
            </w:tcBorders>
            <w:shd w:val="clear" w:color="auto" w:fill="D9D9D6"/>
          </w:tcPr>
          <w:p>
            <w:pPr>
              <w:spacing w:after="0"/>
              <w:rPr>
                <w:sz w:val="14"/>
                <w:szCs w:val="14"/>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180" w:type="dxa"/>
            <w:vAlign w:val="bottom"/>
            <w:gridSpan w:val="5"/>
            <w:shd w:val="clear" w:color="auto" w:fill="D9D9D6"/>
          </w:tcPr>
          <w:p>
            <w:pPr>
              <w:ind w:left="5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3980" w:type="dxa"/>
            <w:vAlign w:val="bottom"/>
            <w:tcBorders>
              <w:top w:val="single" w:sz="8" w:color="D9D9D6"/>
            </w:tcBorders>
            <w:vMerge w:val="continue"/>
            <w:shd w:val="clear" w:color="auto" w:fill="D9D9D6"/>
          </w:tcPr>
          <w:p>
            <w:pPr>
              <w:spacing w:after="0"/>
              <w:rPr>
                <w:sz w:val="17"/>
                <w:szCs w:val="17"/>
                <w:color w:val="auto"/>
              </w:rPr>
            </w:pPr>
          </w:p>
        </w:tc>
        <w:tc>
          <w:tcPr>
            <w:tcW w:w="8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40" w:type="dxa"/>
            <w:vAlign w:val="bottom"/>
            <w:tcBorders>
              <w:top w:val="single" w:sz="8" w:color="D9D9D6"/>
            </w:tcBorders>
            <w:shd w:val="clear" w:color="auto" w:fill="D9D9D6"/>
          </w:tcPr>
          <w:p>
            <w:pPr>
              <w:spacing w:after="0"/>
              <w:rPr>
                <w:sz w:val="17"/>
                <w:szCs w:val="17"/>
                <w:color w:val="auto"/>
              </w:rPr>
            </w:pPr>
          </w:p>
        </w:tc>
        <w:tc>
          <w:tcPr>
            <w:tcW w:w="64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auto"/>
            </w:tcBorders>
            <w:shd w:val="clear" w:color="auto" w:fill="D9D9D6"/>
          </w:tcPr>
          <w:p>
            <w:pPr>
              <w:spacing w:after="0"/>
              <w:rPr>
                <w:sz w:val="17"/>
                <w:szCs w:val="17"/>
                <w:color w:val="auto"/>
              </w:rPr>
            </w:pPr>
          </w:p>
        </w:tc>
        <w:tc>
          <w:tcPr>
            <w:tcW w:w="2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00" w:type="dxa"/>
            <w:vAlign w:val="bottom"/>
            <w:tcBorders>
              <w:top w:val="single" w:sz="8" w:color="D9D9D6"/>
              <w:right w:val="single" w:sz="8" w:color="97999B"/>
            </w:tcBorders>
            <w:shd w:val="clear" w:color="auto" w:fill="D9D9D6"/>
          </w:tcPr>
          <w:p>
            <w:pPr>
              <w:spacing w:after="0"/>
              <w:rPr>
                <w:sz w:val="17"/>
                <w:szCs w:val="17"/>
                <w:color w:val="auto"/>
              </w:rPr>
            </w:pPr>
          </w:p>
        </w:tc>
        <w:tc>
          <w:tcPr>
            <w:tcW w:w="160" w:type="dxa"/>
            <w:vAlign w:val="bottom"/>
            <w:tcBorders>
              <w:top w:val="single" w:sz="8" w:color="D9D9D6"/>
            </w:tcBorders>
            <w:shd w:val="clear" w:color="auto" w:fill="D9D9D6"/>
          </w:tcPr>
          <w:p>
            <w:pPr>
              <w:spacing w:after="0"/>
              <w:rPr>
                <w:sz w:val="17"/>
                <w:szCs w:val="17"/>
                <w:color w:val="auto"/>
              </w:rPr>
            </w:pPr>
          </w:p>
        </w:tc>
        <w:tc>
          <w:tcPr>
            <w:tcW w:w="8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68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auto"/>
            </w:tcBorders>
            <w:shd w:val="clear" w:color="auto" w:fill="D9D9D6"/>
          </w:tcPr>
          <w:p>
            <w:pPr>
              <w:spacing w:after="0"/>
              <w:rPr>
                <w:sz w:val="17"/>
                <w:szCs w:val="17"/>
                <w:color w:val="auto"/>
              </w:rPr>
            </w:pPr>
          </w:p>
        </w:tc>
        <w:tc>
          <w:tcPr>
            <w:tcW w:w="2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8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Broadband</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$5,717</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$5,000</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14.3</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$11,317</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$10,001</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13.2 %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8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Video</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5,554</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5,415</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2.6</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11,177</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11,047</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1.2 %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8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Voice</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870</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877</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(0.8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1,741</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1,776</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80" w:type="dxa"/>
            <w:vAlign w:val="bottom"/>
            <w:shd w:val="clear" w:color="auto" w:fill="D9D9D6"/>
          </w:tcPr>
          <w:p>
            <w:pPr>
              <w:ind w:left="140"/>
              <w:spacing w:after="0"/>
              <w:rPr>
                <w:sz w:val="20"/>
                <w:szCs w:val="20"/>
                <w:color w:val="auto"/>
              </w:rPr>
            </w:pPr>
            <w:r>
              <w:rPr>
                <w:rFonts w:ascii="Arial" w:cs="Arial" w:eastAsia="Arial" w:hAnsi="Arial"/>
                <w:sz w:val="14"/>
                <w:szCs w:val="14"/>
                <w:color w:val="auto"/>
              </w:rPr>
              <w:t>Wireless</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556</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326</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70.4</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1,069</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669</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59.8 %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8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Business Services</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2,202</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2,004</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9.9</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4,369</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4,047</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8.0 %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80" w:type="dxa"/>
            <w:vAlign w:val="bottom"/>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679</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428</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58.6</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1,296</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985</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31.6 %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398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425</w:t>
            </w:r>
          </w:p>
        </w:tc>
        <w:tc>
          <w:tcPr>
            <w:tcW w:w="112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378</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12.4</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6"/>
                <w:szCs w:val="16"/>
                <w:color w:val="auto"/>
              </w:rPr>
            </w:pPr>
          </w:p>
        </w:tc>
        <w:tc>
          <w:tcPr>
            <w:tcW w:w="200" w:type="dxa"/>
            <w:vAlign w:val="bottom"/>
            <w:tcBorders>
              <w:bottom w:val="single" w:sz="8" w:color="D9D9D6"/>
              <w:right w:val="single" w:sz="8" w:color="97999B"/>
            </w:tcBorders>
            <w:shd w:val="clear" w:color="auto" w:fill="D9D9D6"/>
          </w:tcPr>
          <w:p>
            <w:pPr>
              <w:spacing w:after="0"/>
              <w:rPr>
                <w:sz w:val="16"/>
                <w:szCs w:val="16"/>
                <w:color w:val="auto"/>
              </w:rPr>
            </w:pPr>
          </w:p>
        </w:tc>
        <w:tc>
          <w:tcPr>
            <w:tcW w:w="160" w:type="dxa"/>
            <w:vAlign w:val="bottom"/>
            <w:tcBorders>
              <w:bottom w:val="single" w:sz="8" w:color="D9D9D6"/>
            </w:tcBorders>
            <w:shd w:val="clear" w:color="auto" w:fill="D9D9D6"/>
          </w:tcPr>
          <w:p>
            <w:pPr>
              <w:spacing w:after="0"/>
              <w:rPr>
                <w:sz w:val="16"/>
                <w:szCs w:val="16"/>
                <w:color w:val="auto"/>
              </w:rPr>
            </w:pPr>
          </w:p>
        </w:tc>
        <w:tc>
          <w:tcPr>
            <w:tcW w:w="11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838</w:t>
            </w:r>
          </w:p>
        </w:tc>
        <w:tc>
          <w:tcPr>
            <w:tcW w:w="114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821</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2.1</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39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$16,002</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$14,428</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10.9</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200" w:type="dxa"/>
            <w:vAlign w:val="bottom"/>
            <w:tcBorders>
              <w:right w:val="single" w:sz="8" w:color="97999B"/>
            </w:tcBorders>
            <w:shd w:val="clear" w:color="auto" w:fill="D9D9D6"/>
          </w:tcPr>
          <w:p>
            <w:pPr>
              <w:spacing w:after="0"/>
              <w:rPr>
                <w:sz w:val="15"/>
                <w:szCs w:val="15"/>
                <w:color w:val="auto"/>
              </w:rPr>
            </w:pPr>
          </w:p>
        </w:tc>
        <w:tc>
          <w:tcPr>
            <w:tcW w:w="160" w:type="dxa"/>
            <w:vAlign w:val="bottom"/>
            <w:shd w:val="clear" w:color="auto" w:fill="D9D9D6"/>
          </w:tcPr>
          <w:p>
            <w:pPr>
              <w:spacing w:after="0"/>
              <w:rPr>
                <w:sz w:val="15"/>
                <w:szCs w:val="15"/>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$31,807</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$29,346</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8.4</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39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Adjusted EBITDA</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$7,073</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$6,176</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14.5 %</w:t>
            </w:r>
          </w:p>
        </w:tc>
        <w:tc>
          <w:tcPr>
            <w:tcW w:w="20" w:type="dxa"/>
            <w:vAlign w:val="bottom"/>
            <w:shd w:val="clear" w:color="auto" w:fill="D9D9D6"/>
          </w:tcPr>
          <w:p>
            <w:pPr>
              <w:spacing w:after="0"/>
              <w:rPr>
                <w:sz w:val="24"/>
                <w:szCs w:val="24"/>
                <w:color w:val="auto"/>
              </w:rPr>
            </w:pPr>
          </w:p>
        </w:tc>
        <w:tc>
          <w:tcPr>
            <w:tcW w:w="200" w:type="dxa"/>
            <w:vAlign w:val="bottom"/>
            <w:tcBorders>
              <w:right w:val="single" w:sz="8" w:color="97999B"/>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$13,903</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$12,252</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13.5 %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8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44.2 %</w:t>
            </w:r>
          </w:p>
        </w:tc>
        <w:tc>
          <w:tcPr>
            <w:tcW w:w="20" w:type="dxa"/>
            <w:vAlign w:val="bottom"/>
            <w:shd w:val="clear" w:color="auto" w:fill="D9D9D6"/>
          </w:tcPr>
          <w:p>
            <w:pPr>
              <w:spacing w:after="0"/>
              <w:rPr>
                <w:sz w:val="16"/>
                <w:szCs w:val="16"/>
                <w:color w:val="auto"/>
              </w:rPr>
            </w:pPr>
          </w:p>
        </w:tc>
        <w:tc>
          <w:tcPr>
            <w:tcW w:w="110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42.8 %</w:t>
            </w:r>
          </w:p>
        </w:tc>
        <w:tc>
          <w:tcPr>
            <w:tcW w:w="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43.7 %</w:t>
            </w:r>
          </w:p>
        </w:tc>
        <w:tc>
          <w:tcPr>
            <w:tcW w:w="20" w:type="dxa"/>
            <w:vAlign w:val="bottom"/>
            <w:shd w:val="clear" w:color="auto" w:fill="D9D9D6"/>
          </w:tcPr>
          <w:p>
            <w:pPr>
              <w:spacing w:after="0"/>
              <w:rPr>
                <w:sz w:val="16"/>
                <w:szCs w:val="16"/>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41.7 %</w:t>
            </w:r>
          </w:p>
        </w:tc>
        <w:tc>
          <w:tcPr>
            <w:tcW w:w="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39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Capital Expenditures</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$1,695</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$1,452</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16.8 %</w:t>
            </w:r>
          </w:p>
        </w:tc>
        <w:tc>
          <w:tcPr>
            <w:tcW w:w="20" w:type="dxa"/>
            <w:vAlign w:val="bottom"/>
            <w:shd w:val="clear" w:color="auto" w:fill="D9D9D6"/>
          </w:tcPr>
          <w:p>
            <w:pPr>
              <w:spacing w:after="0"/>
              <w:rPr>
                <w:sz w:val="24"/>
                <w:szCs w:val="24"/>
                <w:color w:val="auto"/>
              </w:rPr>
            </w:pPr>
          </w:p>
        </w:tc>
        <w:tc>
          <w:tcPr>
            <w:tcW w:w="200" w:type="dxa"/>
            <w:vAlign w:val="bottom"/>
            <w:tcBorders>
              <w:right w:val="single" w:sz="8" w:color="97999B"/>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$3,065</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$2,721</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12.7 %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8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Percent of Cable Communications Revenue</w:t>
            </w: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10.6 %</w:t>
            </w:r>
          </w:p>
        </w:tc>
        <w:tc>
          <w:tcPr>
            <w:tcW w:w="20" w:type="dxa"/>
            <w:vAlign w:val="bottom"/>
            <w:shd w:val="clear" w:color="auto" w:fill="D9D9D6"/>
          </w:tcPr>
          <w:p>
            <w:pPr>
              <w:spacing w:after="0"/>
              <w:rPr>
                <w:sz w:val="16"/>
                <w:szCs w:val="16"/>
                <w:color w:val="auto"/>
              </w:rPr>
            </w:pPr>
          </w:p>
        </w:tc>
        <w:tc>
          <w:tcPr>
            <w:tcW w:w="110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10.1 %</w:t>
            </w:r>
          </w:p>
        </w:tc>
        <w:tc>
          <w:tcPr>
            <w:tcW w:w="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9.6 %</w:t>
            </w:r>
          </w:p>
        </w:tc>
        <w:tc>
          <w:tcPr>
            <w:tcW w:w="20" w:type="dxa"/>
            <w:vAlign w:val="bottom"/>
            <w:shd w:val="clear" w:color="auto" w:fill="D9D9D6"/>
          </w:tcPr>
          <w:p>
            <w:pPr>
              <w:spacing w:after="0"/>
              <w:rPr>
                <w:sz w:val="16"/>
                <w:szCs w:val="16"/>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9.3 %</w:t>
            </w:r>
          </w:p>
        </w:tc>
        <w:tc>
          <w:tcPr>
            <w:tcW w:w="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D9D9D6"/>
          </w:tcPr>
          <w:p>
            <w:pPr>
              <w:spacing w:after="0"/>
              <w:rPr>
                <w:sz w:val="8"/>
                <w:szCs w:val="8"/>
                <w:color w:val="auto"/>
              </w:rPr>
            </w:pPr>
          </w:p>
        </w:tc>
        <w:tc>
          <w:tcPr>
            <w:tcW w:w="3980" w:type="dxa"/>
            <w:vAlign w:val="bottom"/>
            <w:shd w:val="clear" w:color="auto" w:fill="D9D9D6"/>
          </w:tcPr>
          <w:p>
            <w:pPr>
              <w:spacing w:after="0"/>
              <w:rPr>
                <w:sz w:val="8"/>
                <w:szCs w:val="8"/>
                <w:color w:val="auto"/>
              </w:rPr>
            </w:pPr>
          </w:p>
        </w:tc>
        <w:tc>
          <w:tcPr>
            <w:tcW w:w="80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64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200" w:type="dxa"/>
            <w:vAlign w:val="bottom"/>
            <w:tcBorders>
              <w:right w:val="single" w:sz="8" w:color="D9D9D6"/>
            </w:tcBorders>
            <w:shd w:val="clear" w:color="auto" w:fill="D9D9D6"/>
          </w:tcPr>
          <w:p>
            <w:pPr>
              <w:spacing w:after="0"/>
              <w:rPr>
                <w:sz w:val="8"/>
                <w:szCs w:val="8"/>
                <w:color w:val="auto"/>
              </w:rPr>
            </w:pPr>
          </w:p>
        </w:tc>
        <w:tc>
          <w:tcPr>
            <w:tcW w:w="160" w:type="dxa"/>
            <w:vAlign w:val="bottom"/>
            <w:shd w:val="clear" w:color="auto" w:fill="D9D9D6"/>
          </w:tcPr>
          <w:p>
            <w:pPr>
              <w:spacing w:after="0"/>
              <w:rPr>
                <w:sz w:val="8"/>
                <w:szCs w:val="8"/>
                <w:color w:val="auto"/>
              </w:rPr>
            </w:pPr>
          </w:p>
        </w:tc>
        <w:tc>
          <w:tcPr>
            <w:tcW w:w="80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68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10.9% to $16.0 billion in the second quarter of 2021, driven by increases in broadband,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wireless, business services, video and other revenue, partially offset by a decrease in voice revenue. In the prior year period, results were negatively impacted by COVID-19, including accrued customer regional sports network (RSN) fee adjustments, reduced advertising revenue and lower revenue due to Xfinity's commitment to the FCC's Keep Americans Connected Pledge and our efforts to assist customers during the COVID-19 public health crisis. Excluding the impact of accrued customer RSN fee adjustments in the prior year period</w:t>
      </w:r>
      <w:r>
        <w:rPr>
          <w:rFonts w:ascii="Arial" w:cs="Arial" w:eastAsia="Arial" w:hAnsi="Arial"/>
          <w:sz w:val="23"/>
          <w:szCs w:val="23"/>
          <w:color w:val="auto"/>
          <w:vertAlign w:val="superscript"/>
        </w:rPr>
        <w:t>5</w:t>
      </w:r>
      <w:r>
        <w:rPr>
          <w:rFonts w:ascii="Arial" w:cs="Arial" w:eastAsia="Arial" w:hAnsi="Arial"/>
          <w:sz w:val="18"/>
          <w:szCs w:val="18"/>
          <w:color w:val="auto"/>
        </w:rPr>
        <w:t>, Cable Communications revenue increased 9.3%. Broadband revenue increased 14.3% due to an increase in the number of residential broadband customers and an increase in average rates. Excluding the impact of accrued RSN fee adjustments in the prior year period for customers taking bundled services</w:t>
      </w:r>
      <w:r>
        <w:rPr>
          <w:rFonts w:ascii="Arial" w:cs="Arial" w:eastAsia="Arial" w:hAnsi="Arial"/>
          <w:sz w:val="23"/>
          <w:szCs w:val="23"/>
          <w:color w:val="auto"/>
          <w:vertAlign w:val="superscript"/>
        </w:rPr>
        <w:t>5</w:t>
      </w:r>
      <w:r>
        <w:rPr>
          <w:rFonts w:ascii="Arial" w:cs="Arial" w:eastAsia="Arial" w:hAnsi="Arial"/>
          <w:sz w:val="18"/>
          <w:szCs w:val="18"/>
          <w:color w:val="auto"/>
        </w:rPr>
        <w:t>, broadband revenue increased 12.6%. Advertising revenue increased 58.6%, primarily reflecting an overall market recovery in the current period and reduced spending from advertisers in the prior year period as a result of COVID-19. Excluding political advertising revenue, advertising revenue increased 60.4%. Wireless revenue increased 70.4% due to an increase in the number of customer lines and an increase in device sales. Business services revenue increased 9.9%, primarily due to an increase in average rates compared to the prior year period which was negatively impacted by COVID-19. Video revenue increased 2.6%, reflecting an increase in average rates, partially offset by a decrease in the number of residential video customers. Excluding the impact of accrued customer RSN fee adjustments in the prior year period</w:t>
      </w:r>
      <w:r>
        <w:rPr>
          <w:rFonts w:ascii="Arial" w:cs="Arial" w:eastAsia="Arial" w:hAnsi="Arial"/>
          <w:sz w:val="23"/>
          <w:szCs w:val="23"/>
          <w:color w:val="auto"/>
          <w:vertAlign w:val="superscript"/>
        </w:rPr>
        <w:t>5</w:t>
      </w:r>
      <w:r>
        <w:rPr>
          <w:rFonts w:ascii="Arial" w:cs="Arial" w:eastAsia="Arial" w:hAnsi="Arial"/>
          <w:sz w:val="18"/>
          <w:szCs w:val="18"/>
          <w:color w:val="auto"/>
        </w:rPr>
        <w:t>, video revenue increased 0.5%. Other revenue increased 12.4%, primarily reflecting increases in revenue from our security and automation services and from licensing of our technology platforms. Voice revenue decreased 0.8%, primarily reflecting a decrease in the number of residential voice customers, partially offset by an increase in average rates.</w:t>
      </w:r>
    </w:p>
    <w:p>
      <w:pPr>
        <w:spacing w:after="0" w:line="22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the six months ended June 30, 2021, Cable revenue increased 8.4% to $31.8 billion compared to 2020, driven by growth in broadband, wireless, business services, advertising, video and other revenue, partially offset by a decrease in voice revenue. Excluding the impact of accrued customer RSN fee adjustments in 2020</w:t>
      </w:r>
      <w:r>
        <w:rPr>
          <w:rFonts w:ascii="Arial" w:cs="Arial" w:eastAsia="Arial" w:hAnsi="Arial"/>
          <w:sz w:val="23"/>
          <w:szCs w:val="23"/>
          <w:color w:val="auto"/>
          <w:vertAlign w:val="superscript"/>
        </w:rPr>
        <w:t>5</w:t>
      </w:r>
      <w:r>
        <w:rPr>
          <w:rFonts w:ascii="Arial" w:cs="Arial" w:eastAsia="Arial" w:hAnsi="Arial"/>
          <w:sz w:val="18"/>
          <w:szCs w:val="18"/>
          <w:color w:val="auto"/>
        </w:rPr>
        <w:t>, Cable Communications revenue increased 7.6%.</w:t>
      </w:r>
    </w:p>
    <w:p>
      <w:pPr>
        <w:spacing w:after="0" w:line="12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294,000 to 33.8 million in the second quarter of 2021.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277,000 and business customer relationships increased by 17,000. Total broadband customer net additions were 354,000, total video customer net losses were 399,000 and total voice customer net losses were 108,000. In addition, Cable Communications added 280,000 wireless lines in the quarter.</w:t>
      </w:r>
    </w:p>
    <w:p>
      <w:pPr>
        <w:spacing w:after="0" w:line="21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For the six months ended June 30, 2021, total customer relationships increased by 675,000. Residential customer relationships increased by 647,000 and business customer relationships increased by 28,000. Total broadband customer net additions were 814,000, total video customer net losses were 889,000 and total voice customer net losses were 214,000. In addition, Cable Communications added 558,000 wireless lines in the current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8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4"/>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380" w:type="dxa"/>
            <w:vAlign w:val="bottom"/>
            <w:tcBorders>
              <w:right w:val="single" w:sz="8" w:color="D9D9D6"/>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40" w:type="dxa"/>
            <w:vAlign w:val="bottom"/>
            <w:tcBorders>
              <w:right w:val="single" w:sz="8" w:color="D9D9D6"/>
            </w:tcBorders>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540" w:type="dxa"/>
            <w:vAlign w:val="bottom"/>
            <w:tcBorders>
              <w:right w:val="single" w:sz="8" w:color="D9D9D6"/>
            </w:tcBorders>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42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380" w:type="dxa"/>
            <w:vAlign w:val="bottom"/>
            <w:tcBorders>
              <w:right w:val="single" w:sz="8" w:color="D9D9D6"/>
            </w:tcBorders>
            <w:shd w:val="clear" w:color="auto" w:fill="D9D9D6"/>
          </w:tcPr>
          <w:p>
            <w:pPr>
              <w:spacing w:after="0"/>
              <w:rPr>
                <w:sz w:val="16"/>
                <w:szCs w:val="16"/>
                <w:color w:val="auto"/>
              </w:rPr>
            </w:pPr>
          </w:p>
        </w:tc>
        <w:tc>
          <w:tcPr>
            <w:tcW w:w="2260" w:type="dxa"/>
            <w:vAlign w:val="bottom"/>
            <w:gridSpan w:val="9"/>
            <w:shd w:val="clear" w:color="auto" w:fill="D9D9D6"/>
          </w:tcPr>
          <w:p>
            <w:pPr>
              <w:spacing w:after="0"/>
              <w:rPr>
                <w:sz w:val="20"/>
                <w:szCs w:val="20"/>
                <w:color w:val="auto"/>
              </w:rPr>
            </w:pPr>
            <w:r>
              <w:rPr>
                <w:rFonts w:ascii="Arial" w:cs="Arial" w:eastAsia="Arial" w:hAnsi="Arial"/>
                <w:sz w:val="14"/>
                <w:szCs w:val="14"/>
                <w:color w:val="auto"/>
              </w:rPr>
              <w:t>Net Additions / (Losses)</w:t>
            </w:r>
          </w:p>
        </w:tc>
        <w:tc>
          <w:tcPr>
            <w:tcW w:w="1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70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46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6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6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380" w:type="dxa"/>
            <w:vAlign w:val="bottom"/>
            <w:tcBorders>
              <w:right w:val="single" w:sz="8" w:color="auto"/>
            </w:tcBorders>
            <w:shd w:val="clear" w:color="auto" w:fill="D9D9D6"/>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4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470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36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460" w:type="dxa"/>
            <w:vAlign w:val="bottom"/>
            <w:shd w:val="clear" w:color="auto" w:fill="D9D9D6"/>
          </w:tcPr>
          <w:p>
            <w:pPr>
              <w:spacing w:after="0"/>
              <w:rPr>
                <w:sz w:val="14"/>
                <w:szCs w:val="14"/>
                <w:color w:val="auto"/>
              </w:rPr>
            </w:pPr>
          </w:p>
        </w:tc>
        <w:tc>
          <w:tcPr>
            <w:tcW w:w="360" w:type="dxa"/>
            <w:vAlign w:val="bottom"/>
            <w:shd w:val="clear" w:color="auto" w:fill="D9D9D6"/>
          </w:tcPr>
          <w:p>
            <w:pPr>
              <w:spacing w:after="0"/>
              <w:rPr>
                <w:sz w:val="14"/>
                <w:szCs w:val="14"/>
                <w:color w:val="auto"/>
              </w:rPr>
            </w:pPr>
          </w:p>
        </w:tc>
        <w:tc>
          <w:tcPr>
            <w:tcW w:w="6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500" w:type="dxa"/>
            <w:vAlign w:val="bottom"/>
            <w:shd w:val="clear" w:color="auto" w:fill="D9D9D6"/>
          </w:tcPr>
          <w:p>
            <w:pPr>
              <w:spacing w:after="0"/>
              <w:rPr>
                <w:sz w:val="14"/>
                <w:szCs w:val="14"/>
                <w:color w:val="auto"/>
              </w:rPr>
            </w:pPr>
          </w:p>
        </w:tc>
        <w:tc>
          <w:tcPr>
            <w:tcW w:w="780" w:type="dxa"/>
            <w:vAlign w:val="bottom"/>
            <w:tcBorders>
              <w:right w:val="single" w:sz="8" w:color="D9D9D6"/>
            </w:tcBorders>
            <w:gridSpan w:val="4"/>
            <w:shd w:val="clear" w:color="auto" w:fill="D9D9D6"/>
          </w:tcPr>
          <w:p>
            <w:pPr>
              <w:spacing w:after="0"/>
              <w:rPr>
                <w:sz w:val="20"/>
                <w:szCs w:val="20"/>
                <w:color w:val="auto"/>
              </w:rPr>
            </w:pPr>
            <w:r>
              <w:rPr>
                <w:rFonts w:ascii="Arial" w:cs="Arial" w:eastAsia="Arial" w:hAnsi="Arial"/>
                <w:sz w:val="14"/>
                <w:szCs w:val="14"/>
                <w:color w:val="auto"/>
                <w:w w:val="98"/>
              </w:rPr>
              <w:t>2nd Quarter</w:t>
            </w:r>
          </w:p>
        </w:tc>
        <w:tc>
          <w:tcPr>
            <w:tcW w:w="500" w:type="dxa"/>
            <w:vAlign w:val="bottom"/>
            <w:gridSpan w:val="3"/>
            <w:shd w:val="clear" w:color="auto" w:fill="D9D9D6"/>
          </w:tcPr>
          <w:p>
            <w:pPr>
              <w:spacing w:after="0"/>
              <w:rPr>
                <w:sz w:val="14"/>
                <w:szCs w:val="14"/>
                <w:color w:val="auto"/>
              </w:rPr>
            </w:pPr>
          </w:p>
        </w:tc>
        <w:tc>
          <w:tcPr>
            <w:tcW w:w="240" w:type="dxa"/>
            <w:vAlign w:val="bottom"/>
            <w:tcBorders>
              <w:right w:val="single" w:sz="8" w:color="97999B"/>
            </w:tcBorders>
            <w:shd w:val="clear" w:color="auto" w:fill="D9D9D6"/>
          </w:tcPr>
          <w:p>
            <w:pPr>
              <w:spacing w:after="0"/>
              <w:rPr>
                <w:sz w:val="14"/>
                <w:szCs w:val="14"/>
                <w:color w:val="auto"/>
              </w:rPr>
            </w:pPr>
          </w:p>
        </w:tc>
        <w:tc>
          <w:tcPr>
            <w:tcW w:w="200" w:type="dxa"/>
            <w:vAlign w:val="bottom"/>
            <w:shd w:val="clear" w:color="auto" w:fill="D9D9D6"/>
          </w:tcPr>
          <w:p>
            <w:pPr>
              <w:spacing w:after="0"/>
              <w:rPr>
                <w:sz w:val="14"/>
                <w:szCs w:val="14"/>
                <w:color w:val="auto"/>
              </w:rPr>
            </w:pPr>
          </w:p>
        </w:tc>
        <w:tc>
          <w:tcPr>
            <w:tcW w:w="540" w:type="dxa"/>
            <w:vAlign w:val="bottom"/>
            <w:tcBorders>
              <w:right w:val="single" w:sz="8" w:color="D9D9D6"/>
            </w:tcBorders>
            <w:shd w:val="clear" w:color="auto" w:fill="D9D9D6"/>
          </w:tcPr>
          <w:p>
            <w:pPr>
              <w:spacing w:after="0"/>
              <w:rPr>
                <w:sz w:val="14"/>
                <w:szCs w:val="14"/>
                <w:color w:val="auto"/>
              </w:rPr>
            </w:pPr>
          </w:p>
        </w:tc>
        <w:tc>
          <w:tcPr>
            <w:tcW w:w="780" w:type="dxa"/>
            <w:vAlign w:val="bottom"/>
            <w:gridSpan w:val="3"/>
            <w:shd w:val="clear" w:color="auto" w:fill="D9D9D6"/>
          </w:tcPr>
          <w:p>
            <w:pPr>
              <w:spacing w:after="0"/>
              <w:rPr>
                <w:sz w:val="20"/>
                <w:szCs w:val="20"/>
                <w:color w:val="auto"/>
              </w:rPr>
            </w:pPr>
            <w:r>
              <w:rPr>
                <w:rFonts w:ascii="Arial" w:cs="Arial" w:eastAsia="Arial" w:hAnsi="Arial"/>
                <w:sz w:val="14"/>
                <w:szCs w:val="14"/>
                <w:color w:val="auto"/>
                <w:w w:val="96"/>
              </w:rPr>
              <w:t>Year to Date</w:t>
            </w:r>
          </w:p>
        </w:tc>
        <w:tc>
          <w:tcPr>
            <w:tcW w:w="12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Borders>
              <w:top w:val="single" w:sz="8" w:color="D9D9D6"/>
            </w:tcBorders>
            <w:shd w:val="clear" w:color="auto" w:fill="D9D9D6"/>
          </w:tcPr>
          <w:p>
            <w:pPr>
              <w:spacing w:after="0"/>
              <w:rPr>
                <w:sz w:val="14"/>
                <w:szCs w:val="14"/>
                <w:color w:val="auto"/>
              </w:rPr>
            </w:pPr>
          </w:p>
        </w:tc>
        <w:tc>
          <w:tcPr>
            <w:tcW w:w="4700" w:type="dxa"/>
            <w:vAlign w:val="bottom"/>
            <w:tcBorders>
              <w:top w:val="single" w:sz="8" w:color="D9D9D6"/>
            </w:tcBorders>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tcBorders>
              <w:top w:val="single" w:sz="8" w:color="D9D9D6"/>
            </w:tcBorders>
            <w:shd w:val="clear" w:color="auto" w:fill="D9D9D6"/>
          </w:tcPr>
          <w:p>
            <w:pPr>
              <w:spacing w:after="0"/>
              <w:rPr>
                <w:sz w:val="14"/>
                <w:szCs w:val="14"/>
                <w:color w:val="auto"/>
              </w:rPr>
            </w:pPr>
          </w:p>
        </w:tc>
        <w:tc>
          <w:tcPr>
            <w:tcW w:w="380" w:type="dxa"/>
            <w:vAlign w:val="bottom"/>
            <w:tcBorders>
              <w:top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rPr>
              <w:t>2Q21</w:t>
            </w:r>
          </w:p>
        </w:tc>
        <w:tc>
          <w:tcPr>
            <w:tcW w:w="880" w:type="dxa"/>
            <w:vAlign w:val="bottom"/>
            <w:tcBorders>
              <w:top w:val="single" w:sz="8" w:color="D9D9D6"/>
            </w:tcBorders>
            <w:gridSpan w:val="3"/>
            <w:shd w:val="clear" w:color="auto" w:fill="D9D9D6"/>
          </w:tcPr>
          <w:p>
            <w:pPr>
              <w:jc w:val="right"/>
              <w:spacing w:after="0" w:line="169" w:lineRule="exact"/>
              <w:rPr>
                <w:sz w:val="20"/>
                <w:szCs w:val="20"/>
                <w:color w:val="auto"/>
              </w:rPr>
            </w:pPr>
            <w:r>
              <w:rPr>
                <w:rFonts w:ascii="Arial" w:cs="Arial" w:eastAsia="Arial" w:hAnsi="Arial"/>
                <w:sz w:val="14"/>
                <w:szCs w:val="14"/>
                <w:color w:val="auto"/>
              </w:rPr>
              <w:t>2Q20</w:t>
            </w:r>
            <w:r>
              <w:rPr>
                <w:rFonts w:ascii="Arial" w:cs="Arial" w:eastAsia="Arial" w:hAnsi="Arial"/>
                <w:sz w:val="18"/>
                <w:szCs w:val="18"/>
                <w:u w:val="single" w:color="auto"/>
                <w:color w:val="auto"/>
                <w:vertAlign w:val="superscript"/>
              </w:rPr>
              <w:t>6</w:t>
            </w:r>
          </w:p>
        </w:tc>
        <w:tc>
          <w:tcPr>
            <w:tcW w:w="1020" w:type="dxa"/>
            <w:vAlign w:val="bottom"/>
            <w:tcBorders>
              <w:top w:val="single" w:sz="8" w:color="D9D9D6"/>
            </w:tcBorders>
            <w:gridSpan w:val="2"/>
            <w:shd w:val="clear" w:color="auto" w:fill="D9D9D6"/>
          </w:tcPr>
          <w:p>
            <w:pPr>
              <w:spacing w:after="0"/>
              <w:rPr>
                <w:sz w:val="14"/>
                <w:szCs w:val="14"/>
                <w:color w:val="auto"/>
              </w:rPr>
            </w:pPr>
          </w:p>
        </w:tc>
        <w:tc>
          <w:tcPr>
            <w:tcW w:w="400" w:type="dxa"/>
            <w:vAlign w:val="bottom"/>
            <w:tcBorders>
              <w:top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380" w:type="dxa"/>
            <w:vAlign w:val="bottom"/>
            <w:tcBorders>
              <w:top w:val="single" w:sz="8" w:color="auto"/>
              <w:right w:val="single" w:sz="8" w:color="D9D9D6"/>
            </w:tcBorders>
            <w:shd w:val="clear" w:color="auto" w:fill="D9D9D6"/>
          </w:tcPr>
          <w:p>
            <w:pPr>
              <w:spacing w:after="0"/>
              <w:rPr>
                <w:sz w:val="14"/>
                <w:szCs w:val="14"/>
                <w:color w:val="auto"/>
              </w:rPr>
            </w:pPr>
          </w:p>
        </w:tc>
        <w:tc>
          <w:tcPr>
            <w:tcW w:w="500" w:type="dxa"/>
            <w:vAlign w:val="bottom"/>
            <w:tcBorders>
              <w:top w:val="single" w:sz="8" w:color="D9D9D6"/>
            </w:tcBorders>
            <w:gridSpan w:val="3"/>
            <w:shd w:val="clear" w:color="auto" w:fill="D9D9D6"/>
          </w:tcPr>
          <w:p>
            <w:pPr>
              <w:jc w:val="center"/>
              <w:ind w:left="68"/>
              <w:spacing w:after="0"/>
              <w:rPr>
                <w:sz w:val="20"/>
                <w:szCs w:val="20"/>
                <w:color w:val="auto"/>
              </w:rPr>
            </w:pPr>
            <w:r>
              <w:rPr>
                <w:rFonts w:ascii="Arial" w:cs="Arial" w:eastAsia="Arial" w:hAnsi="Arial"/>
                <w:sz w:val="14"/>
                <w:szCs w:val="14"/>
                <w:color w:val="auto"/>
              </w:rPr>
              <w:t>2020</w:t>
            </w:r>
          </w:p>
        </w:tc>
        <w:tc>
          <w:tcPr>
            <w:tcW w:w="240" w:type="dxa"/>
            <w:vAlign w:val="bottom"/>
            <w:tcBorders>
              <w:top w:val="single" w:sz="8" w:color="D9D9D6"/>
              <w:right w:val="single" w:sz="8" w:color="97999B"/>
            </w:tcBorders>
            <w:shd w:val="clear" w:color="auto" w:fill="D9D9D6"/>
          </w:tcPr>
          <w:p>
            <w:pPr>
              <w:spacing w:after="0"/>
              <w:rPr>
                <w:sz w:val="14"/>
                <w:szCs w:val="14"/>
                <w:color w:val="auto"/>
              </w:rPr>
            </w:pPr>
          </w:p>
        </w:tc>
        <w:tc>
          <w:tcPr>
            <w:tcW w:w="740" w:type="dxa"/>
            <w:vAlign w:val="bottom"/>
            <w:tcBorders>
              <w:top w:val="single" w:sz="8" w:color="D9D9D6"/>
              <w:right w:val="single" w:sz="8" w:color="D9D9D6"/>
            </w:tcBorders>
            <w:gridSpan w:val="2"/>
            <w:shd w:val="clear" w:color="auto" w:fill="D9D9D6"/>
          </w:tcPr>
          <w:p>
            <w:pPr>
              <w:spacing w:after="0"/>
              <w:rPr>
                <w:sz w:val="14"/>
                <w:szCs w:val="14"/>
                <w:color w:val="auto"/>
              </w:rPr>
            </w:pPr>
          </w:p>
        </w:tc>
        <w:tc>
          <w:tcPr>
            <w:tcW w:w="740" w:type="dxa"/>
            <w:vAlign w:val="bottom"/>
            <w:tcBorders>
              <w:top w:val="single" w:sz="8" w:color="auto"/>
            </w:tcBorders>
            <w:gridSpan w:val="2"/>
            <w:shd w:val="clear" w:color="auto" w:fill="D9D9D6"/>
          </w:tcPr>
          <w:p>
            <w:pPr>
              <w:jc w:val="right"/>
              <w:ind w:right="420"/>
              <w:spacing w:after="0"/>
              <w:rPr>
                <w:sz w:val="20"/>
                <w:szCs w:val="20"/>
                <w:color w:val="auto"/>
              </w:rPr>
            </w:pPr>
            <w:r>
              <w:rPr>
                <w:rFonts w:ascii="Arial" w:cs="Arial" w:eastAsia="Arial" w:hAnsi="Arial"/>
                <w:sz w:val="14"/>
                <w:szCs w:val="14"/>
                <w:color w:val="auto"/>
                <w:w w:val="96"/>
              </w:rPr>
              <w:t>2021</w:t>
            </w:r>
          </w:p>
        </w:tc>
        <w:tc>
          <w:tcPr>
            <w:tcW w:w="40" w:type="dxa"/>
            <w:vAlign w:val="bottom"/>
            <w:tcBorders>
              <w:top w:val="single" w:sz="8" w:color="D9D9D6"/>
            </w:tcBorders>
            <w:shd w:val="clear" w:color="auto" w:fill="D9D9D6"/>
          </w:tcPr>
          <w:p>
            <w:pPr>
              <w:spacing w:after="0"/>
              <w:rPr>
                <w:sz w:val="14"/>
                <w:szCs w:val="14"/>
                <w:color w:val="auto"/>
              </w:rPr>
            </w:pPr>
          </w:p>
        </w:tc>
        <w:tc>
          <w:tcPr>
            <w:tcW w:w="460" w:type="dxa"/>
            <w:vAlign w:val="bottom"/>
            <w:tcBorders>
              <w:top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D9D9D6"/>
            </w:tcBorders>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4700" w:type="dxa"/>
            <w:vAlign w:val="bottom"/>
            <w:tcBorders>
              <w:top w:val="single" w:sz="8" w:color="D9D9D6"/>
            </w:tcBorders>
            <w:vMerge w:val="continue"/>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D9D9D6"/>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380" w:type="dxa"/>
            <w:vAlign w:val="bottom"/>
            <w:tcBorders>
              <w:top w:val="single" w:sz="8" w:color="D9D9D6"/>
              <w:right w:val="single" w:sz="8" w:color="D9D9D6"/>
            </w:tcBorders>
            <w:shd w:val="clear" w:color="auto" w:fill="D9D9D6"/>
          </w:tcPr>
          <w:p>
            <w:pPr>
              <w:spacing w:after="0"/>
              <w:rPr>
                <w:sz w:val="17"/>
                <w:szCs w:val="17"/>
                <w:color w:val="auto"/>
              </w:rPr>
            </w:pPr>
          </w:p>
        </w:tc>
        <w:tc>
          <w:tcPr>
            <w:tcW w:w="16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40" w:type="dxa"/>
            <w:vAlign w:val="bottom"/>
            <w:tcBorders>
              <w:top w:val="single" w:sz="8" w:color="D9D9D6"/>
              <w:right w:val="single" w:sz="8" w:color="97999B"/>
            </w:tcBorders>
            <w:shd w:val="clear" w:color="auto" w:fill="D9D9D6"/>
          </w:tcPr>
          <w:p>
            <w:pPr>
              <w:spacing w:after="0"/>
              <w:rPr>
                <w:sz w:val="17"/>
                <w:szCs w:val="17"/>
                <w:color w:val="auto"/>
              </w:rPr>
            </w:pPr>
          </w:p>
        </w:tc>
        <w:tc>
          <w:tcPr>
            <w:tcW w:w="200" w:type="dxa"/>
            <w:vAlign w:val="bottom"/>
            <w:tcBorders>
              <w:top w:val="single" w:sz="8" w:color="D9D9D6"/>
            </w:tcBorders>
            <w:shd w:val="clear" w:color="auto" w:fill="D9D9D6"/>
          </w:tcPr>
          <w:p>
            <w:pPr>
              <w:spacing w:after="0"/>
              <w:rPr>
                <w:sz w:val="17"/>
                <w:szCs w:val="17"/>
                <w:color w:val="auto"/>
              </w:rPr>
            </w:pPr>
          </w:p>
        </w:tc>
        <w:tc>
          <w:tcPr>
            <w:tcW w:w="540" w:type="dxa"/>
            <w:vAlign w:val="bottom"/>
            <w:tcBorders>
              <w:top w:val="single" w:sz="8" w:color="D9D9D6"/>
              <w:right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420" w:type="dxa"/>
            <w:vAlign w:val="bottom"/>
            <w:tcBorders>
              <w:top w:val="single" w:sz="8" w:color="D9D9D6"/>
            </w:tcBorders>
            <w:shd w:val="clear" w:color="auto" w:fill="D9D9D6"/>
          </w:tcPr>
          <w:p>
            <w:pPr>
              <w:spacing w:after="0"/>
              <w:rPr>
                <w:sz w:val="17"/>
                <w:szCs w:val="17"/>
                <w:color w:val="auto"/>
              </w:rPr>
            </w:pPr>
          </w:p>
        </w:tc>
        <w:tc>
          <w:tcPr>
            <w:tcW w:w="4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 Relationships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31,339</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29,724</w:t>
            </w:r>
          </w:p>
        </w:tc>
        <w:tc>
          <w:tcPr>
            <w:tcW w:w="5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277</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center"/>
              <w:ind w:left="468"/>
              <w:spacing w:after="0"/>
              <w:rPr>
                <w:sz w:val="20"/>
                <w:szCs w:val="20"/>
                <w:color w:val="auto"/>
              </w:rPr>
            </w:pPr>
            <w:r>
              <w:rPr>
                <w:rFonts w:ascii="Arial" w:cs="Arial" w:eastAsia="Arial" w:hAnsi="Arial"/>
                <w:sz w:val="14"/>
                <w:szCs w:val="14"/>
                <w:color w:val="auto"/>
              </w:rPr>
              <w:t>241</w:t>
            </w:r>
          </w:p>
        </w:tc>
        <w:tc>
          <w:tcPr>
            <w:tcW w:w="20" w:type="dxa"/>
            <w:vAlign w:val="bottom"/>
            <w:shd w:val="clear" w:color="auto" w:fill="D9D9D6"/>
          </w:tcPr>
          <w:p>
            <w:pPr>
              <w:spacing w:after="0"/>
              <w:rPr>
                <w:sz w:val="16"/>
                <w:szCs w:val="16"/>
                <w:color w:val="auto"/>
              </w:rPr>
            </w:pPr>
          </w:p>
        </w:tc>
        <w:tc>
          <w:tcPr>
            <w:tcW w:w="240" w:type="dxa"/>
            <w:vAlign w:val="bottom"/>
            <w:tcBorders>
              <w:right w:val="single" w:sz="8" w:color="97999B"/>
            </w:tcBorders>
            <w:shd w:val="clear" w:color="auto" w:fill="D9D9D6"/>
          </w:tcPr>
          <w:p>
            <w:pPr>
              <w:spacing w:after="0"/>
              <w:rPr>
                <w:sz w:val="16"/>
                <w:szCs w:val="16"/>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647</w:t>
            </w:r>
          </w:p>
        </w:tc>
        <w:tc>
          <w:tcPr>
            <w:tcW w:w="42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4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601</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7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Customer Relationships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2,454</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2,384</w:t>
            </w:r>
          </w:p>
        </w:tc>
        <w:tc>
          <w:tcPr>
            <w:tcW w:w="520" w:type="dxa"/>
            <w:vAlign w:val="bottom"/>
            <w:tcBorders>
              <w:bottom w:val="single" w:sz="8" w:color="D9D9D6"/>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17</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(24)</w:t>
            </w:r>
          </w:p>
        </w:tc>
        <w:tc>
          <w:tcPr>
            <w:tcW w:w="20" w:type="dxa"/>
            <w:vAlign w:val="bottom"/>
            <w:tcBorders>
              <w:bottom w:val="single" w:sz="8" w:color="auto"/>
            </w:tcBorders>
            <w:shd w:val="clear" w:color="auto" w:fill="D9D9D6"/>
          </w:tcPr>
          <w:p>
            <w:pPr>
              <w:spacing w:after="0"/>
              <w:rPr>
                <w:sz w:val="16"/>
                <w:szCs w:val="16"/>
                <w:color w:val="auto"/>
              </w:rPr>
            </w:pPr>
          </w:p>
        </w:tc>
        <w:tc>
          <w:tcPr>
            <w:tcW w:w="240" w:type="dxa"/>
            <w:vAlign w:val="bottom"/>
            <w:tcBorders>
              <w:bottom w:val="single" w:sz="8" w:color="D9D9D6"/>
              <w:right w:val="single" w:sz="8" w:color="97999B"/>
            </w:tcBorders>
            <w:shd w:val="clear" w:color="auto" w:fill="D9D9D6"/>
          </w:tcPr>
          <w:p>
            <w:pPr>
              <w:spacing w:after="0"/>
              <w:rPr>
                <w:sz w:val="16"/>
                <w:szCs w:val="16"/>
                <w:color w:val="auto"/>
              </w:rPr>
            </w:pPr>
          </w:p>
        </w:tc>
        <w:tc>
          <w:tcPr>
            <w:tcW w:w="2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28</w:t>
            </w:r>
          </w:p>
        </w:tc>
        <w:tc>
          <w:tcPr>
            <w:tcW w:w="420" w:type="dxa"/>
            <w:vAlign w:val="bottom"/>
            <w:tcBorders>
              <w:bottom w:val="single" w:sz="8" w:color="auto"/>
            </w:tcBorders>
            <w:shd w:val="clear" w:color="auto" w:fill="D9D9D6"/>
          </w:tcPr>
          <w:p>
            <w:pPr>
              <w:spacing w:after="0"/>
              <w:rPr>
                <w:sz w:val="16"/>
                <w:szCs w:val="16"/>
                <w:color w:val="auto"/>
              </w:rPr>
            </w:pPr>
          </w:p>
        </w:tc>
        <w:tc>
          <w:tcPr>
            <w:tcW w:w="40" w:type="dxa"/>
            <w:vAlign w:val="bottom"/>
            <w:tcBorders>
              <w:bottom w:val="single" w:sz="8" w:color="auto"/>
            </w:tcBorders>
            <w:shd w:val="clear" w:color="auto" w:fill="D9D9D6"/>
          </w:tcPr>
          <w:p>
            <w:pPr>
              <w:spacing w:after="0"/>
              <w:rPr>
                <w:sz w:val="16"/>
                <w:szCs w:val="16"/>
                <w:color w:val="auto"/>
              </w:rPr>
            </w:pPr>
          </w:p>
        </w:tc>
        <w:tc>
          <w:tcPr>
            <w:tcW w:w="4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Customer Relationships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33,793</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32,108</w:t>
            </w:r>
          </w:p>
        </w:tc>
        <w:tc>
          <w:tcPr>
            <w:tcW w:w="5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294</w:t>
            </w:r>
          </w:p>
        </w:tc>
        <w:tc>
          <w:tcPr>
            <w:tcW w:w="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center"/>
              <w:ind w:left="468"/>
              <w:spacing w:after="0"/>
              <w:rPr>
                <w:sz w:val="20"/>
                <w:szCs w:val="20"/>
                <w:color w:val="auto"/>
              </w:rPr>
            </w:pPr>
            <w:r>
              <w:rPr>
                <w:rFonts w:ascii="Arial" w:cs="Arial" w:eastAsia="Arial" w:hAnsi="Arial"/>
                <w:sz w:val="14"/>
                <w:szCs w:val="14"/>
                <w:b w:val="1"/>
                <w:bCs w:val="1"/>
                <w:color w:val="auto"/>
              </w:rPr>
              <w:t>217</w:t>
            </w:r>
          </w:p>
        </w:tc>
        <w:tc>
          <w:tcPr>
            <w:tcW w:w="20" w:type="dxa"/>
            <w:vAlign w:val="bottom"/>
            <w:shd w:val="clear" w:color="auto" w:fill="D9D9D6"/>
          </w:tcPr>
          <w:p>
            <w:pPr>
              <w:spacing w:after="0"/>
              <w:rPr>
                <w:sz w:val="15"/>
                <w:szCs w:val="15"/>
                <w:color w:val="auto"/>
              </w:rPr>
            </w:pPr>
          </w:p>
        </w:tc>
        <w:tc>
          <w:tcPr>
            <w:tcW w:w="240" w:type="dxa"/>
            <w:vAlign w:val="bottom"/>
            <w:tcBorders>
              <w:right w:val="single" w:sz="8" w:color="97999B"/>
            </w:tcBorders>
            <w:shd w:val="clear" w:color="auto" w:fill="D9D9D6"/>
          </w:tcPr>
          <w:p>
            <w:pPr>
              <w:spacing w:after="0"/>
              <w:rPr>
                <w:sz w:val="15"/>
                <w:szCs w:val="15"/>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675</w:t>
            </w:r>
          </w:p>
        </w:tc>
        <w:tc>
          <w:tcPr>
            <w:tcW w:w="420" w:type="dxa"/>
            <w:vAlign w:val="bottom"/>
            <w:shd w:val="clear" w:color="auto" w:fill="D9D9D6"/>
          </w:tcPr>
          <w:p>
            <w:pPr>
              <w:spacing w:after="0"/>
              <w:rPr>
                <w:sz w:val="15"/>
                <w:szCs w:val="15"/>
                <w:color w:val="auto"/>
              </w:rPr>
            </w:pPr>
          </w:p>
        </w:tc>
        <w:tc>
          <w:tcPr>
            <w:tcW w:w="40" w:type="dxa"/>
            <w:vAlign w:val="bottom"/>
            <w:shd w:val="clear" w:color="auto" w:fill="D9D9D6"/>
          </w:tcPr>
          <w:p>
            <w:pPr>
              <w:spacing w:after="0"/>
              <w:rPr>
                <w:sz w:val="15"/>
                <w:szCs w:val="15"/>
                <w:color w:val="auto"/>
              </w:rPr>
            </w:pPr>
          </w:p>
        </w:tc>
        <w:tc>
          <w:tcPr>
            <w:tcW w:w="4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589</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Residential Customer Relationships Mix</w:t>
            </w: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380" w:type="dxa"/>
            <w:vAlign w:val="bottom"/>
            <w:tcBorders>
              <w:right w:val="single" w:sz="8" w:color="D9D9D6"/>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540" w:type="dxa"/>
            <w:vAlign w:val="bottom"/>
            <w:tcBorders>
              <w:right w:val="single" w:sz="8" w:color="D9D9D6"/>
            </w:tcBorders>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42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One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13,477</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11,306</w:t>
            </w:r>
          </w:p>
        </w:tc>
        <w:tc>
          <w:tcPr>
            <w:tcW w:w="5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480</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center"/>
              <w:ind w:left="468"/>
              <w:spacing w:after="0"/>
              <w:rPr>
                <w:sz w:val="20"/>
                <w:szCs w:val="20"/>
                <w:color w:val="auto"/>
              </w:rPr>
            </w:pPr>
            <w:r>
              <w:rPr>
                <w:rFonts w:ascii="Arial" w:cs="Arial" w:eastAsia="Arial" w:hAnsi="Arial"/>
                <w:sz w:val="14"/>
                <w:szCs w:val="14"/>
                <w:color w:val="auto"/>
              </w:rPr>
              <w:t>531</w:t>
            </w:r>
          </w:p>
        </w:tc>
        <w:tc>
          <w:tcPr>
            <w:tcW w:w="20" w:type="dxa"/>
            <w:vAlign w:val="bottom"/>
            <w:shd w:val="clear" w:color="auto" w:fill="D9D9D6"/>
          </w:tcPr>
          <w:p>
            <w:pPr>
              <w:spacing w:after="0"/>
              <w:rPr>
                <w:sz w:val="16"/>
                <w:szCs w:val="16"/>
                <w:color w:val="auto"/>
              </w:rPr>
            </w:pPr>
          </w:p>
        </w:tc>
        <w:tc>
          <w:tcPr>
            <w:tcW w:w="240" w:type="dxa"/>
            <w:vAlign w:val="bottom"/>
            <w:tcBorders>
              <w:right w:val="single" w:sz="8" w:color="97999B"/>
            </w:tcBorders>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1,069</w:t>
            </w:r>
          </w:p>
        </w:tc>
        <w:tc>
          <w:tcPr>
            <w:tcW w:w="42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4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1,085</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Two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8,562</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8,742</w:t>
            </w:r>
          </w:p>
        </w:tc>
        <w:tc>
          <w:tcPr>
            <w:tcW w:w="5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(83)</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(107)</w:t>
            </w:r>
          </w:p>
        </w:tc>
        <w:tc>
          <w:tcPr>
            <w:tcW w:w="20" w:type="dxa"/>
            <w:vAlign w:val="bottom"/>
            <w:shd w:val="clear" w:color="auto" w:fill="D9D9D6"/>
          </w:tcPr>
          <w:p>
            <w:pPr>
              <w:spacing w:after="0"/>
              <w:rPr>
                <w:sz w:val="16"/>
                <w:szCs w:val="16"/>
                <w:color w:val="auto"/>
              </w:rPr>
            </w:pPr>
          </w:p>
        </w:tc>
        <w:tc>
          <w:tcPr>
            <w:tcW w:w="240" w:type="dxa"/>
            <w:vAlign w:val="bottom"/>
            <w:tcBorders>
              <w:right w:val="single" w:sz="8" w:color="97999B"/>
            </w:tcBorders>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(173)</w:t>
            </w:r>
          </w:p>
        </w:tc>
        <w:tc>
          <w:tcPr>
            <w:tcW w:w="42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4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(181)</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Three or More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9,299</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9,676</w:t>
            </w:r>
          </w:p>
        </w:tc>
        <w:tc>
          <w:tcPr>
            <w:tcW w:w="5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(120)</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(184)</w:t>
            </w:r>
          </w:p>
        </w:tc>
        <w:tc>
          <w:tcPr>
            <w:tcW w:w="20" w:type="dxa"/>
            <w:vAlign w:val="bottom"/>
            <w:shd w:val="clear" w:color="auto" w:fill="D9D9D6"/>
          </w:tcPr>
          <w:p>
            <w:pPr>
              <w:spacing w:after="0"/>
              <w:rPr>
                <w:sz w:val="16"/>
                <w:szCs w:val="16"/>
                <w:color w:val="auto"/>
              </w:rPr>
            </w:pPr>
          </w:p>
        </w:tc>
        <w:tc>
          <w:tcPr>
            <w:tcW w:w="240" w:type="dxa"/>
            <w:vAlign w:val="bottom"/>
            <w:tcBorders>
              <w:right w:val="single" w:sz="8" w:color="97999B"/>
            </w:tcBorders>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(250)</w:t>
            </w:r>
          </w:p>
        </w:tc>
        <w:tc>
          <w:tcPr>
            <w:tcW w:w="42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4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(303)</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Broadband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29,108</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27,194</w:t>
            </w:r>
          </w:p>
        </w:tc>
        <w:tc>
          <w:tcPr>
            <w:tcW w:w="5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334</w:t>
            </w:r>
          </w:p>
        </w:tc>
        <w:tc>
          <w:tcPr>
            <w:tcW w:w="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center"/>
              <w:ind w:left="468"/>
              <w:spacing w:after="0"/>
              <w:rPr>
                <w:sz w:val="20"/>
                <w:szCs w:val="20"/>
                <w:color w:val="auto"/>
              </w:rPr>
            </w:pPr>
            <w:r>
              <w:rPr>
                <w:rFonts w:ascii="Arial" w:cs="Arial" w:eastAsia="Arial" w:hAnsi="Arial"/>
                <w:sz w:val="14"/>
                <w:szCs w:val="14"/>
                <w:color w:val="auto"/>
              </w:rPr>
              <w:t>340</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782</w:t>
            </w:r>
          </w:p>
        </w:tc>
        <w:tc>
          <w:tcPr>
            <w:tcW w:w="42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4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806</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7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Broadband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2,280</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2,209</w:t>
            </w:r>
          </w:p>
        </w:tc>
        <w:tc>
          <w:tcPr>
            <w:tcW w:w="520" w:type="dxa"/>
            <w:vAlign w:val="bottom"/>
            <w:tcBorders>
              <w:bottom w:val="single" w:sz="8" w:color="D9D9D6"/>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20</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(17)</w:t>
            </w:r>
          </w:p>
        </w:tc>
        <w:tc>
          <w:tcPr>
            <w:tcW w:w="20" w:type="dxa"/>
            <w:vAlign w:val="bottom"/>
            <w:tcBorders>
              <w:bottom w:val="single" w:sz="8" w:color="auto"/>
            </w:tcBorders>
            <w:shd w:val="clear" w:color="auto" w:fill="D9D9D6"/>
          </w:tcPr>
          <w:p>
            <w:pPr>
              <w:spacing w:after="0"/>
              <w:rPr>
                <w:sz w:val="16"/>
                <w:szCs w:val="16"/>
                <w:color w:val="auto"/>
              </w:rPr>
            </w:pPr>
          </w:p>
        </w:tc>
        <w:tc>
          <w:tcPr>
            <w:tcW w:w="240" w:type="dxa"/>
            <w:vAlign w:val="bottom"/>
            <w:tcBorders>
              <w:bottom w:val="single" w:sz="8" w:color="D9D9D6"/>
              <w:right w:val="single" w:sz="8" w:color="97999B"/>
            </w:tcBorders>
            <w:shd w:val="clear" w:color="auto" w:fill="D9D9D6"/>
          </w:tcPr>
          <w:p>
            <w:pPr>
              <w:spacing w:after="0"/>
              <w:rPr>
                <w:sz w:val="16"/>
                <w:szCs w:val="16"/>
                <w:color w:val="auto"/>
              </w:rPr>
            </w:pPr>
          </w:p>
        </w:tc>
        <w:tc>
          <w:tcPr>
            <w:tcW w:w="2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32</w:t>
            </w:r>
          </w:p>
        </w:tc>
        <w:tc>
          <w:tcPr>
            <w:tcW w:w="420" w:type="dxa"/>
            <w:vAlign w:val="bottom"/>
            <w:tcBorders>
              <w:bottom w:val="single" w:sz="8" w:color="auto"/>
            </w:tcBorders>
            <w:shd w:val="clear" w:color="auto" w:fill="D9D9D6"/>
          </w:tcPr>
          <w:p>
            <w:pPr>
              <w:spacing w:after="0"/>
              <w:rPr>
                <w:sz w:val="16"/>
                <w:szCs w:val="16"/>
                <w:color w:val="auto"/>
              </w:rPr>
            </w:pPr>
          </w:p>
        </w:tc>
        <w:tc>
          <w:tcPr>
            <w:tcW w:w="40" w:type="dxa"/>
            <w:vAlign w:val="bottom"/>
            <w:tcBorders>
              <w:bottom w:val="single" w:sz="8" w:color="auto"/>
            </w:tcBorders>
            <w:shd w:val="clear" w:color="auto" w:fill="D9D9D6"/>
          </w:tcPr>
          <w:p>
            <w:pPr>
              <w:spacing w:after="0"/>
              <w:rPr>
                <w:sz w:val="16"/>
                <w:szCs w:val="16"/>
                <w:color w:val="auto"/>
              </w:rPr>
            </w:pPr>
          </w:p>
        </w:tc>
        <w:tc>
          <w:tcPr>
            <w:tcW w:w="4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Broadband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31,388</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29,403</w:t>
            </w:r>
          </w:p>
        </w:tc>
        <w:tc>
          <w:tcPr>
            <w:tcW w:w="5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354</w:t>
            </w:r>
          </w:p>
        </w:tc>
        <w:tc>
          <w:tcPr>
            <w:tcW w:w="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center"/>
              <w:ind w:left="468"/>
              <w:spacing w:after="0"/>
              <w:rPr>
                <w:sz w:val="20"/>
                <w:szCs w:val="20"/>
                <w:color w:val="auto"/>
              </w:rPr>
            </w:pPr>
            <w:r>
              <w:rPr>
                <w:rFonts w:ascii="Arial" w:cs="Arial" w:eastAsia="Arial" w:hAnsi="Arial"/>
                <w:sz w:val="14"/>
                <w:szCs w:val="14"/>
                <w:b w:val="1"/>
                <w:bCs w:val="1"/>
                <w:color w:val="auto"/>
              </w:rPr>
              <w:t>323</w:t>
            </w:r>
          </w:p>
        </w:tc>
        <w:tc>
          <w:tcPr>
            <w:tcW w:w="20" w:type="dxa"/>
            <w:vAlign w:val="bottom"/>
            <w:shd w:val="clear" w:color="auto" w:fill="D9D9D6"/>
          </w:tcPr>
          <w:p>
            <w:pPr>
              <w:spacing w:after="0"/>
              <w:rPr>
                <w:sz w:val="15"/>
                <w:szCs w:val="15"/>
                <w:color w:val="auto"/>
              </w:rPr>
            </w:pPr>
          </w:p>
        </w:tc>
        <w:tc>
          <w:tcPr>
            <w:tcW w:w="240" w:type="dxa"/>
            <w:vAlign w:val="bottom"/>
            <w:tcBorders>
              <w:right w:val="single" w:sz="8" w:color="97999B"/>
            </w:tcBorders>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814</w:t>
            </w:r>
          </w:p>
        </w:tc>
        <w:tc>
          <w:tcPr>
            <w:tcW w:w="420" w:type="dxa"/>
            <w:vAlign w:val="bottom"/>
            <w:shd w:val="clear" w:color="auto" w:fill="D9D9D6"/>
          </w:tcPr>
          <w:p>
            <w:pPr>
              <w:spacing w:after="0"/>
              <w:rPr>
                <w:sz w:val="15"/>
                <w:szCs w:val="15"/>
                <w:color w:val="auto"/>
              </w:rPr>
            </w:pPr>
          </w:p>
        </w:tc>
        <w:tc>
          <w:tcPr>
            <w:tcW w:w="40" w:type="dxa"/>
            <w:vAlign w:val="bottom"/>
            <w:shd w:val="clear" w:color="auto" w:fill="D9D9D6"/>
          </w:tcPr>
          <w:p>
            <w:pPr>
              <w:spacing w:after="0"/>
              <w:rPr>
                <w:sz w:val="15"/>
                <w:szCs w:val="15"/>
                <w:color w:val="auto"/>
              </w:rPr>
            </w:pPr>
          </w:p>
        </w:tc>
        <w:tc>
          <w:tcPr>
            <w:tcW w:w="4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800</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Video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18,225</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19,473</w:t>
            </w:r>
          </w:p>
        </w:tc>
        <w:tc>
          <w:tcPr>
            <w:tcW w:w="5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(364)</w:t>
            </w:r>
          </w:p>
        </w:tc>
        <w:tc>
          <w:tcPr>
            <w:tcW w:w="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(427)</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(768)</w:t>
            </w:r>
          </w:p>
        </w:tc>
        <w:tc>
          <w:tcPr>
            <w:tcW w:w="42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4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(814)</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7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Video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731</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894</w:t>
            </w:r>
          </w:p>
        </w:tc>
        <w:tc>
          <w:tcPr>
            <w:tcW w:w="520" w:type="dxa"/>
            <w:vAlign w:val="bottom"/>
            <w:tcBorders>
              <w:bottom w:val="single" w:sz="8" w:color="D9D9D6"/>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(34)</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(51)</w:t>
            </w:r>
          </w:p>
        </w:tc>
        <w:tc>
          <w:tcPr>
            <w:tcW w:w="20" w:type="dxa"/>
            <w:vAlign w:val="bottom"/>
            <w:tcBorders>
              <w:bottom w:val="single" w:sz="8" w:color="auto"/>
            </w:tcBorders>
            <w:shd w:val="clear" w:color="auto" w:fill="D9D9D6"/>
          </w:tcPr>
          <w:p>
            <w:pPr>
              <w:spacing w:after="0"/>
              <w:rPr>
                <w:sz w:val="16"/>
                <w:szCs w:val="16"/>
                <w:color w:val="auto"/>
              </w:rPr>
            </w:pPr>
          </w:p>
        </w:tc>
        <w:tc>
          <w:tcPr>
            <w:tcW w:w="240" w:type="dxa"/>
            <w:vAlign w:val="bottom"/>
            <w:tcBorders>
              <w:bottom w:val="single" w:sz="8" w:color="D9D9D6"/>
              <w:right w:val="single" w:sz="8" w:color="97999B"/>
            </w:tcBorders>
            <w:shd w:val="clear" w:color="auto" w:fill="D9D9D6"/>
          </w:tcPr>
          <w:p>
            <w:pPr>
              <w:spacing w:after="0"/>
              <w:rPr>
                <w:sz w:val="16"/>
                <w:szCs w:val="16"/>
                <w:color w:val="auto"/>
              </w:rPr>
            </w:pPr>
          </w:p>
        </w:tc>
        <w:tc>
          <w:tcPr>
            <w:tcW w:w="2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(121)</w:t>
            </w:r>
          </w:p>
        </w:tc>
        <w:tc>
          <w:tcPr>
            <w:tcW w:w="420" w:type="dxa"/>
            <w:vAlign w:val="bottom"/>
            <w:tcBorders>
              <w:bottom w:val="single" w:sz="8" w:color="auto"/>
            </w:tcBorders>
            <w:shd w:val="clear" w:color="auto" w:fill="D9D9D6"/>
          </w:tcPr>
          <w:p>
            <w:pPr>
              <w:spacing w:after="0"/>
              <w:rPr>
                <w:sz w:val="16"/>
                <w:szCs w:val="16"/>
                <w:color w:val="auto"/>
              </w:rPr>
            </w:pPr>
          </w:p>
        </w:tc>
        <w:tc>
          <w:tcPr>
            <w:tcW w:w="40" w:type="dxa"/>
            <w:vAlign w:val="bottom"/>
            <w:tcBorders>
              <w:bottom w:val="single" w:sz="8" w:color="auto"/>
            </w:tcBorders>
            <w:shd w:val="clear" w:color="auto" w:fill="D9D9D6"/>
          </w:tcPr>
          <w:p>
            <w:pPr>
              <w:spacing w:after="0"/>
              <w:rPr>
                <w:sz w:val="16"/>
                <w:szCs w:val="16"/>
                <w:color w:val="auto"/>
              </w:rPr>
            </w:pPr>
          </w:p>
        </w:tc>
        <w:tc>
          <w:tcPr>
            <w:tcW w:w="4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(72)</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Video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18,956</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20,367</w:t>
            </w:r>
          </w:p>
        </w:tc>
        <w:tc>
          <w:tcPr>
            <w:tcW w:w="5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(399)</w:t>
            </w:r>
          </w:p>
        </w:tc>
        <w:tc>
          <w:tcPr>
            <w:tcW w:w="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(477)</w:t>
            </w:r>
          </w:p>
        </w:tc>
        <w:tc>
          <w:tcPr>
            <w:tcW w:w="20" w:type="dxa"/>
            <w:vAlign w:val="bottom"/>
            <w:shd w:val="clear" w:color="auto" w:fill="D9D9D6"/>
          </w:tcPr>
          <w:p>
            <w:pPr>
              <w:spacing w:after="0"/>
              <w:rPr>
                <w:sz w:val="15"/>
                <w:szCs w:val="15"/>
                <w:color w:val="auto"/>
              </w:rPr>
            </w:pPr>
          </w:p>
        </w:tc>
        <w:tc>
          <w:tcPr>
            <w:tcW w:w="240" w:type="dxa"/>
            <w:vAlign w:val="bottom"/>
            <w:tcBorders>
              <w:right w:val="single" w:sz="8" w:color="97999B"/>
            </w:tcBorders>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(889)</w:t>
            </w:r>
          </w:p>
        </w:tc>
        <w:tc>
          <w:tcPr>
            <w:tcW w:w="420" w:type="dxa"/>
            <w:vAlign w:val="bottom"/>
            <w:shd w:val="clear" w:color="auto" w:fill="D9D9D6"/>
          </w:tcPr>
          <w:p>
            <w:pPr>
              <w:spacing w:after="0"/>
              <w:rPr>
                <w:sz w:val="15"/>
                <w:szCs w:val="15"/>
                <w:color w:val="auto"/>
              </w:rPr>
            </w:pPr>
          </w:p>
        </w:tc>
        <w:tc>
          <w:tcPr>
            <w:tcW w:w="40" w:type="dxa"/>
            <w:vAlign w:val="bottom"/>
            <w:shd w:val="clear" w:color="auto" w:fill="D9D9D6"/>
          </w:tcPr>
          <w:p>
            <w:pPr>
              <w:spacing w:after="0"/>
              <w:rPr>
                <w:sz w:val="15"/>
                <w:szCs w:val="15"/>
                <w:color w:val="auto"/>
              </w:rPr>
            </w:pPr>
          </w:p>
        </w:tc>
        <w:tc>
          <w:tcPr>
            <w:tcW w:w="4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(887)</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Voice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9,412</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9,698</w:t>
            </w:r>
          </w:p>
        </w:tc>
        <w:tc>
          <w:tcPr>
            <w:tcW w:w="5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(121)</w:t>
            </w:r>
          </w:p>
        </w:tc>
        <w:tc>
          <w:tcPr>
            <w:tcW w:w="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(142)</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(233)</w:t>
            </w:r>
          </w:p>
        </w:tc>
        <w:tc>
          <w:tcPr>
            <w:tcW w:w="42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4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(236)</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7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Voice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1,376</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1,331</w:t>
            </w:r>
          </w:p>
        </w:tc>
        <w:tc>
          <w:tcPr>
            <w:tcW w:w="520" w:type="dxa"/>
            <w:vAlign w:val="bottom"/>
            <w:tcBorders>
              <w:bottom w:val="single" w:sz="8" w:color="D9D9D6"/>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13</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(16)</w:t>
            </w:r>
          </w:p>
        </w:tc>
        <w:tc>
          <w:tcPr>
            <w:tcW w:w="20" w:type="dxa"/>
            <w:vAlign w:val="bottom"/>
            <w:tcBorders>
              <w:bottom w:val="single" w:sz="8" w:color="auto"/>
            </w:tcBorders>
            <w:shd w:val="clear" w:color="auto" w:fill="D9D9D6"/>
          </w:tcPr>
          <w:p>
            <w:pPr>
              <w:spacing w:after="0"/>
              <w:rPr>
                <w:sz w:val="16"/>
                <w:szCs w:val="16"/>
                <w:color w:val="auto"/>
              </w:rPr>
            </w:pPr>
          </w:p>
        </w:tc>
        <w:tc>
          <w:tcPr>
            <w:tcW w:w="240" w:type="dxa"/>
            <w:vAlign w:val="bottom"/>
            <w:tcBorders>
              <w:bottom w:val="single" w:sz="8" w:color="D9D9D6"/>
              <w:right w:val="single" w:sz="8" w:color="97999B"/>
            </w:tcBorders>
            <w:shd w:val="clear" w:color="auto" w:fill="D9D9D6"/>
          </w:tcPr>
          <w:p>
            <w:pPr>
              <w:spacing w:after="0"/>
              <w:rPr>
                <w:sz w:val="16"/>
                <w:szCs w:val="16"/>
                <w:color w:val="auto"/>
              </w:rPr>
            </w:pPr>
          </w:p>
        </w:tc>
        <w:tc>
          <w:tcPr>
            <w:tcW w:w="2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19</w:t>
            </w:r>
          </w:p>
        </w:tc>
        <w:tc>
          <w:tcPr>
            <w:tcW w:w="420" w:type="dxa"/>
            <w:vAlign w:val="bottom"/>
            <w:tcBorders>
              <w:bottom w:val="single" w:sz="8" w:color="auto"/>
            </w:tcBorders>
            <w:shd w:val="clear" w:color="auto" w:fill="D9D9D6"/>
          </w:tcPr>
          <w:p>
            <w:pPr>
              <w:spacing w:after="0"/>
              <w:rPr>
                <w:sz w:val="16"/>
                <w:szCs w:val="16"/>
                <w:color w:val="auto"/>
              </w:rPr>
            </w:pPr>
          </w:p>
        </w:tc>
        <w:tc>
          <w:tcPr>
            <w:tcW w:w="40" w:type="dxa"/>
            <w:vAlign w:val="bottom"/>
            <w:tcBorders>
              <w:bottom w:val="single" w:sz="8" w:color="auto"/>
            </w:tcBorders>
            <w:shd w:val="clear" w:color="auto" w:fill="D9D9D6"/>
          </w:tcPr>
          <w:p>
            <w:pPr>
              <w:spacing w:after="0"/>
              <w:rPr>
                <w:sz w:val="16"/>
                <w:szCs w:val="16"/>
                <w:color w:val="auto"/>
              </w:rPr>
            </w:pPr>
          </w:p>
        </w:tc>
        <w:tc>
          <w:tcPr>
            <w:tcW w:w="4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Voice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10,788</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11,029</w:t>
            </w:r>
          </w:p>
        </w:tc>
        <w:tc>
          <w:tcPr>
            <w:tcW w:w="5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(108)</w:t>
            </w:r>
          </w:p>
        </w:tc>
        <w:tc>
          <w:tcPr>
            <w:tcW w:w="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(158)</w:t>
            </w:r>
          </w:p>
        </w:tc>
        <w:tc>
          <w:tcPr>
            <w:tcW w:w="20" w:type="dxa"/>
            <w:vAlign w:val="bottom"/>
            <w:shd w:val="clear" w:color="auto" w:fill="D9D9D6"/>
          </w:tcPr>
          <w:p>
            <w:pPr>
              <w:spacing w:after="0"/>
              <w:rPr>
                <w:sz w:val="15"/>
                <w:szCs w:val="15"/>
                <w:color w:val="auto"/>
              </w:rPr>
            </w:pPr>
          </w:p>
        </w:tc>
        <w:tc>
          <w:tcPr>
            <w:tcW w:w="240" w:type="dxa"/>
            <w:vAlign w:val="bottom"/>
            <w:tcBorders>
              <w:right w:val="single" w:sz="8" w:color="97999B"/>
            </w:tcBorders>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(214)</w:t>
            </w:r>
          </w:p>
        </w:tc>
        <w:tc>
          <w:tcPr>
            <w:tcW w:w="420" w:type="dxa"/>
            <w:vAlign w:val="bottom"/>
            <w:shd w:val="clear" w:color="auto" w:fill="D9D9D6"/>
          </w:tcPr>
          <w:p>
            <w:pPr>
              <w:spacing w:after="0"/>
              <w:rPr>
                <w:sz w:val="15"/>
                <w:szCs w:val="15"/>
                <w:color w:val="auto"/>
              </w:rPr>
            </w:pPr>
          </w:p>
        </w:tc>
        <w:tc>
          <w:tcPr>
            <w:tcW w:w="40" w:type="dxa"/>
            <w:vAlign w:val="bottom"/>
            <w:shd w:val="clear" w:color="auto" w:fill="D9D9D6"/>
          </w:tcPr>
          <w:p>
            <w:pPr>
              <w:spacing w:after="0"/>
              <w:rPr>
                <w:sz w:val="15"/>
                <w:szCs w:val="15"/>
                <w:color w:val="auto"/>
              </w:rPr>
            </w:pPr>
          </w:p>
        </w:tc>
        <w:tc>
          <w:tcPr>
            <w:tcW w:w="4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(248)</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 w:type="dxa"/>
            <w:vAlign w:val="bottom"/>
            <w:tcBorders>
              <w:bottom w:val="single" w:sz="8" w:color="D9D9D6"/>
            </w:tcBorders>
            <w:shd w:val="clear" w:color="auto" w:fill="D9D9D6"/>
          </w:tcPr>
          <w:p>
            <w:pPr>
              <w:spacing w:after="0"/>
              <w:rPr>
                <w:sz w:val="24"/>
                <w:szCs w:val="24"/>
                <w:color w:val="auto"/>
              </w:rPr>
            </w:pPr>
          </w:p>
        </w:tc>
        <w:tc>
          <w:tcPr>
            <w:tcW w:w="47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Total Wireless Lines</w:t>
            </w:r>
          </w:p>
        </w:tc>
        <w:tc>
          <w:tcPr>
            <w:tcW w:w="8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3,383</w:t>
            </w:r>
          </w:p>
        </w:tc>
        <w:tc>
          <w:tcPr>
            <w:tcW w:w="20" w:type="dxa"/>
            <w:vAlign w:val="bottom"/>
            <w:tcBorders>
              <w:bottom w:val="single" w:sz="8" w:color="D9D9D6"/>
            </w:tcBorders>
            <w:shd w:val="clear" w:color="auto" w:fill="D9D9D6"/>
          </w:tcPr>
          <w:p>
            <w:pPr>
              <w:spacing w:after="0"/>
              <w:rPr>
                <w:sz w:val="24"/>
                <w:szCs w:val="24"/>
                <w:color w:val="auto"/>
              </w:rPr>
            </w:pPr>
          </w:p>
        </w:tc>
        <w:tc>
          <w:tcPr>
            <w:tcW w:w="880" w:type="dxa"/>
            <w:vAlign w:val="bottom"/>
            <w:tcBorders>
              <w:bottom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2,393</w:t>
            </w:r>
          </w:p>
        </w:tc>
        <w:tc>
          <w:tcPr>
            <w:tcW w:w="520" w:type="dxa"/>
            <w:vAlign w:val="bottom"/>
            <w:tcBorders>
              <w:bottom w:val="single" w:sz="8" w:color="D9D9D6"/>
            </w:tcBorders>
            <w:shd w:val="clear" w:color="auto" w:fill="D9D9D6"/>
          </w:tcPr>
          <w:p>
            <w:pPr>
              <w:spacing w:after="0"/>
              <w:rPr>
                <w:sz w:val="24"/>
                <w:szCs w:val="24"/>
                <w:color w:val="auto"/>
              </w:rPr>
            </w:pPr>
          </w:p>
        </w:tc>
        <w:tc>
          <w:tcPr>
            <w:tcW w:w="880" w:type="dxa"/>
            <w:vAlign w:val="bottom"/>
            <w:tcBorders>
              <w:bottom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280</w:t>
            </w:r>
          </w:p>
        </w:tc>
        <w:tc>
          <w:tcPr>
            <w:tcW w:w="20" w:type="dxa"/>
            <w:vAlign w:val="bottom"/>
            <w:tcBorders>
              <w:bottom w:val="single" w:sz="8" w:color="D9D9D6"/>
            </w:tcBorders>
            <w:shd w:val="clear" w:color="auto" w:fill="D9D9D6"/>
          </w:tcPr>
          <w:p>
            <w:pPr>
              <w:spacing w:after="0"/>
              <w:rPr>
                <w:sz w:val="24"/>
                <w:szCs w:val="24"/>
                <w:color w:val="auto"/>
              </w:rPr>
            </w:pPr>
          </w:p>
        </w:tc>
        <w:tc>
          <w:tcPr>
            <w:tcW w:w="860" w:type="dxa"/>
            <w:vAlign w:val="bottom"/>
            <w:tcBorders>
              <w:bottom w:val="single" w:sz="8" w:color="D9D9D6"/>
            </w:tcBorders>
            <w:gridSpan w:val="3"/>
            <w:shd w:val="clear" w:color="auto" w:fill="D9D9D6"/>
          </w:tcPr>
          <w:p>
            <w:pPr>
              <w:jc w:val="center"/>
              <w:ind w:left="468"/>
              <w:spacing w:after="0"/>
              <w:rPr>
                <w:sz w:val="20"/>
                <w:szCs w:val="20"/>
                <w:color w:val="auto"/>
              </w:rPr>
            </w:pPr>
            <w:r>
              <w:rPr>
                <w:rFonts w:ascii="Arial" w:cs="Arial" w:eastAsia="Arial" w:hAnsi="Arial"/>
                <w:sz w:val="14"/>
                <w:szCs w:val="14"/>
                <w:b w:val="1"/>
                <w:bCs w:val="1"/>
                <w:color w:val="auto"/>
              </w:rPr>
              <w:t>126</w:t>
            </w:r>
          </w:p>
        </w:tc>
        <w:tc>
          <w:tcPr>
            <w:tcW w:w="20" w:type="dxa"/>
            <w:vAlign w:val="bottom"/>
            <w:tcBorders>
              <w:bottom w:val="single" w:sz="8" w:color="D9D9D6"/>
            </w:tcBorders>
            <w:shd w:val="clear" w:color="auto" w:fill="D9D9D6"/>
          </w:tcPr>
          <w:p>
            <w:pPr>
              <w:spacing w:after="0"/>
              <w:rPr>
                <w:sz w:val="24"/>
                <w:szCs w:val="24"/>
                <w:color w:val="auto"/>
              </w:rPr>
            </w:pPr>
          </w:p>
        </w:tc>
        <w:tc>
          <w:tcPr>
            <w:tcW w:w="240" w:type="dxa"/>
            <w:vAlign w:val="bottom"/>
            <w:tcBorders>
              <w:bottom w:val="single" w:sz="8" w:color="D9D9D6"/>
              <w:right w:val="single" w:sz="8" w:color="97999B"/>
            </w:tcBorders>
            <w:shd w:val="clear" w:color="auto" w:fill="D9D9D6"/>
          </w:tcPr>
          <w:p>
            <w:pPr>
              <w:spacing w:after="0"/>
              <w:rPr>
                <w:sz w:val="24"/>
                <w:szCs w:val="24"/>
                <w:color w:val="auto"/>
              </w:rPr>
            </w:pPr>
          </w:p>
        </w:tc>
        <w:tc>
          <w:tcPr>
            <w:tcW w:w="200" w:type="dxa"/>
            <w:vAlign w:val="bottom"/>
            <w:tcBorders>
              <w:bottom w:val="single" w:sz="8" w:color="D9D9D6"/>
            </w:tcBorders>
            <w:shd w:val="clear" w:color="auto" w:fill="D9D9D6"/>
          </w:tcPr>
          <w:p>
            <w:pPr>
              <w:spacing w:after="0"/>
              <w:rPr>
                <w:sz w:val="24"/>
                <w:szCs w:val="24"/>
                <w:color w:val="auto"/>
              </w:rPr>
            </w:pPr>
          </w:p>
        </w:tc>
        <w:tc>
          <w:tcPr>
            <w:tcW w:w="86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558</w:t>
            </w:r>
          </w:p>
        </w:tc>
        <w:tc>
          <w:tcPr>
            <w:tcW w:w="420" w:type="dxa"/>
            <w:vAlign w:val="bottom"/>
            <w:tcBorders>
              <w:bottom w:val="single" w:sz="8" w:color="D9D9D6"/>
            </w:tcBorders>
            <w:shd w:val="clear" w:color="auto" w:fill="D9D9D6"/>
          </w:tcPr>
          <w:p>
            <w:pPr>
              <w:spacing w:after="0"/>
              <w:rPr>
                <w:sz w:val="24"/>
                <w:szCs w:val="24"/>
                <w:color w:val="auto"/>
              </w:rPr>
            </w:pPr>
          </w:p>
        </w:tc>
        <w:tc>
          <w:tcPr>
            <w:tcW w:w="40" w:type="dxa"/>
            <w:vAlign w:val="bottom"/>
            <w:tcBorders>
              <w:bottom w:val="single" w:sz="8" w:color="D9D9D6"/>
            </w:tcBorders>
            <w:shd w:val="clear" w:color="auto" w:fill="D9D9D6"/>
          </w:tcPr>
          <w:p>
            <w:pPr>
              <w:spacing w:after="0"/>
              <w:rPr>
                <w:sz w:val="24"/>
                <w:szCs w:val="24"/>
                <w:color w:val="auto"/>
              </w:rPr>
            </w:pPr>
          </w:p>
        </w:tc>
        <w:tc>
          <w:tcPr>
            <w:tcW w:w="44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342</w:t>
            </w:r>
          </w:p>
        </w:tc>
        <w:tc>
          <w:tcPr>
            <w:tcW w:w="20" w:type="dxa"/>
            <w:vAlign w:val="bottom"/>
            <w:tcBorders>
              <w:bottom w:val="single" w:sz="8" w:color="D9D9D6"/>
            </w:tcBorders>
            <w:shd w:val="clear" w:color="auto" w:fill="D9D9D6"/>
          </w:tcPr>
          <w:p>
            <w:pPr>
              <w:spacing w:after="0"/>
              <w:rPr>
                <w:sz w:val="24"/>
                <w:szCs w:val="24"/>
                <w:color w:val="auto"/>
              </w:rPr>
            </w:pPr>
          </w:p>
        </w:tc>
        <w:tc>
          <w:tcPr>
            <w:tcW w:w="120" w:type="dxa"/>
            <w:vAlign w:val="bottom"/>
            <w:tcBorders>
              <w:bottom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1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14.5% to $7.1 billion in the second quarter of 2021, reflecting higher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partially offset by an 8.2% increase in operating expenses. In the prior year period, total operating expenses benefited from adjustments for provisions in our programming distribution agreements with RSNs related to canceled sporting events as a result of COVID-19. In the second quarter of 2021, programming costs increased 12.1%, including the effects of the adjustment provisions in the prior year period. Excluding these adjustments</w:t>
      </w:r>
      <w:r>
        <w:rPr>
          <w:rFonts w:ascii="Arial" w:cs="Arial" w:eastAsia="Arial" w:hAnsi="Arial"/>
          <w:sz w:val="23"/>
          <w:szCs w:val="23"/>
          <w:color w:val="auto"/>
          <w:vertAlign w:val="superscript"/>
        </w:rPr>
        <w:t>5</w:t>
      </w:r>
      <w:r>
        <w:rPr>
          <w:rFonts w:ascii="Arial" w:cs="Arial" w:eastAsia="Arial" w:hAnsi="Arial"/>
          <w:sz w:val="18"/>
          <w:szCs w:val="18"/>
          <w:color w:val="auto"/>
        </w:rPr>
        <w:t>, programming costs increased 5.0%, reflecting the timing of contract renewals, partially offset by a decline in the number of video subscribers. Non-programming expenses increased 5.7%, primarily reflecting higher technical and product support expenses and advertising, marketing and promotion expenses, partially offset by lower other expenses and customer service expenses. Non-programming expenses per customer relationship increased 0.5%. Adjusted EBITDA per customer relationship increased 8.9%, and Adjusted EBITDA margin was 44.2% compared to 42.8% in the prior year period. While the accrued RSN adjustments did not impact Adjusted EBITDA in the prior year period, they resulted in an increase to Adjusted EBITDA margin. Cable Communications results include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of $68 million from our wireless business, compared to a loss of $37 million in the prior year period.</w:t>
      </w:r>
    </w:p>
    <w:p>
      <w:pPr>
        <w:spacing w:after="0" w:line="23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For the six months ended June 30, 2021, Cable Adjusted EBITDA increased 13.5% to $13.9 billion compared to 2020, reflecting higher revenue, partially offset by a 4.7% increase in operating expenses. Programming costs increased 8.7%, reflecting the timing of contract renewals and adjustments in 2020 for provisions in our programming distribution agreements with RSNs related to canceled sporting events as a result of COVID-19, partially offset by a decline in the number of video subscribers. Excluding the impact of accrued RSN adjustments in 2020</w:t>
      </w:r>
      <w:r>
        <w:rPr>
          <w:rFonts w:ascii="Arial" w:cs="Arial" w:eastAsia="Arial" w:hAnsi="Arial"/>
          <w:sz w:val="23"/>
          <w:szCs w:val="23"/>
          <w:color w:val="auto"/>
          <w:vertAlign w:val="superscript"/>
        </w:rPr>
        <w:t>5</w:t>
      </w:r>
      <w:r>
        <w:rPr>
          <w:rFonts w:ascii="Arial" w:cs="Arial" w:eastAsia="Arial" w:hAnsi="Arial"/>
          <w:sz w:val="18"/>
          <w:szCs w:val="18"/>
          <w:color w:val="auto"/>
        </w:rPr>
        <w:t>, programming costs increased 5.3%. Non-programming expenses increased 2.2%. For the six months ended June 30, 2021, Adjusted EBITDA per customer relationship increased 7.9%, and Adjusted EBITDA margin was 43.7% compared to 41.7% in 2020. While the accrued RSN adjustments did not impact Adjusted EBITDA for the six months ended June 30, 2020, they resulted in an increase to Adjusted EBITDA margin in that period. Cable Communications results include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of $74 million from our wireless business, compared to a loss of $96 million in 2020.</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Cable Communications increased 16.8% to $1.7 billion in the second quarter of 2021, primarily reflecting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investment in scalable infrastructure, customer premise equipment and line extensions. Cable capital expenditures represented 10.6% of Cable revenue in the second quarter of 2021 compared to 10.1% in the prior year period.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733" w:right="339" w:bottom="1440" w:gutter="0" w:footer="0" w:header="0"/>
        </w:sectPr>
      </w:pPr>
    </w:p>
    <w:bookmarkStart w:id="7" w:name="page8"/>
    <w:bookmarkEnd w:id="7"/>
    <w:p>
      <w:pPr>
        <w:jc w:val="both"/>
        <w:spacing w:after="0" w:line="246" w:lineRule="auto"/>
        <w:rPr>
          <w:sz w:val="20"/>
          <w:szCs w:val="20"/>
          <w:color w:val="auto"/>
        </w:rPr>
      </w:pPr>
      <w:r>
        <w:rPr>
          <w:rFonts w:ascii="Arial" w:cs="Arial" w:eastAsia="Arial" w:hAnsi="Arial"/>
          <w:sz w:val="18"/>
          <w:szCs w:val="18"/>
          <w:color w:val="auto"/>
        </w:rPr>
        <w:t>For the six months ended June 30, 2021, Cable capital expenditures increased 12.7% to $3.1 billion, primarily reflecting increased investment in scalable infrastructure. Cable capital expenditures represented 9.6% of Cable revenue compared to 9.3% in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49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4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60" w:type="dxa"/>
            <w:vAlign w:val="bottom"/>
            <w:tcBorders>
              <w:bottom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60" w:type="dxa"/>
            <w:vAlign w:val="bottom"/>
            <w:tcBorders>
              <w:bottom w:val="single" w:sz="8" w:color="D9D9D6"/>
              <w:right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4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6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D9D9D6"/>
          </w:tcPr>
          <w:p>
            <w:pPr>
              <w:spacing w:after="0"/>
              <w:rPr>
                <w:sz w:val="14"/>
                <w:szCs w:val="14"/>
                <w:color w:val="auto"/>
              </w:rPr>
            </w:pPr>
          </w:p>
        </w:tc>
        <w:tc>
          <w:tcPr>
            <w:tcW w:w="492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40" w:type="dxa"/>
            <w:vAlign w:val="bottom"/>
            <w:shd w:val="clear" w:color="auto" w:fill="D9D9D6"/>
          </w:tcPr>
          <w:p>
            <w:pPr>
              <w:spacing w:after="0"/>
              <w:rPr>
                <w:sz w:val="14"/>
                <w:szCs w:val="14"/>
                <w:color w:val="auto"/>
              </w:rPr>
            </w:pPr>
          </w:p>
        </w:tc>
        <w:tc>
          <w:tcPr>
            <w:tcW w:w="78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2nd Quarter</w:t>
            </w:r>
          </w:p>
        </w:tc>
        <w:tc>
          <w:tcPr>
            <w:tcW w:w="160" w:type="dxa"/>
            <w:vAlign w:val="bottom"/>
            <w:shd w:val="clear" w:color="auto" w:fill="D9D9D6"/>
          </w:tcPr>
          <w:p>
            <w:pPr>
              <w:spacing w:after="0"/>
              <w:rPr>
                <w:sz w:val="14"/>
                <w:szCs w:val="14"/>
                <w:color w:val="auto"/>
              </w:rPr>
            </w:pPr>
          </w:p>
        </w:tc>
        <w:tc>
          <w:tcPr>
            <w:tcW w:w="30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260" w:type="dxa"/>
            <w:vAlign w:val="bottom"/>
            <w:tcBorders>
              <w:right w:val="single" w:sz="8" w:color="97999B"/>
            </w:tcBorders>
            <w:shd w:val="clear" w:color="auto" w:fill="D9D9D6"/>
          </w:tcPr>
          <w:p>
            <w:pPr>
              <w:spacing w:after="0"/>
              <w:rPr>
                <w:sz w:val="14"/>
                <w:szCs w:val="14"/>
                <w:color w:val="auto"/>
              </w:rPr>
            </w:pPr>
          </w:p>
        </w:tc>
        <w:tc>
          <w:tcPr>
            <w:tcW w:w="220" w:type="dxa"/>
            <w:vAlign w:val="bottom"/>
            <w:shd w:val="clear" w:color="auto" w:fill="D9D9D6"/>
          </w:tcPr>
          <w:p>
            <w:pPr>
              <w:spacing w:after="0"/>
              <w:rPr>
                <w:sz w:val="14"/>
                <w:szCs w:val="14"/>
                <w:color w:val="auto"/>
              </w:rPr>
            </w:pP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96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Year to Date</w:t>
            </w:r>
          </w:p>
        </w:tc>
        <w:tc>
          <w:tcPr>
            <w:tcW w:w="320" w:type="dxa"/>
            <w:vAlign w:val="bottom"/>
            <w:shd w:val="clear" w:color="auto" w:fill="D9D9D6"/>
          </w:tcPr>
          <w:p>
            <w:pPr>
              <w:spacing w:after="0"/>
              <w:rPr>
                <w:sz w:val="14"/>
                <w:szCs w:val="14"/>
                <w:color w:val="auto"/>
              </w:rPr>
            </w:pPr>
          </w:p>
        </w:tc>
        <w:tc>
          <w:tcPr>
            <w:tcW w:w="50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Borders>
              <w:top w:val="single" w:sz="8" w:color="D9D9D6"/>
            </w:tcBorders>
            <w:shd w:val="clear" w:color="auto" w:fill="D9D9D6"/>
          </w:tcPr>
          <w:p>
            <w:pPr>
              <w:spacing w:after="0"/>
              <w:rPr>
                <w:sz w:val="14"/>
                <w:szCs w:val="14"/>
                <w:color w:val="auto"/>
              </w:rPr>
            </w:pPr>
          </w:p>
        </w:tc>
        <w:tc>
          <w:tcPr>
            <w:tcW w:w="4920" w:type="dxa"/>
            <w:vAlign w:val="bottom"/>
            <w:tcBorders>
              <w:top w:val="single" w:sz="8" w:color="D9D9D6"/>
            </w:tcBorders>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860" w:type="dxa"/>
            <w:vAlign w:val="bottom"/>
            <w:tcBorders>
              <w:top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40" w:type="dxa"/>
            <w:vAlign w:val="bottom"/>
            <w:tcBorders>
              <w:top w:val="single" w:sz="8" w:color="D9D9D6"/>
            </w:tcBorders>
            <w:shd w:val="clear" w:color="auto" w:fill="D9D9D6"/>
          </w:tcPr>
          <w:p>
            <w:pPr>
              <w:spacing w:after="0"/>
              <w:rPr>
                <w:sz w:val="14"/>
                <w:szCs w:val="14"/>
                <w:color w:val="auto"/>
              </w:rPr>
            </w:pPr>
          </w:p>
        </w:tc>
        <w:tc>
          <w:tcPr>
            <w:tcW w:w="780" w:type="dxa"/>
            <w:vAlign w:val="bottom"/>
            <w:tcBorders>
              <w:top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2020</w:t>
            </w:r>
          </w:p>
        </w:tc>
        <w:tc>
          <w:tcPr>
            <w:tcW w:w="160" w:type="dxa"/>
            <w:vAlign w:val="bottom"/>
            <w:tcBorders>
              <w:top w:val="single" w:sz="8" w:color="D9D9D6"/>
            </w:tcBorders>
            <w:shd w:val="clear" w:color="auto" w:fill="D9D9D6"/>
          </w:tcPr>
          <w:p>
            <w:pPr>
              <w:spacing w:after="0"/>
              <w:rPr>
                <w:sz w:val="14"/>
                <w:szCs w:val="14"/>
                <w:color w:val="auto"/>
              </w:rPr>
            </w:pPr>
          </w:p>
        </w:tc>
        <w:tc>
          <w:tcPr>
            <w:tcW w:w="300" w:type="dxa"/>
            <w:vAlign w:val="bottom"/>
            <w:tcBorders>
              <w:top w:val="single" w:sz="8" w:color="D9D9D6"/>
            </w:tcBorders>
            <w:shd w:val="clear" w:color="auto" w:fill="D9D9D6"/>
          </w:tcPr>
          <w:p>
            <w:pPr>
              <w:spacing w:after="0"/>
              <w:rPr>
                <w:sz w:val="14"/>
                <w:szCs w:val="14"/>
                <w:color w:val="auto"/>
              </w:rPr>
            </w:pPr>
          </w:p>
        </w:tc>
        <w:tc>
          <w:tcPr>
            <w:tcW w:w="800" w:type="dxa"/>
            <w:vAlign w:val="bottom"/>
            <w:tcBorders>
              <w:top w:val="single" w:sz="8" w:color="D9D9D6"/>
              <w:right w:val="single" w:sz="8" w:color="97999B"/>
            </w:tcBorders>
            <w:gridSpan w:val="4"/>
            <w:shd w:val="clear" w:color="auto" w:fill="D9D9D6"/>
          </w:tcPr>
          <w:p>
            <w:pPr>
              <w:spacing w:after="0"/>
              <w:rPr>
                <w:sz w:val="20"/>
                <w:szCs w:val="20"/>
                <w:color w:val="auto"/>
              </w:rPr>
            </w:pPr>
            <w:r>
              <w:rPr>
                <w:rFonts w:ascii="Arial" w:cs="Arial" w:eastAsia="Arial" w:hAnsi="Arial"/>
                <w:sz w:val="14"/>
                <w:szCs w:val="14"/>
                <w:color w:val="auto"/>
              </w:rPr>
              <w:t>Change</w:t>
            </w:r>
          </w:p>
        </w:tc>
        <w:tc>
          <w:tcPr>
            <w:tcW w:w="220" w:type="dxa"/>
            <w:vAlign w:val="bottom"/>
            <w:tcBorders>
              <w:top w:val="single" w:sz="8" w:color="D9D9D6"/>
            </w:tcBorders>
            <w:shd w:val="clear" w:color="auto" w:fill="D9D9D6"/>
          </w:tcPr>
          <w:p>
            <w:pPr>
              <w:spacing w:after="0"/>
              <w:rPr>
                <w:sz w:val="14"/>
                <w:szCs w:val="14"/>
                <w:color w:val="auto"/>
              </w:rPr>
            </w:pPr>
          </w:p>
        </w:tc>
        <w:tc>
          <w:tcPr>
            <w:tcW w:w="1020" w:type="dxa"/>
            <w:vAlign w:val="bottom"/>
            <w:tcBorders>
              <w:top w:val="single" w:sz="8" w:color="D9D9D6"/>
            </w:tcBorders>
            <w:gridSpan w:val="3"/>
            <w:shd w:val="clear" w:color="auto" w:fill="D9D9D6"/>
          </w:tcPr>
          <w:p>
            <w:pPr>
              <w:jc w:val="right"/>
              <w:ind w:right="160"/>
              <w:spacing w:after="0"/>
              <w:rPr>
                <w:sz w:val="20"/>
                <w:szCs w:val="20"/>
                <w:color w:val="auto"/>
              </w:rPr>
            </w:pPr>
            <w:r>
              <w:rPr>
                <w:rFonts w:ascii="Arial" w:cs="Arial" w:eastAsia="Arial" w:hAnsi="Arial"/>
                <w:sz w:val="14"/>
                <w:szCs w:val="14"/>
                <w:color w:val="auto"/>
              </w:rPr>
              <w:t>2021</w:t>
            </w:r>
          </w:p>
        </w:tc>
        <w:tc>
          <w:tcPr>
            <w:tcW w:w="780" w:type="dxa"/>
            <w:vAlign w:val="bottom"/>
            <w:tcBorders>
              <w:top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2020</w:t>
            </w:r>
          </w:p>
        </w:tc>
        <w:tc>
          <w:tcPr>
            <w:tcW w:w="180" w:type="dxa"/>
            <w:vAlign w:val="bottom"/>
            <w:tcBorders>
              <w:top w:val="single" w:sz="8" w:color="D9D9D6"/>
            </w:tcBorders>
            <w:shd w:val="clear" w:color="auto" w:fill="D9D9D6"/>
          </w:tcPr>
          <w:p>
            <w:pPr>
              <w:spacing w:after="0"/>
              <w:rPr>
                <w:sz w:val="14"/>
                <w:szCs w:val="14"/>
                <w:color w:val="auto"/>
              </w:rPr>
            </w:pPr>
          </w:p>
        </w:tc>
        <w:tc>
          <w:tcPr>
            <w:tcW w:w="960" w:type="dxa"/>
            <w:vAlign w:val="bottom"/>
            <w:tcBorders>
              <w:top w:val="single" w:sz="8" w:color="D9D9D6"/>
            </w:tcBorders>
            <w:gridSpan w:val="4"/>
            <w:shd w:val="clear" w:color="auto" w:fill="D9D9D6"/>
          </w:tcPr>
          <w:p>
            <w:pPr>
              <w:jc w:val="right"/>
              <w:ind w:right="1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4920" w:type="dxa"/>
            <w:vAlign w:val="bottom"/>
            <w:tcBorders>
              <w:top w:val="single" w:sz="8" w:color="D9D9D6"/>
            </w:tcBorders>
            <w:vMerge w:val="continue"/>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40" w:type="dxa"/>
            <w:vAlign w:val="bottom"/>
            <w:tcBorders>
              <w:top w:val="single" w:sz="8" w:color="D9D9D6"/>
            </w:tcBorders>
            <w:shd w:val="clear" w:color="auto" w:fill="D9D9D6"/>
          </w:tcPr>
          <w:p>
            <w:pPr>
              <w:spacing w:after="0"/>
              <w:rPr>
                <w:sz w:val="17"/>
                <w:szCs w:val="17"/>
                <w:color w:val="auto"/>
              </w:rPr>
            </w:pPr>
          </w:p>
        </w:tc>
        <w:tc>
          <w:tcPr>
            <w:tcW w:w="4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160" w:type="dxa"/>
            <w:vAlign w:val="bottom"/>
            <w:tcBorders>
              <w:top w:val="single" w:sz="8" w:color="D9D9D6"/>
            </w:tcBorders>
            <w:shd w:val="clear" w:color="auto" w:fill="D9D9D6"/>
          </w:tcPr>
          <w:p>
            <w:pPr>
              <w:spacing w:after="0"/>
              <w:rPr>
                <w:sz w:val="17"/>
                <w:szCs w:val="17"/>
                <w:color w:val="auto"/>
              </w:rPr>
            </w:pPr>
          </w:p>
        </w:tc>
        <w:tc>
          <w:tcPr>
            <w:tcW w:w="3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60" w:type="dxa"/>
            <w:vAlign w:val="bottom"/>
            <w:tcBorders>
              <w:top w:val="single" w:sz="8" w:color="D9D9D6"/>
              <w:right w:val="single" w:sz="8" w:color="97999B"/>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60" w:type="dxa"/>
            <w:vAlign w:val="bottom"/>
            <w:tcBorders>
              <w:top w:val="single" w:sz="8" w:color="D9D9D6"/>
            </w:tcBorders>
            <w:shd w:val="clear" w:color="auto" w:fill="D9D9D6"/>
          </w:tcPr>
          <w:p>
            <w:pPr>
              <w:spacing w:after="0"/>
              <w:rPr>
                <w:sz w:val="17"/>
                <w:szCs w:val="17"/>
                <w:color w:val="auto"/>
              </w:rPr>
            </w:pPr>
          </w:p>
        </w:tc>
        <w:tc>
          <w:tcPr>
            <w:tcW w:w="4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1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Media</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$5,148</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$4,096</w:t>
            </w:r>
          </w:p>
        </w:tc>
        <w:tc>
          <w:tcPr>
            <w:tcW w:w="6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25.7 %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$10,184</w:t>
            </w:r>
          </w:p>
        </w:tc>
        <w:tc>
          <w:tcPr>
            <w:tcW w:w="160" w:type="dxa"/>
            <w:vAlign w:val="bottom"/>
            <w:shd w:val="clear" w:color="auto" w:fill="D9D9D6"/>
          </w:tcPr>
          <w:p>
            <w:pPr>
              <w:spacing w:after="0"/>
              <w:rPr>
                <w:sz w:val="16"/>
                <w:szCs w:val="16"/>
                <w:color w:val="auto"/>
              </w:rPr>
            </w:pPr>
          </w:p>
        </w:tc>
        <w:tc>
          <w:tcPr>
            <w:tcW w:w="7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$8,974</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13.5 %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Studios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2,224</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2,052</w:t>
            </w:r>
          </w:p>
        </w:tc>
        <w:tc>
          <w:tcPr>
            <w:tcW w:w="6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8.4 %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4,620</w:t>
            </w:r>
          </w:p>
        </w:tc>
        <w:tc>
          <w:tcPr>
            <w:tcW w:w="160" w:type="dxa"/>
            <w:vAlign w:val="bottom"/>
            <w:shd w:val="clear" w:color="auto" w:fill="D9D9D6"/>
          </w:tcPr>
          <w:p>
            <w:pPr>
              <w:spacing w:after="0"/>
              <w:rPr>
                <w:sz w:val="16"/>
                <w:szCs w:val="16"/>
                <w:color w:val="auto"/>
              </w:rPr>
            </w:pPr>
          </w:p>
        </w:tc>
        <w:tc>
          <w:tcPr>
            <w:tcW w:w="7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4,461</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3.6 %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1,095</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136</w:t>
            </w:r>
          </w:p>
        </w:tc>
        <w:tc>
          <w:tcPr>
            <w:tcW w:w="6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800" w:type="dxa"/>
            <w:vAlign w:val="bottom"/>
            <w:tcBorders>
              <w:right w:val="single" w:sz="8" w:color="97999B"/>
            </w:tcBorders>
            <w:gridSpan w:val="4"/>
            <w:shd w:val="clear" w:color="auto" w:fill="D9D9D6"/>
          </w:tcPr>
          <w:p>
            <w:pPr>
              <w:jc w:val="center"/>
              <w:spacing w:after="0"/>
              <w:rPr>
                <w:sz w:val="20"/>
                <w:szCs w:val="20"/>
                <w:color w:val="auto"/>
              </w:rPr>
            </w:pPr>
            <w:r>
              <w:rPr>
                <w:rFonts w:ascii="Arial" w:cs="Arial" w:eastAsia="Arial" w:hAnsi="Arial"/>
                <w:sz w:val="14"/>
                <w:szCs w:val="14"/>
                <w:color w:val="auto"/>
              </w:rPr>
              <w:t>NM</w:t>
            </w: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1,714</w:t>
            </w:r>
          </w:p>
        </w:tc>
        <w:tc>
          <w:tcPr>
            <w:tcW w:w="160" w:type="dxa"/>
            <w:vAlign w:val="bottom"/>
            <w:shd w:val="clear" w:color="auto" w:fill="D9D9D6"/>
          </w:tcPr>
          <w:p>
            <w:pPr>
              <w:spacing w:after="0"/>
              <w:rPr>
                <w:sz w:val="16"/>
                <w:szCs w:val="16"/>
                <w:color w:val="auto"/>
              </w:rPr>
            </w:pPr>
          </w:p>
        </w:tc>
        <w:tc>
          <w:tcPr>
            <w:tcW w:w="7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1,061</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61.5 %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and other</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$22</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11</w:t>
            </w:r>
          </w:p>
        </w:tc>
        <w:tc>
          <w:tcPr>
            <w:tcW w:w="6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97.4 %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38</w:t>
            </w:r>
          </w:p>
        </w:tc>
        <w:tc>
          <w:tcPr>
            <w:tcW w:w="160" w:type="dxa"/>
            <w:vAlign w:val="bottom"/>
            <w:shd w:val="clear" w:color="auto" w:fill="D9D9D6"/>
          </w:tcPr>
          <w:p>
            <w:pPr>
              <w:spacing w:after="0"/>
              <w:rPr>
                <w:sz w:val="16"/>
                <w:szCs w:val="16"/>
                <w:color w:val="auto"/>
              </w:rPr>
            </w:pPr>
          </w:p>
        </w:tc>
        <w:tc>
          <w:tcPr>
            <w:tcW w:w="7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20</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92.3 %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92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Eliminations</w:t>
            </w:r>
          </w:p>
        </w:tc>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(534)</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(580)</w:t>
            </w:r>
          </w:p>
        </w:tc>
        <w:tc>
          <w:tcPr>
            <w:tcW w:w="60" w:type="dxa"/>
            <w:vAlign w:val="bottom"/>
            <w:tcBorders>
              <w:bottom w:val="single" w:sz="8" w:color="auto"/>
            </w:tcBorders>
            <w:shd w:val="clear" w:color="auto" w:fill="D9D9D6"/>
          </w:tcPr>
          <w:p>
            <w:pPr>
              <w:spacing w:after="0"/>
              <w:rPr>
                <w:sz w:val="16"/>
                <w:szCs w:val="16"/>
                <w:color w:val="auto"/>
              </w:rPr>
            </w:pPr>
          </w:p>
        </w:tc>
        <w:tc>
          <w:tcPr>
            <w:tcW w:w="160" w:type="dxa"/>
            <w:vAlign w:val="bottom"/>
            <w:tcBorders>
              <w:bottom w:val="single" w:sz="8" w:color="auto"/>
            </w:tcBorders>
            <w:shd w:val="clear" w:color="auto" w:fill="D9D9D6"/>
          </w:tcPr>
          <w:p>
            <w:pPr>
              <w:spacing w:after="0"/>
              <w:rPr>
                <w:sz w:val="16"/>
                <w:szCs w:val="16"/>
                <w:color w:val="auto"/>
              </w:rPr>
            </w:pPr>
          </w:p>
        </w:tc>
        <w:tc>
          <w:tcPr>
            <w:tcW w:w="6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7.8</w:t>
            </w:r>
          </w:p>
        </w:tc>
        <w:tc>
          <w:tcPr>
            <w:tcW w:w="200" w:type="dxa"/>
            <w:vAlign w:val="bottom"/>
            <w:tcBorders>
              <w:bottom w:val="single" w:sz="8" w:color="auto"/>
            </w:tcBorders>
            <w:shd w:val="clear" w:color="auto" w:fill="D9D9D6"/>
          </w:tcPr>
          <w:p>
            <w:pPr>
              <w:jc w:val="cente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6"/>
                <w:szCs w:val="16"/>
                <w:color w:val="auto"/>
              </w:rPr>
            </w:pPr>
          </w:p>
        </w:tc>
        <w:tc>
          <w:tcPr>
            <w:tcW w:w="260" w:type="dxa"/>
            <w:vAlign w:val="bottom"/>
            <w:tcBorders>
              <w:bottom w:val="single" w:sz="8" w:color="D9D9D6"/>
              <w:right w:val="single" w:sz="8" w:color="97999B"/>
            </w:tcBorders>
            <w:shd w:val="clear" w:color="auto" w:fill="D9D9D6"/>
          </w:tcPr>
          <w:p>
            <w:pPr>
              <w:spacing w:after="0"/>
              <w:rPr>
                <w:sz w:val="16"/>
                <w:szCs w:val="16"/>
                <w:color w:val="auto"/>
              </w:rPr>
            </w:pPr>
          </w:p>
        </w:tc>
        <w:tc>
          <w:tcPr>
            <w:tcW w:w="22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(1,576)</w:t>
            </w:r>
          </w:p>
        </w:tc>
        <w:tc>
          <w:tcPr>
            <w:tcW w:w="160" w:type="dxa"/>
            <w:vAlign w:val="bottom"/>
            <w:tcBorders>
              <w:bottom w:val="single" w:sz="8" w:color="auto"/>
            </w:tcBorders>
            <w:shd w:val="clear" w:color="auto" w:fill="D9D9D6"/>
          </w:tcPr>
          <w:p>
            <w:pPr>
              <w:spacing w:after="0"/>
              <w:rPr>
                <w:sz w:val="16"/>
                <w:szCs w:val="16"/>
                <w:color w:val="auto"/>
              </w:rPr>
            </w:pPr>
          </w:p>
        </w:tc>
        <w:tc>
          <w:tcPr>
            <w:tcW w:w="72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(1,072)</w:t>
            </w:r>
          </w:p>
        </w:tc>
        <w:tc>
          <w:tcPr>
            <w:tcW w:w="60" w:type="dxa"/>
            <w:vAlign w:val="bottom"/>
            <w:tcBorders>
              <w:bottom w:val="single" w:sz="8" w:color="auto"/>
            </w:tcBorders>
            <w:shd w:val="clear" w:color="auto" w:fill="D9D9D6"/>
          </w:tcPr>
          <w:p>
            <w:pPr>
              <w:spacing w:after="0"/>
              <w:rPr>
                <w:sz w:val="16"/>
                <w:szCs w:val="16"/>
                <w:color w:val="auto"/>
              </w:rPr>
            </w:pPr>
          </w:p>
        </w:tc>
        <w:tc>
          <w:tcPr>
            <w:tcW w:w="180" w:type="dxa"/>
            <w:vAlign w:val="bottom"/>
            <w:tcBorders>
              <w:bottom w:val="single" w:sz="8" w:color="auto"/>
            </w:tcBorders>
            <w:shd w:val="clear" w:color="auto" w:fill="D9D9D6"/>
          </w:tcPr>
          <w:p>
            <w:pPr>
              <w:spacing w:after="0"/>
              <w:rPr>
                <w:sz w:val="16"/>
                <w:szCs w:val="16"/>
                <w:color w:val="auto"/>
              </w:rPr>
            </w:pPr>
          </w:p>
        </w:tc>
        <w:tc>
          <w:tcPr>
            <w:tcW w:w="8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(47.1 %)</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$7,955</w:t>
            </w:r>
          </w:p>
        </w:tc>
        <w:tc>
          <w:tcPr>
            <w:tcW w:w="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$5,715</w:t>
            </w:r>
          </w:p>
        </w:tc>
        <w:tc>
          <w:tcPr>
            <w:tcW w:w="60" w:type="dxa"/>
            <w:vAlign w:val="bottom"/>
            <w:shd w:val="clear" w:color="auto" w:fill="D9D9D6"/>
          </w:tcPr>
          <w:p>
            <w:pPr>
              <w:spacing w:after="0"/>
              <w:rPr>
                <w:sz w:val="15"/>
                <w:szCs w:val="15"/>
                <w:color w:val="auto"/>
              </w:rPr>
            </w:pPr>
          </w:p>
        </w:tc>
        <w:tc>
          <w:tcPr>
            <w:tcW w:w="160" w:type="dxa"/>
            <w:vAlign w:val="bottom"/>
            <w:shd w:val="clear" w:color="auto" w:fill="D9D9D6"/>
          </w:tcPr>
          <w:p>
            <w:pPr>
              <w:spacing w:after="0"/>
              <w:rPr>
                <w:sz w:val="15"/>
                <w:szCs w:val="15"/>
                <w:color w:val="auto"/>
              </w:rPr>
            </w:pPr>
          </w:p>
        </w:tc>
        <w:tc>
          <w:tcPr>
            <w:tcW w:w="6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39.2</w:t>
            </w:r>
          </w:p>
        </w:tc>
        <w:tc>
          <w:tcPr>
            <w:tcW w:w="200" w:type="dxa"/>
            <w:vAlign w:val="bottom"/>
            <w:shd w:val="clear" w:color="auto" w:fill="D9D9D6"/>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260" w:type="dxa"/>
            <w:vAlign w:val="bottom"/>
            <w:tcBorders>
              <w:right w:val="single" w:sz="8" w:color="97999B"/>
            </w:tcBorders>
            <w:shd w:val="clear" w:color="auto" w:fill="D9D9D6"/>
          </w:tcPr>
          <w:p>
            <w:pPr>
              <w:spacing w:after="0"/>
              <w:rPr>
                <w:sz w:val="15"/>
                <w:szCs w:val="15"/>
                <w:color w:val="auto"/>
              </w:rPr>
            </w:pPr>
          </w:p>
        </w:tc>
        <w:tc>
          <w:tcPr>
            <w:tcW w:w="22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$14,980</w:t>
            </w:r>
          </w:p>
        </w:tc>
        <w:tc>
          <w:tcPr>
            <w:tcW w:w="160" w:type="dxa"/>
            <w:vAlign w:val="bottom"/>
            <w:shd w:val="clear" w:color="auto" w:fill="D9D9D6"/>
          </w:tcPr>
          <w:p>
            <w:pPr>
              <w:spacing w:after="0"/>
              <w:rPr>
                <w:sz w:val="15"/>
                <w:szCs w:val="15"/>
                <w:color w:val="auto"/>
              </w:rPr>
            </w:pPr>
          </w:p>
        </w:tc>
        <w:tc>
          <w:tcPr>
            <w:tcW w:w="7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$13,444</w:t>
            </w:r>
          </w:p>
        </w:tc>
        <w:tc>
          <w:tcPr>
            <w:tcW w:w="6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11.4 %</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5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60" w:type="dxa"/>
            <w:vAlign w:val="bottom"/>
            <w:tcBorders>
              <w:right w:val="single" w:sz="8" w:color="97999B"/>
            </w:tcBorders>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Media</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$1,378</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$1,636</w:t>
            </w:r>
          </w:p>
        </w:tc>
        <w:tc>
          <w:tcPr>
            <w:tcW w:w="6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(15.8 %)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$2,851</w:t>
            </w:r>
          </w:p>
        </w:tc>
        <w:tc>
          <w:tcPr>
            <w:tcW w:w="160" w:type="dxa"/>
            <w:vAlign w:val="bottom"/>
            <w:shd w:val="clear" w:color="auto" w:fill="D9D9D6"/>
          </w:tcPr>
          <w:p>
            <w:pPr>
              <w:spacing w:after="0"/>
              <w:rPr>
                <w:sz w:val="16"/>
                <w:szCs w:val="16"/>
                <w:color w:val="auto"/>
              </w:rPr>
            </w:pPr>
          </w:p>
        </w:tc>
        <w:tc>
          <w:tcPr>
            <w:tcW w:w="7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$3,165</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(9.9 %)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Studios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156</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323</w:t>
            </w:r>
          </w:p>
        </w:tc>
        <w:tc>
          <w:tcPr>
            <w:tcW w:w="6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(51.7 %)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653</w:t>
            </w:r>
          </w:p>
        </w:tc>
        <w:tc>
          <w:tcPr>
            <w:tcW w:w="160" w:type="dxa"/>
            <w:vAlign w:val="bottom"/>
            <w:shd w:val="clear" w:color="auto" w:fill="D9D9D6"/>
          </w:tcPr>
          <w:p>
            <w:pPr>
              <w:spacing w:after="0"/>
              <w:rPr>
                <w:sz w:val="16"/>
                <w:szCs w:val="16"/>
                <w:color w:val="auto"/>
              </w:rPr>
            </w:pPr>
          </w:p>
        </w:tc>
        <w:tc>
          <w:tcPr>
            <w:tcW w:w="7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623</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4.8 %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221</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(393)</w:t>
            </w:r>
          </w:p>
        </w:tc>
        <w:tc>
          <w:tcPr>
            <w:tcW w:w="6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800" w:type="dxa"/>
            <w:vAlign w:val="bottom"/>
            <w:tcBorders>
              <w:right w:val="single" w:sz="8" w:color="97999B"/>
            </w:tcBorders>
            <w:gridSpan w:val="4"/>
            <w:shd w:val="clear" w:color="auto" w:fill="D9D9D6"/>
          </w:tcPr>
          <w:p>
            <w:pPr>
              <w:jc w:val="center"/>
              <w:spacing w:after="0"/>
              <w:rPr>
                <w:sz w:val="20"/>
                <w:szCs w:val="20"/>
                <w:color w:val="auto"/>
              </w:rPr>
            </w:pPr>
            <w:r>
              <w:rPr>
                <w:rFonts w:ascii="Arial" w:cs="Arial" w:eastAsia="Arial" w:hAnsi="Arial"/>
                <w:sz w:val="14"/>
                <w:szCs w:val="14"/>
                <w:color w:val="auto"/>
              </w:rPr>
              <w:t>NM</w:t>
            </w: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159</w:t>
            </w:r>
          </w:p>
        </w:tc>
        <w:tc>
          <w:tcPr>
            <w:tcW w:w="160" w:type="dxa"/>
            <w:vAlign w:val="bottom"/>
            <w:shd w:val="clear" w:color="auto" w:fill="D9D9D6"/>
          </w:tcPr>
          <w:p>
            <w:pPr>
              <w:spacing w:after="0"/>
              <w:rPr>
                <w:sz w:val="16"/>
                <w:szCs w:val="16"/>
                <w:color w:val="auto"/>
              </w:rPr>
            </w:pPr>
          </w:p>
        </w:tc>
        <w:tc>
          <w:tcPr>
            <w:tcW w:w="72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(306)</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64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and other</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(186)</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(82)</w:t>
            </w:r>
          </w:p>
        </w:tc>
        <w:tc>
          <w:tcPr>
            <w:tcW w:w="6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(127.3 %)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(395)</w:t>
            </w:r>
          </w:p>
        </w:tc>
        <w:tc>
          <w:tcPr>
            <w:tcW w:w="160" w:type="dxa"/>
            <w:vAlign w:val="bottom"/>
            <w:shd w:val="clear" w:color="auto" w:fill="D9D9D6"/>
          </w:tcPr>
          <w:p>
            <w:pPr>
              <w:spacing w:after="0"/>
              <w:rPr>
                <w:sz w:val="16"/>
                <w:szCs w:val="16"/>
                <w:color w:val="auto"/>
              </w:rPr>
            </w:pPr>
          </w:p>
        </w:tc>
        <w:tc>
          <w:tcPr>
            <w:tcW w:w="72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(303)</w:t>
            </w: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(30.3 %)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92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Eliminations</w:t>
            </w:r>
          </w:p>
        </w:tc>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(15)</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(104)</w:t>
            </w:r>
          </w:p>
        </w:tc>
        <w:tc>
          <w:tcPr>
            <w:tcW w:w="60" w:type="dxa"/>
            <w:vAlign w:val="bottom"/>
            <w:tcBorders>
              <w:bottom w:val="single" w:sz="8" w:color="auto"/>
            </w:tcBorders>
            <w:shd w:val="clear" w:color="auto" w:fill="D9D9D6"/>
          </w:tcPr>
          <w:p>
            <w:pPr>
              <w:spacing w:after="0"/>
              <w:rPr>
                <w:sz w:val="16"/>
                <w:szCs w:val="16"/>
                <w:color w:val="auto"/>
              </w:rPr>
            </w:pPr>
          </w:p>
        </w:tc>
        <w:tc>
          <w:tcPr>
            <w:tcW w:w="160" w:type="dxa"/>
            <w:vAlign w:val="bottom"/>
            <w:tcBorders>
              <w:bottom w:val="single" w:sz="8" w:color="auto"/>
            </w:tcBorders>
            <w:shd w:val="clear" w:color="auto" w:fill="D9D9D6"/>
          </w:tcPr>
          <w:p>
            <w:pPr>
              <w:spacing w:after="0"/>
              <w:rPr>
                <w:sz w:val="16"/>
                <w:szCs w:val="16"/>
                <w:color w:val="auto"/>
              </w:rPr>
            </w:pPr>
          </w:p>
        </w:tc>
        <w:tc>
          <w:tcPr>
            <w:tcW w:w="6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85.6</w:t>
            </w:r>
          </w:p>
        </w:tc>
        <w:tc>
          <w:tcPr>
            <w:tcW w:w="200" w:type="dxa"/>
            <w:vAlign w:val="bottom"/>
            <w:tcBorders>
              <w:bottom w:val="single" w:sz="8" w:color="auto"/>
            </w:tcBorders>
            <w:shd w:val="clear" w:color="auto" w:fill="D9D9D6"/>
          </w:tcPr>
          <w:p>
            <w:pPr>
              <w:jc w:val="cente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6"/>
                <w:szCs w:val="16"/>
                <w:color w:val="auto"/>
              </w:rPr>
            </w:pPr>
          </w:p>
        </w:tc>
        <w:tc>
          <w:tcPr>
            <w:tcW w:w="260" w:type="dxa"/>
            <w:vAlign w:val="bottom"/>
            <w:tcBorders>
              <w:bottom w:val="single" w:sz="8" w:color="D9D9D6"/>
              <w:right w:val="single" w:sz="8" w:color="97999B"/>
            </w:tcBorders>
            <w:shd w:val="clear" w:color="auto" w:fill="D9D9D6"/>
          </w:tcPr>
          <w:p>
            <w:pPr>
              <w:spacing w:after="0"/>
              <w:rPr>
                <w:sz w:val="16"/>
                <w:szCs w:val="16"/>
                <w:color w:val="auto"/>
              </w:rPr>
            </w:pPr>
          </w:p>
        </w:tc>
        <w:tc>
          <w:tcPr>
            <w:tcW w:w="22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(225)</w:t>
            </w:r>
          </w:p>
        </w:tc>
        <w:tc>
          <w:tcPr>
            <w:tcW w:w="160" w:type="dxa"/>
            <w:vAlign w:val="bottom"/>
            <w:tcBorders>
              <w:bottom w:val="single" w:sz="8" w:color="auto"/>
            </w:tcBorders>
            <w:shd w:val="clear" w:color="auto" w:fill="D9D9D6"/>
          </w:tcPr>
          <w:p>
            <w:pPr>
              <w:spacing w:after="0"/>
              <w:rPr>
                <w:sz w:val="16"/>
                <w:szCs w:val="16"/>
                <w:color w:val="auto"/>
              </w:rPr>
            </w:pPr>
          </w:p>
        </w:tc>
        <w:tc>
          <w:tcPr>
            <w:tcW w:w="72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(110)</w:t>
            </w:r>
          </w:p>
        </w:tc>
        <w:tc>
          <w:tcPr>
            <w:tcW w:w="60" w:type="dxa"/>
            <w:vAlign w:val="bottom"/>
            <w:tcBorders>
              <w:bottom w:val="single" w:sz="8" w:color="auto"/>
            </w:tcBorders>
            <w:shd w:val="clear" w:color="auto" w:fill="D9D9D6"/>
          </w:tcPr>
          <w:p>
            <w:pPr>
              <w:spacing w:after="0"/>
              <w:rPr>
                <w:sz w:val="16"/>
                <w:szCs w:val="16"/>
                <w:color w:val="auto"/>
              </w:rPr>
            </w:pPr>
          </w:p>
        </w:tc>
        <w:tc>
          <w:tcPr>
            <w:tcW w:w="180" w:type="dxa"/>
            <w:vAlign w:val="bottom"/>
            <w:tcBorders>
              <w:bottom w:val="single" w:sz="8" w:color="auto"/>
            </w:tcBorders>
            <w:shd w:val="clear" w:color="auto" w:fill="D9D9D6"/>
          </w:tcPr>
          <w:p>
            <w:pPr>
              <w:spacing w:after="0"/>
              <w:rPr>
                <w:sz w:val="16"/>
                <w:szCs w:val="16"/>
                <w:color w:val="auto"/>
              </w:rPr>
            </w:pPr>
          </w:p>
        </w:tc>
        <w:tc>
          <w:tcPr>
            <w:tcW w:w="8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(103.0 %)</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$1,553</w:t>
            </w:r>
          </w:p>
        </w:tc>
        <w:tc>
          <w:tcPr>
            <w:tcW w:w="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$1,380</w:t>
            </w:r>
          </w:p>
        </w:tc>
        <w:tc>
          <w:tcPr>
            <w:tcW w:w="60" w:type="dxa"/>
            <w:vAlign w:val="bottom"/>
            <w:shd w:val="clear" w:color="auto" w:fill="D9D9D6"/>
          </w:tcPr>
          <w:p>
            <w:pPr>
              <w:spacing w:after="0"/>
              <w:rPr>
                <w:sz w:val="15"/>
                <w:szCs w:val="15"/>
                <w:color w:val="auto"/>
              </w:rPr>
            </w:pPr>
          </w:p>
        </w:tc>
        <w:tc>
          <w:tcPr>
            <w:tcW w:w="160" w:type="dxa"/>
            <w:vAlign w:val="bottom"/>
            <w:shd w:val="clear" w:color="auto" w:fill="D9D9D6"/>
          </w:tcPr>
          <w:p>
            <w:pPr>
              <w:spacing w:after="0"/>
              <w:rPr>
                <w:sz w:val="15"/>
                <w:szCs w:val="15"/>
                <w:color w:val="auto"/>
              </w:rPr>
            </w:pPr>
          </w:p>
        </w:tc>
        <w:tc>
          <w:tcPr>
            <w:tcW w:w="6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12.5</w:t>
            </w:r>
          </w:p>
        </w:tc>
        <w:tc>
          <w:tcPr>
            <w:tcW w:w="200" w:type="dxa"/>
            <w:vAlign w:val="bottom"/>
            <w:shd w:val="clear" w:color="auto" w:fill="D9D9D6"/>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260" w:type="dxa"/>
            <w:vAlign w:val="bottom"/>
            <w:tcBorders>
              <w:right w:val="single" w:sz="8" w:color="97999B"/>
            </w:tcBorders>
            <w:shd w:val="clear" w:color="auto" w:fill="D9D9D6"/>
          </w:tcPr>
          <w:p>
            <w:pPr>
              <w:spacing w:after="0"/>
              <w:rPr>
                <w:sz w:val="15"/>
                <w:szCs w:val="15"/>
                <w:color w:val="auto"/>
              </w:rPr>
            </w:pPr>
          </w:p>
        </w:tc>
        <w:tc>
          <w:tcPr>
            <w:tcW w:w="22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$3,043</w:t>
            </w:r>
          </w:p>
        </w:tc>
        <w:tc>
          <w:tcPr>
            <w:tcW w:w="160" w:type="dxa"/>
            <w:vAlign w:val="bottom"/>
            <w:shd w:val="clear" w:color="auto" w:fill="D9D9D6"/>
          </w:tcPr>
          <w:p>
            <w:pPr>
              <w:spacing w:after="0"/>
              <w:rPr>
                <w:sz w:val="15"/>
                <w:szCs w:val="15"/>
                <w:color w:val="auto"/>
              </w:rPr>
            </w:pPr>
          </w:p>
        </w:tc>
        <w:tc>
          <w:tcPr>
            <w:tcW w:w="7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$3,069</w:t>
            </w:r>
          </w:p>
        </w:tc>
        <w:tc>
          <w:tcPr>
            <w:tcW w:w="6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(0.8 %)</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20"/>
              <w:spacing w:after="0"/>
              <w:rPr>
                <w:sz w:val="20"/>
                <w:szCs w:val="20"/>
                <w:color w:val="auto"/>
              </w:rPr>
            </w:pPr>
            <w:r>
              <w:rPr>
                <w:rFonts w:ascii="Arial" w:cs="Arial" w:eastAsia="Arial" w:hAnsi="Arial"/>
                <w:sz w:val="14"/>
                <w:szCs w:val="14"/>
                <w:color w:val="auto"/>
              </w:rPr>
              <w:t>NM=comparison not meaningful.</w:t>
            </w:r>
          </w:p>
        </w:tc>
        <w:tc>
          <w:tcPr>
            <w:tcW w:w="5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4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60" w:type="dxa"/>
            <w:vAlign w:val="bottom"/>
            <w:tcBorders>
              <w:right w:val="single" w:sz="8" w:color="D9D9D6"/>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4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492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160" w:type="dxa"/>
            <w:vAlign w:val="bottom"/>
            <w:shd w:val="clear" w:color="auto" w:fill="D9D9D6"/>
          </w:tcPr>
          <w:p>
            <w:pPr>
              <w:spacing w:after="0"/>
              <w:rPr>
                <w:sz w:val="4"/>
                <w:szCs w:val="4"/>
                <w:color w:val="auto"/>
              </w:rPr>
            </w:pPr>
          </w:p>
        </w:tc>
        <w:tc>
          <w:tcPr>
            <w:tcW w:w="30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260" w:type="dxa"/>
            <w:vAlign w:val="bottom"/>
            <w:tcBorders>
              <w:right w:val="single" w:sz="8" w:color="D9D9D6"/>
            </w:tcBorders>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6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Beginning in the first quarter of 2021, the operations of Peacock, which were previously reported in Corporate and Other, are now included with NBCUniversal results and the operations of NBCUniversal are now presented in three reportable business segments: Media, Studios and Theme Parks. Prior periods have been adjusted to reflect this presentation.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39.2% to $8.0 billion in the second quarter of 2021.</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12.5% to $1.6 billion.</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six months ended June 30, 2021, NBCUniversal revenue increased 11.4% to $15.0 billion compared to 2020. Adjusted EBITDA decreased 0.8% to $3.0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Media revenue increased 25.7% to $5.1 billion in the second quarter of 2021, reflecting higher advertising revenue, distribution revenue and other revenue. Advertising revenue increased 32.8%, reflecting an increase in the number of sporting events and higher pricing in the current period, and reduced spending from advertisers in the prior year period as a result of COVID-19, including from the postponement or cancellation of sporting events. These increases were partially offset by ratings declines. Distribution revenue increased 19.0%, driven by contractual rate increases in the current period and credits accrued at some of our RSNs in the prior year period resulting from the reduced number of games played by professional sports leagues in 2020 due to COVID-19, partially offset by a decline in subscribers at our networks. Other revenue increased 31.1% due to an increase in revenue from our digital properties. Adjusted EBITDA decreased 15.8% to $1.4 billion in the second quarter of 2021, reflecting higher revenue, more than offset by higher operating expenses. The increase in operating expenses was primarily driven by higher programming and production expenses, reflecting higher sports programming costs due to an increase in the number of sporting events compared to the prior year period when sports were postponed due to COVID-19, as well as higher amortization expense related to programming at Peacock. Media results include $122 million of revenue and an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loss of $363 million related to Peacock, compared to $6 million of revenue and an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loss of $117 million in the prior year period.</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six months ended June 30, 2021, revenue from the Media segment increased 13.5% to $ 10.2 billion compared to 2020, reflecting higher distribution revenue, advertising revenue and other revenue. Adjusted EBITDA decreased 9.9% to $2.9 billion compared to 2020, reflecting higher operating expenses, which more than offset higher revenue. The increase in operating expenses was primarily driven by higher programming and production expenses, reflecting higher sports programming costs due to an increase in the number of sporting events in the current period, and amortization of content at Peacock.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706" w:right="339" w:bottom="1440" w:gutter="0" w:footer="0" w:header="0"/>
        </w:sectPr>
      </w:pPr>
    </w:p>
    <w:bookmarkStart w:id="8" w:name="page9"/>
    <w:bookmarkEnd w:id="8"/>
    <w:p>
      <w:pPr>
        <w:jc w:val="both"/>
        <w:spacing w:after="0" w:line="233" w:lineRule="auto"/>
        <w:rPr>
          <w:sz w:val="20"/>
          <w:szCs w:val="20"/>
          <w:color w:val="auto"/>
        </w:rPr>
      </w:pPr>
      <w:r>
        <w:rPr>
          <w:rFonts w:ascii="Arial" w:cs="Arial" w:eastAsia="Arial" w:hAnsi="Arial"/>
          <w:sz w:val="18"/>
          <w:szCs w:val="18"/>
          <w:color w:val="auto"/>
        </w:rPr>
        <w:t>Media results include $213 million of revenue and an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loss of $640 million related to Peacock, compared to $6 million of revenue and an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loss of $176 million in 2020.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Studios revenue increased 8.4% to $2.2 billion in the second quarter of 2021, primarily reflecting higher theatrical revenue. Theatrical revenue increased by $191 million, reflecting the comparison to the higher level of theater closures and theaters operating at reduced capacity due to COVID-19 in the prior year period, and the success of releases in this year’s second quarter, including </w:t>
      </w:r>
      <w:r>
        <w:rPr>
          <w:rFonts w:ascii="Arial" w:cs="Arial" w:eastAsia="Arial" w:hAnsi="Arial"/>
          <w:sz w:val="18"/>
          <w:szCs w:val="18"/>
          <w:i w:val="1"/>
          <w:iCs w:val="1"/>
          <w:color w:val="auto"/>
        </w:rPr>
        <w:t>F9</w:t>
      </w:r>
      <w:r>
        <w:rPr>
          <w:rFonts w:ascii="Arial" w:cs="Arial" w:eastAsia="Arial" w:hAnsi="Arial"/>
          <w:sz w:val="18"/>
          <w:szCs w:val="18"/>
          <w:color w:val="auto"/>
        </w:rPr>
        <w:t>. Adjusted EBITDA decreased 51.7% to $156 million in the second quarter of 2021, reflecting higher operating expenses, which more than offset higher revenue. The increase in operating expenses was driven by higher programming and production expenses reflecting an increase in television series production and comparisons to the prior year period when production was paused due to COVID-19, as well as higher advertising, marketing and promotion expenses reflecting a higher number of theatrical releases in the current period.</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six months ended June 30, 2021, revenue from the Studios segment increased 3.6% to $4.6 billion compared to 2020, reflecting higher content licensing revenue, partially offset by lower theatrical revenue and home entertainment and other revenue. Adjusted EBITDA increased 4.8% to $653 million compared to 2020, reflecting higher revenue, partially offset by higher operating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Theme Parks revenue increased $958 million to $ 1.1 billion in the second quarter of 2021, reflecting improved operating conditions compared to the prior year period, when each of our theme parks were closed for either the majority or entirety of the period as a result of COVID-19. Theme Parks Adjusted EBITDA was $221 million in the second quarter of 2021, which included pre-opening costs related to Universal Beijing Resort, compared to a $393 million Adjusted EBITDA loss in the prior year period.</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 months ended June 30, 2021, revenue from the Theme Parks segment increased 61.5% to $1.7 billion compared to 2020, reflecting improved operating conditions compared to 2020, when each of our theme parks were either closed or operating at limited capacity as a result of COVID-19. Theme Parks Adjusted EBITDA was $159 million, which included pre-opening costs related to Universal Beijing Resort, compared to a $306 million Adjusted EBITDA loss in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NBCUniversal Headquarters and Other includes overhead, personnel costs and costs associated with corporate initiatives. Headquarters and Other Adjusted EBITDA loss was $186 million compared to a loss of $82 million in the prior year period.</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six months ended June 30, 2021, Headquarters and Other Adjusted EBITDA loss was $395 million compared to a loss of $303 million in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Amounts represent eliminations of transactions between our NBCUniversal segments, which are affected by the timing of recognition of content licenses between our Studios and Media segments. Revenue eliminations for the quarter ended June 30, 2021 were $534 million compared to $580 million in the prior year period, and Adjusted EBITDA eliminations were $15 million compared to $104 million in the prior year period.</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six months ended June 30, 2021, revenue eliminations were $1.6 billion compared to $1.1 billion in 2020, and Adjusted EBITDA eliminations were $225 million compared to $110 million in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695"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29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80" w:type="dxa"/>
            <w:vAlign w:val="bottom"/>
            <w:tcBorders>
              <w:bottom w:val="single" w:sz="8" w:color="D9D9D6"/>
            </w:tcBorders>
            <w:shd w:val="clear" w:color="auto" w:fill="D9D9D6"/>
          </w:tcPr>
          <w:p>
            <w:pPr>
              <w:spacing w:after="0"/>
              <w:rPr>
                <w:sz w:val="17"/>
                <w:szCs w:val="17"/>
                <w:color w:val="auto"/>
              </w:rPr>
            </w:pPr>
          </w:p>
        </w:tc>
        <w:tc>
          <w:tcPr>
            <w:tcW w:w="60" w:type="dxa"/>
            <w:vAlign w:val="bottom"/>
            <w:tcBorders>
              <w:bottom w:val="single" w:sz="8" w:color="D9D9D6"/>
            </w:tcBorders>
            <w:shd w:val="clear" w:color="auto" w:fill="D9D9D6"/>
          </w:tcPr>
          <w:p>
            <w:pPr>
              <w:spacing w:after="0"/>
              <w:rPr>
                <w:sz w:val="17"/>
                <w:szCs w:val="17"/>
                <w:color w:val="auto"/>
              </w:rPr>
            </w:pPr>
          </w:p>
        </w:tc>
        <w:tc>
          <w:tcPr>
            <w:tcW w:w="26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46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6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right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6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3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48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900" w:type="dxa"/>
            <w:vAlign w:val="bottom"/>
            <w:shd w:val="clear" w:color="auto" w:fill="D9D9D6"/>
          </w:tcPr>
          <w:p>
            <w:pPr>
              <w:spacing w:after="0"/>
              <w:rPr>
                <w:sz w:val="16"/>
                <w:szCs w:val="16"/>
                <w:color w:val="auto"/>
              </w:rPr>
            </w:pPr>
          </w:p>
        </w:tc>
        <w:tc>
          <w:tcPr>
            <w:tcW w:w="5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8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1260" w:type="dxa"/>
            <w:vAlign w:val="bottom"/>
            <w:gridSpan w:val="7"/>
            <w:shd w:val="clear" w:color="auto" w:fill="D9D9D6"/>
          </w:tcPr>
          <w:p>
            <w:pPr>
              <w:spacing w:after="0"/>
              <w:rPr>
                <w:sz w:val="20"/>
                <w:szCs w:val="20"/>
                <w:color w:val="auto"/>
              </w:rPr>
            </w:pPr>
            <w:r>
              <w:rPr>
                <w:rFonts w:ascii="Arial" w:cs="Arial" w:eastAsia="Arial" w:hAnsi="Arial"/>
                <w:sz w:val="14"/>
                <w:szCs w:val="14"/>
                <w:color w:val="auto"/>
              </w:rPr>
              <w:t>2nd Quarter</w:t>
            </w:r>
          </w:p>
        </w:tc>
        <w:tc>
          <w:tcPr>
            <w:tcW w:w="50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140" w:type="dxa"/>
            <w:vAlign w:val="bottom"/>
            <w:tcBorders>
              <w:right w:val="single" w:sz="8" w:color="97999B"/>
            </w:tcBorders>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6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4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1540" w:type="dxa"/>
            <w:vAlign w:val="bottom"/>
            <w:gridSpan w:val="7"/>
            <w:shd w:val="clear" w:color="auto" w:fill="D9D9D6"/>
          </w:tcPr>
          <w:p>
            <w:pPr>
              <w:ind w:left="20"/>
              <w:spacing w:after="0"/>
              <w:rPr>
                <w:sz w:val="20"/>
                <w:szCs w:val="20"/>
                <w:color w:val="auto"/>
              </w:rPr>
            </w:pPr>
            <w:r>
              <w:rPr>
                <w:rFonts w:ascii="Arial" w:cs="Arial" w:eastAsia="Arial" w:hAnsi="Arial"/>
                <w:sz w:val="14"/>
                <w:szCs w:val="14"/>
                <w:color w:val="auto"/>
              </w:rPr>
              <w:t>Year to Date</w:t>
            </w:r>
          </w:p>
        </w:tc>
        <w:tc>
          <w:tcPr>
            <w:tcW w:w="28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20" w:type="dxa"/>
            <w:vAlign w:val="bottom"/>
            <w:tcBorders>
              <w:top w:val="single" w:sz="8" w:color="D9D9D6"/>
            </w:tcBorders>
            <w:shd w:val="clear" w:color="auto" w:fill="D9D9D6"/>
          </w:tcPr>
          <w:p>
            <w:pPr>
              <w:spacing w:after="0"/>
              <w:rPr>
                <w:sz w:val="20"/>
                <w:szCs w:val="20"/>
                <w:color w:val="auto"/>
              </w:rPr>
            </w:pPr>
          </w:p>
        </w:tc>
        <w:tc>
          <w:tcPr>
            <w:tcW w:w="2900" w:type="dxa"/>
            <w:vAlign w:val="bottom"/>
            <w:tcBorders>
              <w:top w:val="single" w:sz="8" w:color="D9D9D6"/>
            </w:tcBorders>
            <w:shd w:val="clear" w:color="auto" w:fill="D9D9D6"/>
          </w:tcPr>
          <w:p>
            <w:pPr>
              <w:spacing w:after="0"/>
              <w:rPr>
                <w:sz w:val="20"/>
                <w:szCs w:val="20"/>
                <w:color w:val="auto"/>
              </w:rPr>
            </w:pPr>
          </w:p>
        </w:tc>
        <w:tc>
          <w:tcPr>
            <w:tcW w:w="58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D9D9D6"/>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580" w:type="dxa"/>
            <w:vAlign w:val="bottom"/>
            <w:tcBorders>
              <w:top w:val="single" w:sz="8" w:color="D9D9D6"/>
            </w:tcBorders>
            <w:shd w:val="clear" w:color="auto" w:fill="D9D9D6"/>
          </w:tcPr>
          <w:p>
            <w:pPr>
              <w:spacing w:after="0"/>
              <w:rPr>
                <w:sz w:val="20"/>
                <w:szCs w:val="20"/>
                <w:color w:val="auto"/>
              </w:rPr>
            </w:pPr>
          </w:p>
        </w:tc>
        <w:tc>
          <w:tcPr>
            <w:tcW w:w="60" w:type="dxa"/>
            <w:vAlign w:val="bottom"/>
            <w:tcBorders>
              <w:top w:val="single" w:sz="8" w:color="D9D9D6"/>
            </w:tcBorders>
            <w:shd w:val="clear" w:color="auto" w:fill="D9D9D6"/>
          </w:tcPr>
          <w:p>
            <w:pPr>
              <w:spacing w:after="0"/>
              <w:rPr>
                <w:sz w:val="20"/>
                <w:szCs w:val="20"/>
                <w:color w:val="auto"/>
              </w:rPr>
            </w:pPr>
          </w:p>
        </w:tc>
        <w:tc>
          <w:tcPr>
            <w:tcW w:w="260" w:type="dxa"/>
            <w:vAlign w:val="bottom"/>
            <w:tcBorders>
              <w:top w:val="single" w:sz="8" w:color="auto"/>
            </w:tcBorders>
            <w:shd w:val="clear" w:color="auto" w:fill="D9D9D6"/>
          </w:tcPr>
          <w:p>
            <w:pPr>
              <w:spacing w:after="0"/>
              <w:rPr>
                <w:sz w:val="20"/>
                <w:szCs w:val="20"/>
                <w:color w:val="auto"/>
              </w:rPr>
            </w:pPr>
          </w:p>
        </w:tc>
        <w:tc>
          <w:tcPr>
            <w:tcW w:w="20" w:type="dxa"/>
            <w:vAlign w:val="bottom"/>
            <w:tcBorders>
              <w:top w:val="single" w:sz="8" w:color="auto"/>
            </w:tcBorders>
            <w:shd w:val="clear" w:color="auto" w:fill="D9D9D6"/>
          </w:tcPr>
          <w:p>
            <w:pPr>
              <w:spacing w:after="0"/>
              <w:rPr>
                <w:sz w:val="20"/>
                <w:szCs w:val="20"/>
                <w:color w:val="auto"/>
              </w:rPr>
            </w:pPr>
          </w:p>
        </w:tc>
        <w:tc>
          <w:tcPr>
            <w:tcW w:w="460" w:type="dxa"/>
            <w:vAlign w:val="bottom"/>
            <w:tcBorders>
              <w:top w:val="single" w:sz="8" w:color="auto"/>
            </w:tcBorders>
            <w:shd w:val="clear" w:color="auto" w:fill="D9D9D6"/>
          </w:tcPr>
          <w:p>
            <w:pPr>
              <w:spacing w:after="0"/>
              <w:rPr>
                <w:sz w:val="20"/>
                <w:szCs w:val="20"/>
                <w:color w:val="auto"/>
              </w:rPr>
            </w:pPr>
          </w:p>
        </w:tc>
        <w:tc>
          <w:tcPr>
            <w:tcW w:w="20" w:type="dxa"/>
            <w:vAlign w:val="bottom"/>
            <w:tcBorders>
              <w:top w:val="single" w:sz="8" w:color="auto"/>
            </w:tcBorders>
            <w:shd w:val="clear" w:color="auto" w:fill="D9D9D6"/>
          </w:tcPr>
          <w:p>
            <w:pPr>
              <w:spacing w:after="0"/>
              <w:rPr>
                <w:sz w:val="20"/>
                <w:szCs w:val="20"/>
                <w:color w:val="auto"/>
              </w:rPr>
            </w:pPr>
          </w:p>
        </w:tc>
        <w:tc>
          <w:tcPr>
            <w:tcW w:w="300" w:type="dxa"/>
            <w:vAlign w:val="bottom"/>
            <w:tcBorders>
              <w:top w:val="single" w:sz="8" w:color="D9D9D6"/>
            </w:tcBorders>
            <w:shd w:val="clear" w:color="auto" w:fill="D9D9D6"/>
          </w:tcPr>
          <w:p>
            <w:pPr>
              <w:spacing w:after="0"/>
              <w:rPr>
                <w:sz w:val="20"/>
                <w:szCs w:val="20"/>
                <w:color w:val="auto"/>
              </w:rPr>
            </w:pPr>
          </w:p>
        </w:tc>
        <w:tc>
          <w:tcPr>
            <w:tcW w:w="180" w:type="dxa"/>
            <w:vAlign w:val="bottom"/>
            <w:tcBorders>
              <w:top w:val="single" w:sz="8" w:color="D9D9D6"/>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1060" w:type="dxa"/>
            <w:vAlign w:val="bottom"/>
            <w:tcBorders>
              <w:top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40" w:type="dxa"/>
            <w:vAlign w:val="bottom"/>
            <w:tcBorders>
              <w:top w:val="single" w:sz="8" w:color="D9D9D6"/>
              <w:right w:val="single" w:sz="8" w:color="97999B"/>
            </w:tcBorders>
            <w:shd w:val="clear" w:color="auto" w:fill="D9D9D6"/>
          </w:tcPr>
          <w:p>
            <w:pPr>
              <w:spacing w:after="0"/>
              <w:rPr>
                <w:sz w:val="20"/>
                <w:szCs w:val="20"/>
                <w:color w:val="auto"/>
              </w:rPr>
            </w:pPr>
          </w:p>
        </w:tc>
        <w:tc>
          <w:tcPr>
            <w:tcW w:w="100" w:type="dxa"/>
            <w:vAlign w:val="bottom"/>
            <w:tcBorders>
              <w:top w:val="single" w:sz="8" w:color="D9D9D6"/>
            </w:tcBorders>
            <w:shd w:val="clear" w:color="auto" w:fill="D9D9D6"/>
          </w:tcPr>
          <w:p>
            <w:pPr>
              <w:spacing w:after="0"/>
              <w:rPr>
                <w:sz w:val="20"/>
                <w:szCs w:val="20"/>
                <w:color w:val="auto"/>
              </w:rPr>
            </w:pPr>
          </w:p>
        </w:tc>
        <w:tc>
          <w:tcPr>
            <w:tcW w:w="64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D9D9D6"/>
            </w:tcBorders>
            <w:shd w:val="clear" w:color="auto" w:fill="D9D9D6"/>
          </w:tcPr>
          <w:p>
            <w:pPr>
              <w:spacing w:after="0"/>
              <w:rPr>
                <w:sz w:val="20"/>
                <w:szCs w:val="20"/>
                <w:color w:val="auto"/>
              </w:rPr>
            </w:pPr>
          </w:p>
        </w:tc>
        <w:tc>
          <w:tcPr>
            <w:tcW w:w="240" w:type="dxa"/>
            <w:vAlign w:val="bottom"/>
            <w:tcBorders>
              <w:top w:val="single" w:sz="8" w:color="D9D9D6"/>
            </w:tcBorders>
            <w:shd w:val="clear" w:color="auto" w:fill="D9D9D6"/>
          </w:tcPr>
          <w:p>
            <w:pPr>
              <w:spacing w:after="0"/>
              <w:rPr>
                <w:sz w:val="20"/>
                <w:szCs w:val="20"/>
                <w:color w:val="auto"/>
              </w:rPr>
            </w:pPr>
          </w:p>
        </w:tc>
        <w:tc>
          <w:tcPr>
            <w:tcW w:w="380" w:type="dxa"/>
            <w:vAlign w:val="bottom"/>
            <w:tcBorders>
              <w:top w:val="single" w:sz="8" w:color="D9D9D6"/>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300" w:type="dxa"/>
            <w:vAlign w:val="bottom"/>
            <w:tcBorders>
              <w:top w:val="single" w:sz="8" w:color="auto"/>
            </w:tcBorders>
            <w:shd w:val="clear" w:color="auto" w:fill="D9D9D6"/>
          </w:tcPr>
          <w:p>
            <w:pPr>
              <w:spacing w:after="0"/>
              <w:rPr>
                <w:sz w:val="20"/>
                <w:szCs w:val="20"/>
                <w:color w:val="auto"/>
              </w:rPr>
            </w:pPr>
          </w:p>
        </w:tc>
        <w:tc>
          <w:tcPr>
            <w:tcW w:w="220" w:type="dxa"/>
            <w:vAlign w:val="bottom"/>
            <w:tcBorders>
              <w:top w:val="single" w:sz="8" w:color="auto"/>
            </w:tcBorders>
            <w:shd w:val="clear" w:color="auto" w:fill="D9D9D6"/>
          </w:tcPr>
          <w:p>
            <w:pPr>
              <w:spacing w:after="0"/>
              <w:rPr>
                <w:sz w:val="20"/>
                <w:szCs w:val="20"/>
                <w:color w:val="auto"/>
              </w:rPr>
            </w:pPr>
          </w:p>
        </w:tc>
        <w:tc>
          <w:tcPr>
            <w:tcW w:w="280" w:type="dxa"/>
            <w:vAlign w:val="bottom"/>
            <w:tcBorders>
              <w:top w:val="single" w:sz="8" w:color="auto"/>
            </w:tcBorders>
            <w:shd w:val="clear" w:color="auto" w:fill="D9D9D6"/>
          </w:tcPr>
          <w:p>
            <w:pPr>
              <w:spacing w:after="0"/>
              <w:rPr>
                <w:sz w:val="20"/>
                <w:szCs w:val="20"/>
                <w:color w:val="auto"/>
              </w:rPr>
            </w:pPr>
          </w:p>
        </w:tc>
        <w:tc>
          <w:tcPr>
            <w:tcW w:w="20" w:type="dxa"/>
            <w:vAlign w:val="bottom"/>
            <w:tcBorders>
              <w:top w:val="single" w:sz="8" w:color="auto"/>
            </w:tcBorders>
            <w:shd w:val="clear" w:color="auto" w:fill="D9D9D6"/>
          </w:tcPr>
          <w:p>
            <w:pPr>
              <w:spacing w:after="0"/>
              <w:rPr>
                <w:sz w:val="20"/>
                <w:szCs w:val="20"/>
                <w:color w:val="auto"/>
              </w:rPr>
            </w:pPr>
          </w:p>
        </w:tc>
        <w:tc>
          <w:tcPr>
            <w:tcW w:w="480" w:type="dxa"/>
            <w:vAlign w:val="bottom"/>
            <w:tcBorders>
              <w:top w:val="single" w:sz="8" w:color="D9D9D6"/>
            </w:tcBorders>
            <w:shd w:val="clear" w:color="auto" w:fill="D9D9D6"/>
          </w:tcPr>
          <w:p>
            <w:pPr>
              <w:spacing w:after="0"/>
              <w:rPr>
                <w:sz w:val="20"/>
                <w:szCs w:val="20"/>
                <w:color w:val="auto"/>
              </w:rPr>
            </w:pPr>
          </w:p>
        </w:tc>
        <w:tc>
          <w:tcPr>
            <w:tcW w:w="220" w:type="dxa"/>
            <w:vAlign w:val="bottom"/>
            <w:tcBorders>
              <w:top w:val="single" w:sz="8" w:color="D9D9D6"/>
            </w:tcBorders>
            <w:shd w:val="clear" w:color="auto" w:fill="D9D9D6"/>
          </w:tcPr>
          <w:p>
            <w:pPr>
              <w:spacing w:after="0"/>
              <w:rPr>
                <w:sz w:val="20"/>
                <w:szCs w:val="20"/>
                <w:color w:val="auto"/>
              </w:rPr>
            </w:pPr>
          </w:p>
        </w:tc>
        <w:tc>
          <w:tcPr>
            <w:tcW w:w="980" w:type="dxa"/>
            <w:vAlign w:val="bottom"/>
            <w:tcBorders>
              <w:top w:val="single" w:sz="8" w:color="D9D9D6"/>
            </w:tcBorders>
            <w:gridSpan w:val="4"/>
            <w:shd w:val="clear" w:color="auto" w:fill="D9D9D6"/>
          </w:tcPr>
          <w:p>
            <w:pPr>
              <w:jc w:val="right"/>
              <w:ind w:right="18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35"/>
        </w:trPr>
        <w:tc>
          <w:tcPr>
            <w:tcW w:w="120" w:type="dxa"/>
            <w:vAlign w:val="bottom"/>
            <w:shd w:val="clear" w:color="auto" w:fill="D9D9D6"/>
          </w:tcPr>
          <w:p>
            <w:pPr>
              <w:spacing w:after="0"/>
              <w:rPr>
                <w:sz w:val="11"/>
                <w:szCs w:val="11"/>
                <w:color w:val="auto"/>
              </w:rPr>
            </w:pPr>
          </w:p>
        </w:tc>
        <w:tc>
          <w:tcPr>
            <w:tcW w:w="2900" w:type="dxa"/>
            <w:vAlign w:val="bottom"/>
            <w:shd w:val="clear" w:color="auto" w:fill="D9D9D6"/>
          </w:tcPr>
          <w:p>
            <w:pPr>
              <w:spacing w:after="0"/>
              <w:rPr>
                <w:sz w:val="11"/>
                <w:szCs w:val="11"/>
                <w:color w:val="auto"/>
              </w:rPr>
            </w:pPr>
          </w:p>
        </w:tc>
        <w:tc>
          <w:tcPr>
            <w:tcW w:w="92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92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460" w:type="dxa"/>
            <w:vAlign w:val="bottom"/>
            <w:shd w:val="clear" w:color="auto" w:fill="D9D9D6"/>
          </w:tcPr>
          <w:p>
            <w:pPr>
              <w:spacing w:after="0"/>
              <w:rPr>
                <w:sz w:val="11"/>
                <w:szCs w:val="11"/>
                <w:color w:val="auto"/>
              </w:rPr>
            </w:pPr>
          </w:p>
        </w:tc>
        <w:tc>
          <w:tcPr>
            <w:tcW w:w="520" w:type="dxa"/>
            <w:vAlign w:val="bottom"/>
            <w:gridSpan w:val="4"/>
            <w:vMerge w:val="restart"/>
            <w:shd w:val="clear" w:color="auto" w:fill="D9D9D6"/>
          </w:tcPr>
          <w:p>
            <w:pPr>
              <w:spacing w:after="0"/>
              <w:rPr>
                <w:sz w:val="20"/>
                <w:szCs w:val="20"/>
                <w:color w:val="auto"/>
              </w:rPr>
            </w:pPr>
            <w:r>
              <w:rPr>
                <w:rFonts w:ascii="Arial" w:cs="Arial" w:eastAsia="Arial" w:hAnsi="Arial"/>
                <w:sz w:val="14"/>
                <w:szCs w:val="14"/>
                <w:color w:val="auto"/>
              </w:rPr>
              <w:t>Change</w:t>
            </w:r>
          </w:p>
        </w:tc>
        <w:tc>
          <w:tcPr>
            <w:tcW w:w="1060" w:type="dxa"/>
            <w:vAlign w:val="bottom"/>
            <w:gridSpan w:val="4"/>
            <w:shd w:val="clear" w:color="auto" w:fill="D9D9D6"/>
          </w:tcPr>
          <w:p>
            <w:pPr>
              <w:jc w:val="right"/>
              <w:ind w:right="60"/>
              <w:spacing w:after="0" w:line="135" w:lineRule="exact"/>
              <w:rPr>
                <w:sz w:val="20"/>
                <w:szCs w:val="20"/>
                <w:color w:val="auto"/>
              </w:rPr>
            </w:pPr>
            <w:r>
              <w:rPr>
                <w:rFonts w:ascii="Arial" w:cs="Arial" w:eastAsia="Arial" w:hAnsi="Arial"/>
                <w:sz w:val="14"/>
                <w:szCs w:val="14"/>
                <w:color w:val="auto"/>
              </w:rPr>
              <w:t>Currency</w:t>
            </w:r>
          </w:p>
        </w:tc>
        <w:tc>
          <w:tcPr>
            <w:tcW w:w="140" w:type="dxa"/>
            <w:vAlign w:val="bottom"/>
            <w:tcBorders>
              <w:right w:val="single" w:sz="8" w:color="97999B"/>
            </w:tcBorders>
            <w:shd w:val="clear" w:color="auto" w:fill="D9D9D6"/>
          </w:tcPr>
          <w:p>
            <w:pPr>
              <w:spacing w:after="0"/>
              <w:rPr>
                <w:sz w:val="11"/>
                <w:szCs w:val="11"/>
                <w:color w:val="auto"/>
              </w:rPr>
            </w:pPr>
          </w:p>
        </w:tc>
        <w:tc>
          <w:tcPr>
            <w:tcW w:w="1300" w:type="dxa"/>
            <w:vAlign w:val="bottom"/>
            <w:gridSpan w:val="4"/>
            <w:vMerge w:val="restart"/>
            <w:shd w:val="clear" w:color="auto" w:fill="D9D9D6"/>
          </w:tcPr>
          <w:p>
            <w:pPr>
              <w:jc w:val="right"/>
              <w:ind w:right="240"/>
              <w:spacing w:after="0"/>
              <w:rPr>
                <w:sz w:val="20"/>
                <w:szCs w:val="20"/>
                <w:color w:val="auto"/>
              </w:rPr>
            </w:pPr>
            <w:r>
              <w:rPr>
                <w:rFonts w:ascii="Arial" w:cs="Arial" w:eastAsia="Arial" w:hAnsi="Arial"/>
                <w:sz w:val="14"/>
                <w:szCs w:val="14"/>
                <w:color w:val="auto"/>
              </w:rPr>
              <w:t>2021</w:t>
            </w:r>
          </w:p>
        </w:tc>
        <w:tc>
          <w:tcPr>
            <w:tcW w:w="920" w:type="dxa"/>
            <w:vAlign w:val="bottom"/>
            <w:gridSpan w:val="4"/>
            <w:vMerge w:val="restart"/>
            <w:shd w:val="clear" w:color="auto" w:fill="D9D9D6"/>
          </w:tcPr>
          <w:p>
            <w:pPr>
              <w:jc w:val="right"/>
              <w:ind w:right="220"/>
              <w:spacing w:after="0"/>
              <w:rPr>
                <w:sz w:val="20"/>
                <w:szCs w:val="20"/>
                <w:color w:val="auto"/>
              </w:rPr>
            </w:pPr>
            <w:r>
              <w:rPr>
                <w:rFonts w:ascii="Arial" w:cs="Arial" w:eastAsia="Arial" w:hAnsi="Arial"/>
                <w:sz w:val="14"/>
                <w:szCs w:val="14"/>
                <w:color w:val="auto"/>
              </w:rPr>
              <w:t>2020</w:t>
            </w:r>
          </w:p>
        </w:tc>
        <w:tc>
          <w:tcPr>
            <w:tcW w:w="280" w:type="dxa"/>
            <w:vAlign w:val="bottom"/>
            <w:shd w:val="clear" w:color="auto" w:fill="D9D9D6"/>
          </w:tcPr>
          <w:p>
            <w:pPr>
              <w:spacing w:after="0"/>
              <w:rPr>
                <w:sz w:val="11"/>
                <w:szCs w:val="11"/>
                <w:color w:val="auto"/>
              </w:rPr>
            </w:pPr>
          </w:p>
        </w:tc>
        <w:tc>
          <w:tcPr>
            <w:tcW w:w="720" w:type="dxa"/>
            <w:vAlign w:val="bottom"/>
            <w:gridSpan w:val="3"/>
            <w:vMerge w:val="restart"/>
            <w:shd w:val="clear" w:color="auto" w:fill="D9D9D6"/>
          </w:tcPr>
          <w:p>
            <w:pPr>
              <w:spacing w:after="0"/>
              <w:rPr>
                <w:sz w:val="20"/>
                <w:szCs w:val="20"/>
                <w:color w:val="auto"/>
              </w:rPr>
            </w:pPr>
            <w:r>
              <w:rPr>
                <w:rFonts w:ascii="Arial" w:cs="Arial" w:eastAsia="Arial" w:hAnsi="Arial"/>
                <w:sz w:val="14"/>
                <w:szCs w:val="14"/>
                <w:color w:val="auto"/>
              </w:rPr>
              <w:t>Change</w:t>
            </w:r>
          </w:p>
        </w:tc>
        <w:tc>
          <w:tcPr>
            <w:tcW w:w="980" w:type="dxa"/>
            <w:vAlign w:val="bottom"/>
            <w:gridSpan w:val="4"/>
            <w:shd w:val="clear" w:color="auto" w:fill="D9D9D6"/>
          </w:tcPr>
          <w:p>
            <w:pPr>
              <w:jc w:val="right"/>
              <w:ind w:right="180"/>
              <w:spacing w:after="0" w:line="135"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44"/>
        </w:trPr>
        <w:tc>
          <w:tcPr>
            <w:tcW w:w="120" w:type="dxa"/>
            <w:vAlign w:val="bottom"/>
            <w:shd w:val="clear" w:color="auto" w:fill="D9D9D6"/>
          </w:tcPr>
          <w:p>
            <w:pPr>
              <w:spacing w:after="0"/>
              <w:rPr>
                <w:sz w:val="12"/>
                <w:szCs w:val="12"/>
                <w:color w:val="auto"/>
              </w:rPr>
            </w:pPr>
          </w:p>
        </w:tc>
        <w:tc>
          <w:tcPr>
            <w:tcW w:w="290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920" w:type="dxa"/>
            <w:vAlign w:val="bottom"/>
            <w:gridSpan w:val="3"/>
            <w:vMerge w:val="continue"/>
            <w:shd w:val="clear" w:color="auto" w:fill="D9D9D6"/>
          </w:tcPr>
          <w:p>
            <w:pPr>
              <w:spacing w:after="0"/>
              <w:rPr>
                <w:sz w:val="12"/>
                <w:szCs w:val="12"/>
                <w:color w:val="auto"/>
              </w:rPr>
            </w:pPr>
          </w:p>
        </w:tc>
        <w:tc>
          <w:tcPr>
            <w:tcW w:w="920" w:type="dxa"/>
            <w:vAlign w:val="bottom"/>
            <w:gridSpan w:val="4"/>
            <w:vMerge w:val="continue"/>
            <w:shd w:val="clear" w:color="auto" w:fill="D9D9D6"/>
          </w:tcPr>
          <w:p>
            <w:pPr>
              <w:spacing w:after="0"/>
              <w:rPr>
                <w:sz w:val="12"/>
                <w:szCs w:val="12"/>
                <w:color w:val="auto"/>
              </w:rPr>
            </w:pPr>
          </w:p>
        </w:tc>
        <w:tc>
          <w:tcPr>
            <w:tcW w:w="460" w:type="dxa"/>
            <w:vAlign w:val="bottom"/>
            <w:shd w:val="clear" w:color="auto" w:fill="D9D9D6"/>
          </w:tcPr>
          <w:p>
            <w:pPr>
              <w:spacing w:after="0"/>
              <w:rPr>
                <w:sz w:val="12"/>
                <w:szCs w:val="12"/>
                <w:color w:val="auto"/>
              </w:rPr>
            </w:pPr>
          </w:p>
        </w:tc>
        <w:tc>
          <w:tcPr>
            <w:tcW w:w="520" w:type="dxa"/>
            <w:vAlign w:val="bottom"/>
            <w:gridSpan w:val="4"/>
            <w:vMerge w:val="continue"/>
            <w:shd w:val="clear" w:color="auto" w:fill="D9D9D6"/>
          </w:tcPr>
          <w:p>
            <w:pPr>
              <w:spacing w:after="0"/>
              <w:rPr>
                <w:sz w:val="12"/>
                <w:szCs w:val="12"/>
                <w:color w:val="auto"/>
              </w:rPr>
            </w:pPr>
          </w:p>
        </w:tc>
        <w:tc>
          <w:tcPr>
            <w:tcW w:w="500" w:type="dxa"/>
            <w:vAlign w:val="bottom"/>
            <w:shd w:val="clear" w:color="auto" w:fill="D9D9D6"/>
          </w:tcPr>
          <w:p>
            <w:pPr>
              <w:spacing w:after="0"/>
              <w:rPr>
                <w:sz w:val="12"/>
                <w:szCs w:val="12"/>
                <w:color w:val="auto"/>
              </w:rPr>
            </w:pPr>
          </w:p>
        </w:tc>
        <w:tc>
          <w:tcPr>
            <w:tcW w:w="560" w:type="dxa"/>
            <w:vAlign w:val="bottom"/>
            <w:gridSpan w:val="3"/>
            <w:shd w:val="clear" w:color="auto" w:fill="D9D9D6"/>
          </w:tcPr>
          <w:p>
            <w:pPr>
              <w:jc w:val="right"/>
              <w:ind w:right="20"/>
              <w:spacing w:after="0" w:line="144" w:lineRule="exact"/>
              <w:rPr>
                <w:sz w:val="20"/>
                <w:szCs w:val="20"/>
                <w:color w:val="auto"/>
              </w:rPr>
            </w:pPr>
            <w:r>
              <w:rPr>
                <w:rFonts w:ascii="Arial" w:cs="Arial" w:eastAsia="Arial" w:hAnsi="Arial"/>
                <w:sz w:val="14"/>
                <w:szCs w:val="14"/>
                <w:color w:val="auto"/>
                <w:w w:val="96"/>
              </w:rPr>
              <w:t>Change</w:t>
            </w:r>
            <w:r>
              <w:rPr>
                <w:rFonts w:ascii="Arial" w:cs="Arial" w:eastAsia="Arial" w:hAnsi="Arial"/>
                <w:sz w:val="9"/>
                <w:szCs w:val="9"/>
                <w:u w:val="single" w:color="auto"/>
                <w:color w:val="auto"/>
                <w:w w:val="96"/>
              </w:rPr>
              <w:t>8</w:t>
            </w:r>
          </w:p>
        </w:tc>
        <w:tc>
          <w:tcPr>
            <w:tcW w:w="140" w:type="dxa"/>
            <w:vAlign w:val="bottom"/>
            <w:tcBorders>
              <w:right w:val="single" w:sz="8" w:color="97999B"/>
            </w:tcBorders>
            <w:shd w:val="clear" w:color="auto" w:fill="D9D9D6"/>
          </w:tcPr>
          <w:p>
            <w:pPr>
              <w:spacing w:after="0"/>
              <w:rPr>
                <w:sz w:val="12"/>
                <w:szCs w:val="12"/>
                <w:color w:val="auto"/>
              </w:rPr>
            </w:pPr>
          </w:p>
        </w:tc>
        <w:tc>
          <w:tcPr>
            <w:tcW w:w="1300" w:type="dxa"/>
            <w:vAlign w:val="bottom"/>
            <w:gridSpan w:val="4"/>
            <w:vMerge w:val="continue"/>
            <w:shd w:val="clear" w:color="auto" w:fill="D9D9D6"/>
          </w:tcPr>
          <w:p>
            <w:pPr>
              <w:spacing w:after="0"/>
              <w:rPr>
                <w:sz w:val="12"/>
                <w:szCs w:val="12"/>
                <w:color w:val="auto"/>
              </w:rPr>
            </w:pPr>
          </w:p>
        </w:tc>
        <w:tc>
          <w:tcPr>
            <w:tcW w:w="920" w:type="dxa"/>
            <w:vAlign w:val="bottom"/>
            <w:gridSpan w:val="4"/>
            <w:vMerge w:val="continue"/>
            <w:shd w:val="clear" w:color="auto" w:fill="D9D9D6"/>
          </w:tcPr>
          <w:p>
            <w:pPr>
              <w:spacing w:after="0"/>
              <w:rPr>
                <w:sz w:val="12"/>
                <w:szCs w:val="12"/>
                <w:color w:val="auto"/>
              </w:rPr>
            </w:pPr>
          </w:p>
        </w:tc>
        <w:tc>
          <w:tcPr>
            <w:tcW w:w="280" w:type="dxa"/>
            <w:vAlign w:val="bottom"/>
            <w:shd w:val="clear" w:color="auto" w:fill="D9D9D6"/>
          </w:tcPr>
          <w:p>
            <w:pPr>
              <w:spacing w:after="0"/>
              <w:rPr>
                <w:sz w:val="12"/>
                <w:szCs w:val="12"/>
                <w:color w:val="auto"/>
              </w:rPr>
            </w:pPr>
          </w:p>
        </w:tc>
        <w:tc>
          <w:tcPr>
            <w:tcW w:w="720" w:type="dxa"/>
            <w:vAlign w:val="bottom"/>
            <w:gridSpan w:val="3"/>
            <w:vMerge w:val="continue"/>
            <w:shd w:val="clear" w:color="auto" w:fill="D9D9D6"/>
          </w:tcPr>
          <w:p>
            <w:pPr>
              <w:spacing w:after="0"/>
              <w:rPr>
                <w:sz w:val="12"/>
                <w:szCs w:val="12"/>
                <w:color w:val="auto"/>
              </w:rPr>
            </w:pPr>
          </w:p>
        </w:tc>
        <w:tc>
          <w:tcPr>
            <w:tcW w:w="280" w:type="dxa"/>
            <w:vAlign w:val="bottom"/>
            <w:shd w:val="clear" w:color="auto" w:fill="D9D9D6"/>
          </w:tcPr>
          <w:p>
            <w:pPr>
              <w:spacing w:after="0"/>
              <w:rPr>
                <w:sz w:val="12"/>
                <w:szCs w:val="12"/>
                <w:color w:val="auto"/>
              </w:rPr>
            </w:pPr>
          </w:p>
        </w:tc>
        <w:tc>
          <w:tcPr>
            <w:tcW w:w="700" w:type="dxa"/>
            <w:vAlign w:val="bottom"/>
            <w:gridSpan w:val="3"/>
            <w:shd w:val="clear" w:color="auto" w:fill="D9D9D6"/>
          </w:tcPr>
          <w:p>
            <w:pPr>
              <w:spacing w:after="0" w:line="144" w:lineRule="exact"/>
              <w:rPr>
                <w:sz w:val="20"/>
                <w:szCs w:val="20"/>
                <w:color w:val="auto"/>
              </w:rPr>
            </w:pPr>
            <w:r>
              <w:rPr>
                <w:rFonts w:ascii="Arial" w:cs="Arial" w:eastAsia="Arial" w:hAnsi="Arial"/>
                <w:sz w:val="14"/>
                <w:szCs w:val="14"/>
                <w:color w:val="auto"/>
              </w:rPr>
              <w:t>Change</w:t>
            </w:r>
            <w:r>
              <w:rPr>
                <w:rFonts w:ascii="Arial" w:cs="Arial" w:eastAsia="Arial" w:hAnsi="Arial"/>
                <w:sz w:val="9"/>
                <w:szCs w:val="9"/>
                <w:u w:val="single" w:color="auto"/>
                <w:color w:val="auto"/>
              </w:rPr>
              <w:t>8</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2900" w:type="dxa"/>
            <w:vAlign w:val="bottom"/>
            <w:tcBorders>
              <w:top w:val="single" w:sz="8" w:color="D9D9D6"/>
            </w:tcBorders>
            <w:vMerge w:val="continue"/>
            <w:shd w:val="clear" w:color="auto" w:fill="D9D9D6"/>
          </w:tcPr>
          <w:p>
            <w:pPr>
              <w:spacing w:after="0"/>
              <w:rPr>
                <w:sz w:val="17"/>
                <w:szCs w:val="17"/>
                <w:color w:val="auto"/>
              </w:rPr>
            </w:pPr>
          </w:p>
        </w:tc>
        <w:tc>
          <w:tcPr>
            <w:tcW w:w="5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80" w:type="dxa"/>
            <w:vAlign w:val="bottom"/>
            <w:tcBorders>
              <w:top w:val="single" w:sz="8" w:color="D9D9D6"/>
            </w:tcBorders>
            <w:shd w:val="clear" w:color="auto" w:fill="D9D9D6"/>
          </w:tcPr>
          <w:p>
            <w:pPr>
              <w:spacing w:after="0"/>
              <w:rPr>
                <w:sz w:val="17"/>
                <w:szCs w:val="17"/>
                <w:color w:val="auto"/>
              </w:rPr>
            </w:pPr>
          </w:p>
        </w:tc>
        <w:tc>
          <w:tcPr>
            <w:tcW w:w="60" w:type="dxa"/>
            <w:vAlign w:val="bottom"/>
            <w:tcBorders>
              <w:top w:val="single" w:sz="8" w:color="auto"/>
            </w:tcBorders>
            <w:shd w:val="clear" w:color="auto" w:fill="D9D9D6"/>
          </w:tcPr>
          <w:p>
            <w:pPr>
              <w:spacing w:after="0"/>
              <w:rPr>
                <w:sz w:val="17"/>
                <w:szCs w:val="17"/>
                <w:color w:val="auto"/>
              </w:rPr>
            </w:pPr>
          </w:p>
        </w:tc>
        <w:tc>
          <w:tcPr>
            <w:tcW w:w="26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D9D9D6"/>
            </w:tcBorders>
            <w:shd w:val="clear" w:color="auto" w:fill="D9D9D6"/>
          </w:tcPr>
          <w:p>
            <w:pPr>
              <w:spacing w:after="0"/>
              <w:rPr>
                <w:sz w:val="17"/>
                <w:szCs w:val="17"/>
                <w:color w:val="auto"/>
              </w:rPr>
            </w:pPr>
          </w:p>
        </w:tc>
        <w:tc>
          <w:tcPr>
            <w:tcW w:w="20" w:type="dxa"/>
            <w:vAlign w:val="bottom"/>
            <w:tcBorders>
              <w:top w:val="single" w:sz="8" w:color="auto"/>
            </w:tcBorders>
            <w:shd w:val="clear" w:color="auto" w:fill="D9D9D6"/>
          </w:tcPr>
          <w:p>
            <w:pPr>
              <w:spacing w:after="0"/>
              <w:rPr>
                <w:sz w:val="17"/>
                <w:szCs w:val="17"/>
                <w:color w:val="auto"/>
              </w:rPr>
            </w:pPr>
          </w:p>
        </w:tc>
        <w:tc>
          <w:tcPr>
            <w:tcW w:w="30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140" w:type="dxa"/>
            <w:vAlign w:val="bottom"/>
            <w:tcBorders>
              <w:top w:val="single" w:sz="8" w:color="auto"/>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140" w:type="dxa"/>
            <w:vAlign w:val="bottom"/>
            <w:tcBorders>
              <w:top w:val="single" w:sz="8" w:color="D9D9D6"/>
              <w:right w:val="single" w:sz="8" w:color="97999B"/>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6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40" w:type="dxa"/>
            <w:vAlign w:val="bottom"/>
            <w:tcBorders>
              <w:top w:val="single" w:sz="8" w:color="D9D9D6"/>
            </w:tcBorders>
            <w:shd w:val="clear" w:color="auto" w:fill="D9D9D6"/>
          </w:tcPr>
          <w:p>
            <w:pPr>
              <w:spacing w:after="0"/>
              <w:rPr>
                <w:sz w:val="17"/>
                <w:szCs w:val="17"/>
                <w:color w:val="auto"/>
              </w:rPr>
            </w:pPr>
          </w:p>
        </w:tc>
        <w:tc>
          <w:tcPr>
            <w:tcW w:w="380" w:type="dxa"/>
            <w:vAlign w:val="bottom"/>
            <w:tcBorders>
              <w:top w:val="single" w:sz="8" w:color="D9D9D6"/>
            </w:tcBorders>
            <w:shd w:val="clear" w:color="auto" w:fill="D9D9D6"/>
          </w:tcPr>
          <w:p>
            <w:pPr>
              <w:spacing w:after="0"/>
              <w:rPr>
                <w:sz w:val="17"/>
                <w:szCs w:val="17"/>
                <w:color w:val="auto"/>
              </w:rPr>
            </w:pPr>
          </w:p>
        </w:tc>
        <w:tc>
          <w:tcPr>
            <w:tcW w:w="20" w:type="dxa"/>
            <w:vAlign w:val="bottom"/>
            <w:tcBorders>
              <w:top w:val="single" w:sz="8" w:color="auto"/>
            </w:tcBorders>
            <w:shd w:val="clear" w:color="auto" w:fill="D9D9D6"/>
          </w:tcPr>
          <w:p>
            <w:pPr>
              <w:spacing w:after="0"/>
              <w:rPr>
                <w:sz w:val="17"/>
                <w:szCs w:val="17"/>
                <w:color w:val="auto"/>
              </w:rPr>
            </w:pPr>
          </w:p>
        </w:tc>
        <w:tc>
          <w:tcPr>
            <w:tcW w:w="300" w:type="dxa"/>
            <w:vAlign w:val="bottom"/>
            <w:tcBorders>
              <w:top w:val="single" w:sz="8" w:color="auto"/>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280" w:type="dxa"/>
            <w:vAlign w:val="bottom"/>
            <w:tcBorders>
              <w:top w:val="single" w:sz="8" w:color="D9D9D6"/>
            </w:tcBorders>
            <w:shd w:val="clear" w:color="auto" w:fill="D9D9D6"/>
          </w:tcPr>
          <w:p>
            <w:pPr>
              <w:spacing w:after="0"/>
              <w:rPr>
                <w:sz w:val="17"/>
                <w:szCs w:val="17"/>
                <w:color w:val="auto"/>
              </w:rPr>
            </w:pPr>
          </w:p>
        </w:tc>
        <w:tc>
          <w:tcPr>
            <w:tcW w:w="20" w:type="dxa"/>
            <w:vAlign w:val="bottom"/>
            <w:tcBorders>
              <w:top w:val="single" w:sz="8" w:color="auto"/>
            </w:tcBorders>
            <w:shd w:val="clear" w:color="auto" w:fill="D9D9D6"/>
          </w:tcPr>
          <w:p>
            <w:pPr>
              <w:spacing w:after="0"/>
              <w:rPr>
                <w:sz w:val="17"/>
                <w:szCs w:val="17"/>
                <w:color w:val="auto"/>
              </w:rPr>
            </w:pPr>
          </w:p>
        </w:tc>
        <w:tc>
          <w:tcPr>
            <w:tcW w:w="480" w:type="dxa"/>
            <w:vAlign w:val="bottom"/>
            <w:tcBorders>
              <w:top w:val="single" w:sz="8" w:color="auto"/>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28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auto"/>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9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Direct-to-Consumer</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$4,222</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$3,524</w:t>
            </w: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19.9</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D9D9D6"/>
          </w:tcPr>
          <w:p>
            <w:pPr>
              <w:spacing w:after="0"/>
              <w:rPr>
                <w:sz w:val="16"/>
                <w:szCs w:val="16"/>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7.7 %</w:t>
            </w:r>
          </w:p>
        </w:tc>
        <w:tc>
          <w:tcPr>
            <w:tcW w:w="60" w:type="dxa"/>
            <w:vAlign w:val="bottom"/>
            <w:shd w:val="clear" w:color="auto" w:fill="D9D9D6"/>
          </w:tcPr>
          <w:p>
            <w:pPr>
              <w:spacing w:after="0"/>
              <w:rPr>
                <w:sz w:val="16"/>
                <w:szCs w:val="16"/>
                <w:color w:val="auto"/>
              </w:rPr>
            </w:pPr>
          </w:p>
        </w:tc>
        <w:tc>
          <w:tcPr>
            <w:tcW w:w="14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color w:val="auto"/>
              </w:rPr>
              <w:t>$8,288</w:t>
            </w:r>
          </w:p>
        </w:tc>
        <w:tc>
          <w:tcPr>
            <w:tcW w:w="92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$7,203</w:t>
            </w:r>
          </w:p>
        </w:tc>
        <w:tc>
          <w:tcPr>
            <w:tcW w:w="7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15.1 %</w:t>
            </w:r>
          </w:p>
        </w:tc>
        <w:tc>
          <w:tcPr>
            <w:tcW w:w="22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4.7 %</w:t>
            </w: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9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355</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234</w:t>
            </w: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51.6</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D9D9D6"/>
          </w:tcPr>
          <w:p>
            <w:pPr>
              <w:spacing w:after="0"/>
              <w:rPr>
                <w:sz w:val="16"/>
                <w:szCs w:val="16"/>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36.1 %</w:t>
            </w:r>
          </w:p>
        </w:tc>
        <w:tc>
          <w:tcPr>
            <w:tcW w:w="60" w:type="dxa"/>
            <w:vAlign w:val="bottom"/>
            <w:shd w:val="clear" w:color="auto" w:fill="D9D9D6"/>
          </w:tcPr>
          <w:p>
            <w:pPr>
              <w:spacing w:after="0"/>
              <w:rPr>
                <w:sz w:val="16"/>
                <w:szCs w:val="16"/>
                <w:color w:val="auto"/>
              </w:rPr>
            </w:pPr>
          </w:p>
        </w:tc>
        <w:tc>
          <w:tcPr>
            <w:tcW w:w="14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color w:val="auto"/>
              </w:rPr>
              <w:t>713</w:t>
            </w:r>
          </w:p>
        </w:tc>
        <w:tc>
          <w:tcPr>
            <w:tcW w:w="92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559</w:t>
            </w:r>
          </w:p>
        </w:tc>
        <w:tc>
          <w:tcPr>
            <w:tcW w:w="7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27.6 %</w:t>
            </w:r>
          </w:p>
        </w:tc>
        <w:tc>
          <w:tcPr>
            <w:tcW w:w="22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16.3 %</w:t>
            </w: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29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9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643</w:t>
            </w:r>
          </w:p>
        </w:tc>
        <w:tc>
          <w:tcPr>
            <w:tcW w:w="9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321</w:t>
            </w:r>
          </w:p>
        </w:tc>
        <w:tc>
          <w:tcPr>
            <w:tcW w:w="7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99.8</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78.8</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tcBorders>
              <w:bottom w:val="single" w:sz="8" w:color="auto"/>
            </w:tcBorders>
            <w:shd w:val="clear" w:color="auto" w:fill="D9D9D6"/>
          </w:tcPr>
          <w:p>
            <w:pPr>
              <w:spacing w:after="0"/>
              <w:rPr>
                <w:sz w:val="16"/>
                <w:szCs w:val="16"/>
                <w:color w:val="auto"/>
              </w:rPr>
            </w:pPr>
          </w:p>
        </w:tc>
        <w:tc>
          <w:tcPr>
            <w:tcW w:w="140" w:type="dxa"/>
            <w:vAlign w:val="bottom"/>
            <w:tcBorders>
              <w:bottom w:val="single" w:sz="8" w:color="D9D9D6"/>
              <w:right w:val="single" w:sz="8" w:color="97999B"/>
            </w:tcBorders>
            <w:shd w:val="clear" w:color="auto" w:fill="D9D9D6"/>
          </w:tcPr>
          <w:p>
            <w:pPr>
              <w:spacing w:after="0"/>
              <w:rPr>
                <w:sz w:val="16"/>
                <w:szCs w:val="16"/>
                <w:color w:val="auto"/>
              </w:rPr>
            </w:pPr>
          </w:p>
        </w:tc>
        <w:tc>
          <w:tcPr>
            <w:tcW w:w="100" w:type="dxa"/>
            <w:vAlign w:val="bottom"/>
            <w:tcBorders>
              <w:bottom w:val="single" w:sz="8" w:color="D9D9D6"/>
            </w:tcBorders>
            <w:shd w:val="clear" w:color="auto" w:fill="D9D9D6"/>
          </w:tcPr>
          <w:p>
            <w:pPr>
              <w:spacing w:after="0"/>
              <w:rPr>
                <w:sz w:val="16"/>
                <w:szCs w:val="16"/>
                <w:color w:val="auto"/>
              </w:rPr>
            </w:pPr>
          </w:p>
        </w:tc>
        <w:tc>
          <w:tcPr>
            <w:tcW w:w="1200" w:type="dxa"/>
            <w:vAlign w:val="bottom"/>
            <w:tcBorders>
              <w:bottom w:val="single" w:sz="8" w:color="auto"/>
            </w:tcBorders>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1,216</w:t>
            </w:r>
          </w:p>
        </w:tc>
        <w:tc>
          <w:tcPr>
            <w:tcW w:w="920" w:type="dxa"/>
            <w:vAlign w:val="bottom"/>
            <w:tcBorders>
              <w:bottom w:val="single" w:sz="8" w:color="auto"/>
            </w:tcBorders>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834</w:t>
            </w:r>
          </w:p>
        </w:tc>
        <w:tc>
          <w:tcPr>
            <w:tcW w:w="7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45.8 %</w:t>
            </w:r>
          </w:p>
        </w:tc>
        <w:tc>
          <w:tcPr>
            <w:tcW w:w="220" w:type="dxa"/>
            <w:vAlign w:val="bottom"/>
            <w:tcBorders>
              <w:bottom w:val="single" w:sz="8" w:color="auto"/>
            </w:tcBorders>
            <w:shd w:val="clear" w:color="auto" w:fill="D9D9D6"/>
          </w:tcPr>
          <w:p>
            <w:pPr>
              <w:spacing w:after="0"/>
              <w:rPr>
                <w:sz w:val="16"/>
                <w:szCs w:val="16"/>
                <w:color w:val="auto"/>
              </w:rPr>
            </w:pPr>
          </w:p>
        </w:tc>
        <w:tc>
          <w:tcPr>
            <w:tcW w:w="7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33.0 %</w:t>
            </w:r>
          </w:p>
        </w:tc>
        <w:tc>
          <w:tcPr>
            <w:tcW w:w="8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29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$5,220</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$4,079</w:t>
            </w: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28.0</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14.9</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60" w:type="dxa"/>
            <w:vAlign w:val="bottom"/>
            <w:shd w:val="clear" w:color="auto" w:fill="D9D9D6"/>
          </w:tcPr>
          <w:p>
            <w:pPr>
              <w:spacing w:after="0"/>
              <w:rPr>
                <w:sz w:val="15"/>
                <w:szCs w:val="15"/>
                <w:color w:val="auto"/>
              </w:rPr>
            </w:pPr>
          </w:p>
        </w:tc>
        <w:tc>
          <w:tcPr>
            <w:tcW w:w="140" w:type="dxa"/>
            <w:vAlign w:val="bottom"/>
            <w:tcBorders>
              <w:right w:val="single" w:sz="8" w:color="97999B"/>
            </w:tcBorders>
            <w:shd w:val="clear" w:color="auto" w:fill="D9D9D6"/>
          </w:tcPr>
          <w:p>
            <w:pPr>
              <w:spacing w:after="0"/>
              <w:rPr>
                <w:sz w:val="15"/>
                <w:szCs w:val="15"/>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b w:val="1"/>
                <w:bCs w:val="1"/>
                <w:color w:val="auto"/>
              </w:rPr>
              <w:t>$10,217</w:t>
            </w:r>
          </w:p>
        </w:tc>
        <w:tc>
          <w:tcPr>
            <w:tcW w:w="92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$8,596</w:t>
            </w:r>
          </w:p>
        </w:tc>
        <w:tc>
          <w:tcPr>
            <w:tcW w:w="7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18.9 %</w:t>
            </w:r>
          </w:p>
        </w:tc>
        <w:tc>
          <w:tcPr>
            <w:tcW w:w="220" w:type="dxa"/>
            <w:vAlign w:val="bottom"/>
            <w:shd w:val="clear" w:color="auto" w:fill="D9D9D6"/>
          </w:tcPr>
          <w:p>
            <w:pPr>
              <w:spacing w:after="0"/>
              <w:rPr>
                <w:sz w:val="15"/>
                <w:szCs w:val="15"/>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8.2 %</w:t>
            </w:r>
          </w:p>
        </w:tc>
        <w:tc>
          <w:tcPr>
            <w:tcW w:w="8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29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Operating Costs and Expenses</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$4,660</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$3,330</w:t>
            </w: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40.0 %</w:t>
            </w:r>
          </w:p>
        </w:tc>
        <w:tc>
          <w:tcPr>
            <w:tcW w:w="20" w:type="dxa"/>
            <w:vAlign w:val="bottom"/>
            <w:shd w:val="clear" w:color="auto" w:fill="D9D9D6"/>
          </w:tcPr>
          <w:p>
            <w:pPr>
              <w:spacing w:after="0"/>
              <w:rPr>
                <w:sz w:val="24"/>
                <w:szCs w:val="24"/>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25.5 %</w:t>
            </w:r>
          </w:p>
        </w:tc>
        <w:tc>
          <w:tcPr>
            <w:tcW w:w="60" w:type="dxa"/>
            <w:vAlign w:val="bottom"/>
            <w:shd w:val="clear" w:color="auto" w:fill="D9D9D6"/>
          </w:tcPr>
          <w:p>
            <w:pPr>
              <w:spacing w:after="0"/>
              <w:rPr>
                <w:sz w:val="24"/>
                <w:szCs w:val="24"/>
                <w:color w:val="auto"/>
              </w:rPr>
            </w:pPr>
          </w:p>
        </w:tc>
        <w:tc>
          <w:tcPr>
            <w:tcW w:w="140" w:type="dxa"/>
            <w:vAlign w:val="bottom"/>
            <w:tcBorders>
              <w:right w:val="single" w:sz="8" w:color="97999B"/>
            </w:tcBorders>
            <w:shd w:val="clear" w:color="auto" w:fill="D9D9D6"/>
          </w:tcPr>
          <w:p>
            <w:pPr>
              <w:spacing w:after="0"/>
              <w:rPr>
                <w:sz w:val="24"/>
                <w:szCs w:val="24"/>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b w:val="1"/>
                <w:bCs w:val="1"/>
                <w:color w:val="auto"/>
              </w:rPr>
              <w:t>$9,294</w:t>
            </w:r>
          </w:p>
        </w:tc>
        <w:tc>
          <w:tcPr>
            <w:tcW w:w="92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$7,296</w:t>
            </w:r>
          </w:p>
        </w:tc>
        <w:tc>
          <w:tcPr>
            <w:tcW w:w="7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27.4 %</w:t>
            </w:r>
          </w:p>
        </w:tc>
        <w:tc>
          <w:tcPr>
            <w:tcW w:w="220" w:type="dxa"/>
            <w:vAlign w:val="bottom"/>
            <w:shd w:val="clear" w:color="auto" w:fill="D9D9D6"/>
          </w:tcPr>
          <w:p>
            <w:pPr>
              <w:spacing w:after="0"/>
              <w:rPr>
                <w:sz w:val="24"/>
                <w:szCs w:val="24"/>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16.0 %</w:t>
            </w:r>
          </w:p>
        </w:tc>
        <w:tc>
          <w:tcPr>
            <w:tcW w:w="8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29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Adjusted EBITDA</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$560</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$749</w:t>
            </w: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(25.3 %)</w:t>
            </w:r>
          </w:p>
        </w:tc>
        <w:tc>
          <w:tcPr>
            <w:tcW w:w="20" w:type="dxa"/>
            <w:vAlign w:val="bottom"/>
            <w:shd w:val="clear" w:color="auto" w:fill="D9D9D6"/>
          </w:tcPr>
          <w:p>
            <w:pPr>
              <w:spacing w:after="0"/>
              <w:rPr>
                <w:sz w:val="24"/>
                <w:szCs w:val="24"/>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(32.4 %)</w:t>
            </w:r>
          </w:p>
        </w:tc>
        <w:tc>
          <w:tcPr>
            <w:tcW w:w="140" w:type="dxa"/>
            <w:vAlign w:val="bottom"/>
            <w:tcBorders>
              <w:right w:val="single" w:sz="8" w:color="97999B"/>
            </w:tcBorders>
            <w:shd w:val="clear" w:color="auto" w:fill="D9D9D6"/>
          </w:tcPr>
          <w:p>
            <w:pPr>
              <w:spacing w:after="0"/>
              <w:rPr>
                <w:sz w:val="24"/>
                <w:szCs w:val="24"/>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b w:val="1"/>
                <w:bCs w:val="1"/>
                <w:color w:val="auto"/>
              </w:rPr>
              <w:t>$924</w:t>
            </w:r>
          </w:p>
        </w:tc>
        <w:tc>
          <w:tcPr>
            <w:tcW w:w="92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$1,300</w:t>
            </w:r>
          </w:p>
        </w:tc>
        <w:tc>
          <w:tcPr>
            <w:tcW w:w="7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(29.0 %)</w:t>
            </w:r>
          </w:p>
        </w:tc>
        <w:tc>
          <w:tcPr>
            <w:tcW w:w="2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(35.4 %)</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90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10.7 %</w:t>
            </w:r>
          </w:p>
        </w:tc>
        <w:tc>
          <w:tcPr>
            <w:tcW w:w="20" w:type="dxa"/>
            <w:vAlign w:val="bottom"/>
            <w:shd w:val="clear" w:color="auto" w:fill="D9D9D6"/>
          </w:tcPr>
          <w:p>
            <w:pPr>
              <w:spacing w:after="0"/>
              <w:rPr>
                <w:sz w:val="16"/>
                <w:szCs w:val="16"/>
                <w:color w:val="auto"/>
              </w:rPr>
            </w:pP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18.4 %</w:t>
            </w:r>
          </w:p>
        </w:tc>
        <w:tc>
          <w:tcPr>
            <w:tcW w:w="2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140" w:type="dxa"/>
            <w:vAlign w:val="bottom"/>
            <w:tcBorders>
              <w:right w:val="single" w:sz="8" w:color="97999B"/>
            </w:tcBorders>
            <w:shd w:val="clear" w:color="auto" w:fill="D9D9D6"/>
          </w:tcPr>
          <w:p>
            <w:pPr>
              <w:spacing w:after="0"/>
              <w:rPr>
                <w:sz w:val="16"/>
                <w:szCs w:val="16"/>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9.0 %</w:t>
            </w:r>
          </w:p>
        </w:tc>
        <w:tc>
          <w:tcPr>
            <w:tcW w:w="240" w:type="dxa"/>
            <w:vAlign w:val="bottom"/>
            <w:shd w:val="clear" w:color="auto" w:fill="D9D9D6"/>
          </w:tcPr>
          <w:p>
            <w:pPr>
              <w:spacing w:after="0"/>
              <w:rPr>
                <w:sz w:val="16"/>
                <w:szCs w:val="16"/>
                <w:color w:val="auto"/>
              </w:rPr>
            </w:pPr>
          </w:p>
        </w:tc>
        <w:tc>
          <w:tcPr>
            <w:tcW w:w="70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15.1 %</w:t>
            </w:r>
          </w:p>
        </w:tc>
        <w:tc>
          <w:tcPr>
            <w:tcW w:w="22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8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2900" w:type="dxa"/>
            <w:vAlign w:val="bottom"/>
            <w:shd w:val="clear" w:color="auto" w:fill="D9D9D6"/>
          </w:tcPr>
          <w:p>
            <w:pPr>
              <w:spacing w:after="0"/>
              <w:rPr>
                <w:sz w:val="4"/>
                <w:szCs w:val="4"/>
                <w:color w:val="auto"/>
              </w:rPr>
            </w:pPr>
          </w:p>
        </w:tc>
        <w:tc>
          <w:tcPr>
            <w:tcW w:w="5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8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2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4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30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140" w:type="dxa"/>
            <w:vAlign w:val="bottom"/>
            <w:tcBorders>
              <w:right w:val="single" w:sz="8" w:color="97999B"/>
            </w:tcBorders>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6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4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30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2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48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28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Sky increased 28.0% to $5.2 billion in the second quarter of 2021. Excluding the impact of currency, revenue increased 14.9%,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higher direct-to-consumer revenue, advertising revenue and content revenue. Direct-to-consumer revenue increased 7.7% to $4.2 billion, primarily driven by higher average revenue per customer relationship due to lower sports subscription revenues in the prior year period when sports were postponed due to COVID-19, as well as a rate increase in the U.K. Advertising revenue increased 78.8% to $643 million, reflecting an overall market recovery from COVID-19 as well as an increase in the number of sporting events in the current period. Content revenue increased 36.1% to $355 million, primarily due to higher wholesale revenue from sports programming compared to the prior year period when sports were postponed due to COVID-19.</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six months ended June 30, 2021, Sky revenue increased 18.9% to $10.2 billion compared to 2020. Excluding the impact of currency, revenue increased 8.2%, reflecting higher direct-to-consumer revenue, advertising revenue and content revenue.</w:t>
      </w:r>
    </w:p>
    <w:p>
      <w:pPr>
        <w:spacing w:after="0" w:line="189"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decreased by 248,000 to 23.2 million in the second quarter of 2021.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total customer relationships decreased by 26,000.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00" w:type="dxa"/>
            <w:vAlign w:val="bottom"/>
            <w:shd w:val="clear" w:color="auto" w:fill="D9D9D6"/>
          </w:tcPr>
          <w:p>
            <w:pPr>
              <w:ind w:left="140"/>
              <w:spacing w:after="0"/>
              <w:rPr>
                <w:sz w:val="20"/>
                <w:szCs w:val="20"/>
                <w:color w:val="auto"/>
              </w:rPr>
            </w:pPr>
            <w:r>
              <w:rPr>
                <w:rFonts w:ascii="Arial" w:cs="Arial" w:eastAsia="Arial" w:hAnsi="Arial"/>
                <w:sz w:val="11"/>
                <w:szCs w:val="11"/>
                <w:i w:val="1"/>
                <w:iCs w:val="1"/>
                <w:color w:val="auto"/>
              </w:rPr>
              <w:t>(in thousands)</w:t>
            </w:r>
          </w:p>
        </w:tc>
        <w:tc>
          <w:tcPr>
            <w:tcW w:w="660" w:type="dxa"/>
            <w:vAlign w:val="bottom"/>
            <w:tcBorders>
              <w:right w:val="single" w:sz="8" w:color="D9D9D6"/>
            </w:tcBorders>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860" w:type="dxa"/>
            <w:vAlign w:val="bottom"/>
            <w:shd w:val="clear" w:color="auto" w:fill="D9D9D6"/>
          </w:tcPr>
          <w:p>
            <w:pPr>
              <w:spacing w:after="0"/>
              <w:rPr>
                <w:sz w:val="16"/>
                <w:szCs w:val="16"/>
                <w:color w:val="auto"/>
              </w:rPr>
            </w:pPr>
          </w:p>
        </w:tc>
        <w:tc>
          <w:tcPr>
            <w:tcW w:w="840" w:type="dxa"/>
            <w:vAlign w:val="bottom"/>
            <w:tcBorders>
              <w:right w:val="single" w:sz="8" w:color="D9D9D6"/>
            </w:tcBorders>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220" w:type="dxa"/>
            <w:vAlign w:val="bottom"/>
            <w:tcBorders>
              <w:right w:val="single" w:sz="8" w:color="D9D9D6"/>
            </w:tcBorders>
            <w:shd w:val="clear" w:color="auto" w:fill="D9D9D6"/>
          </w:tcPr>
          <w:p>
            <w:pPr>
              <w:spacing w:after="0"/>
              <w:rPr>
                <w:sz w:val="16"/>
                <w:szCs w:val="16"/>
                <w:color w:val="auto"/>
              </w:rPr>
            </w:pPr>
          </w:p>
        </w:tc>
        <w:tc>
          <w:tcPr>
            <w:tcW w:w="2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40" w:type="dxa"/>
            <w:vAlign w:val="bottom"/>
            <w:tcBorders>
              <w:right w:val="single" w:sz="8" w:color="D9D9D6"/>
            </w:tcBorders>
            <w:shd w:val="clear" w:color="auto" w:fill="D9D9D6"/>
          </w:tcPr>
          <w:p>
            <w:pPr>
              <w:spacing w:after="0"/>
              <w:rPr>
                <w:sz w:val="16"/>
                <w:szCs w:val="16"/>
                <w:color w:val="auto"/>
              </w:rPr>
            </w:pPr>
          </w:p>
        </w:tc>
        <w:tc>
          <w:tcPr>
            <w:tcW w:w="780" w:type="dxa"/>
            <w:vAlign w:val="bottom"/>
            <w:tcBorders>
              <w:right w:val="single" w:sz="8" w:color="D9D9D6"/>
            </w:tcBorders>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42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r>
      <w:tr>
        <w:trPr>
          <w:trHeight w:val="184"/>
        </w:trPr>
        <w:tc>
          <w:tcPr>
            <w:tcW w:w="3900" w:type="dxa"/>
            <w:vAlign w:val="bottom"/>
            <w:shd w:val="clear" w:color="auto" w:fill="D9D9D6"/>
          </w:tcPr>
          <w:p>
            <w:pPr>
              <w:spacing w:after="0"/>
              <w:rPr>
                <w:sz w:val="16"/>
                <w:szCs w:val="16"/>
                <w:color w:val="auto"/>
              </w:rPr>
            </w:pPr>
          </w:p>
        </w:tc>
        <w:tc>
          <w:tcPr>
            <w:tcW w:w="660" w:type="dxa"/>
            <w:vAlign w:val="bottom"/>
            <w:tcBorders>
              <w:right w:val="single" w:sz="8" w:color="D9D9D6"/>
            </w:tcBorders>
            <w:shd w:val="clear" w:color="auto" w:fill="D9D9D6"/>
          </w:tcPr>
          <w:p>
            <w:pPr>
              <w:spacing w:after="0"/>
              <w:rPr>
                <w:sz w:val="16"/>
                <w:szCs w:val="16"/>
                <w:color w:val="auto"/>
              </w:rPr>
            </w:pPr>
          </w:p>
        </w:tc>
        <w:tc>
          <w:tcPr>
            <w:tcW w:w="76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Customers</w:t>
            </w:r>
          </w:p>
        </w:tc>
        <w:tc>
          <w:tcPr>
            <w:tcW w:w="16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860" w:type="dxa"/>
            <w:vAlign w:val="bottom"/>
            <w:shd w:val="clear" w:color="auto" w:fill="D9D9D6"/>
          </w:tcPr>
          <w:p>
            <w:pPr>
              <w:spacing w:after="0"/>
              <w:rPr>
                <w:sz w:val="16"/>
                <w:szCs w:val="16"/>
                <w:color w:val="auto"/>
              </w:rPr>
            </w:pPr>
          </w:p>
        </w:tc>
        <w:tc>
          <w:tcPr>
            <w:tcW w:w="840" w:type="dxa"/>
            <w:vAlign w:val="bottom"/>
            <w:tcBorders>
              <w:right w:val="single" w:sz="8" w:color="D9D9D6"/>
            </w:tcBorders>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1820" w:type="dxa"/>
            <w:vAlign w:val="bottom"/>
            <w:tcBorders>
              <w:right w:val="single" w:sz="8" w:color="D9D9D6"/>
            </w:tcBorders>
            <w:gridSpan w:val="5"/>
            <w:shd w:val="clear" w:color="auto" w:fill="D9D9D6"/>
          </w:tcPr>
          <w:p>
            <w:pPr>
              <w:ind w:left="200"/>
              <w:spacing w:after="0"/>
              <w:rPr>
                <w:sz w:val="20"/>
                <w:szCs w:val="20"/>
                <w:color w:val="auto"/>
              </w:rPr>
            </w:pPr>
            <w:r>
              <w:rPr>
                <w:rFonts w:ascii="Arial" w:cs="Arial" w:eastAsia="Arial" w:hAnsi="Arial"/>
                <w:sz w:val="14"/>
                <w:szCs w:val="14"/>
                <w:color w:val="auto"/>
              </w:rPr>
              <w:t>Net Additions / (Losses)</w:t>
            </w:r>
          </w:p>
        </w:tc>
        <w:tc>
          <w:tcPr>
            <w:tcW w:w="320" w:type="dxa"/>
            <w:vAlign w:val="bottom"/>
            <w:shd w:val="clear" w:color="auto" w:fill="D9D9D6"/>
          </w:tcPr>
          <w:p>
            <w:pPr>
              <w:spacing w:after="0"/>
              <w:rPr>
                <w:sz w:val="16"/>
                <w:szCs w:val="16"/>
                <w:color w:val="auto"/>
              </w:rPr>
            </w:pPr>
          </w:p>
        </w:tc>
        <w:tc>
          <w:tcPr>
            <w:tcW w:w="42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r>
      <w:tr>
        <w:trPr>
          <w:trHeight w:val="20"/>
        </w:trPr>
        <w:tc>
          <w:tcPr>
            <w:tcW w:w="3900" w:type="dxa"/>
            <w:vAlign w:val="bottom"/>
            <w:shd w:val="clear" w:color="auto" w:fill="D9D9D6"/>
          </w:tcPr>
          <w:p>
            <w:pPr>
              <w:spacing w:after="0" w:line="20" w:lineRule="exact"/>
              <w:rPr>
                <w:sz w:val="1"/>
                <w:szCs w:val="1"/>
                <w:color w:val="auto"/>
              </w:rPr>
            </w:pPr>
          </w:p>
        </w:tc>
        <w:tc>
          <w:tcPr>
            <w:tcW w:w="66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340" w:type="dxa"/>
            <w:vAlign w:val="bottom"/>
            <w:shd w:val="clear" w:color="auto" w:fill="D9D9D6"/>
          </w:tcPr>
          <w:p>
            <w:pPr>
              <w:spacing w:after="0" w:line="20" w:lineRule="exact"/>
              <w:rPr>
                <w:sz w:val="1"/>
                <w:szCs w:val="1"/>
                <w:color w:val="auto"/>
              </w:rPr>
            </w:pPr>
          </w:p>
        </w:tc>
        <w:tc>
          <w:tcPr>
            <w:tcW w:w="860" w:type="dxa"/>
            <w:vAlign w:val="bottom"/>
            <w:shd w:val="clear" w:color="auto" w:fill="D9D9D6"/>
          </w:tcPr>
          <w:p>
            <w:pPr>
              <w:spacing w:after="0" w:line="20" w:lineRule="exact"/>
              <w:rPr>
                <w:sz w:val="1"/>
                <w:szCs w:val="1"/>
                <w:color w:val="auto"/>
              </w:rPr>
            </w:pPr>
          </w:p>
        </w:tc>
        <w:tc>
          <w:tcPr>
            <w:tcW w:w="84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220" w:type="dxa"/>
            <w:vAlign w:val="bottom"/>
            <w:tcBorders>
              <w:right w:val="single" w:sz="8" w:color="auto"/>
            </w:tcBorders>
            <w:shd w:val="clear" w:color="auto" w:fill="D9D9D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D9D9D6"/>
            </w:tcBorders>
            <w:shd w:val="clear" w:color="auto" w:fill="000000"/>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r>
      <w:tr>
        <w:trPr>
          <w:trHeight w:val="169"/>
        </w:trPr>
        <w:tc>
          <w:tcPr>
            <w:tcW w:w="3900" w:type="dxa"/>
            <w:vAlign w:val="bottom"/>
            <w:tcBorders>
              <w:bottom w:val="single" w:sz="8" w:color="D9D9D6"/>
            </w:tcBorders>
            <w:shd w:val="clear" w:color="auto" w:fill="D9D9D6"/>
          </w:tcPr>
          <w:p>
            <w:pPr>
              <w:spacing w:after="0"/>
              <w:rPr>
                <w:sz w:val="14"/>
                <w:szCs w:val="14"/>
                <w:color w:val="auto"/>
              </w:rPr>
            </w:pPr>
          </w:p>
        </w:tc>
        <w:tc>
          <w:tcPr>
            <w:tcW w:w="660" w:type="dxa"/>
            <w:vAlign w:val="bottom"/>
            <w:tcBorders>
              <w:bottom w:val="single" w:sz="8" w:color="D9D9D6"/>
              <w:right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360" w:type="dxa"/>
            <w:vAlign w:val="bottom"/>
            <w:tcBorders>
              <w:bottom w:val="single" w:sz="8" w:color="D9D9D6"/>
            </w:tcBorders>
            <w:shd w:val="clear" w:color="auto" w:fill="D9D9D6"/>
          </w:tcPr>
          <w:p>
            <w:pPr>
              <w:spacing w:after="0"/>
              <w:rPr>
                <w:sz w:val="14"/>
                <w:szCs w:val="14"/>
                <w:color w:val="auto"/>
              </w:rPr>
            </w:pPr>
          </w:p>
        </w:tc>
        <w:tc>
          <w:tcPr>
            <w:tcW w:w="80" w:type="dxa"/>
            <w:vAlign w:val="bottom"/>
            <w:tcBorders>
              <w:bottom w:val="single" w:sz="8" w:color="D9D9D6"/>
            </w:tcBorders>
            <w:shd w:val="clear" w:color="auto" w:fill="D9D9D6"/>
          </w:tcPr>
          <w:p>
            <w:pPr>
              <w:spacing w:after="0"/>
              <w:rPr>
                <w:sz w:val="14"/>
                <w:szCs w:val="14"/>
                <w:color w:val="auto"/>
              </w:rPr>
            </w:pPr>
          </w:p>
        </w:tc>
        <w:tc>
          <w:tcPr>
            <w:tcW w:w="160" w:type="dxa"/>
            <w:vAlign w:val="bottom"/>
            <w:tcBorders>
              <w:bottom w:val="single" w:sz="8" w:color="D9D9D6"/>
            </w:tcBorders>
            <w:shd w:val="clear" w:color="auto" w:fill="D9D9D6"/>
          </w:tcPr>
          <w:p>
            <w:pPr>
              <w:spacing w:after="0"/>
              <w:rPr>
                <w:sz w:val="14"/>
                <w:szCs w:val="14"/>
                <w:color w:val="auto"/>
              </w:rPr>
            </w:pPr>
          </w:p>
        </w:tc>
        <w:tc>
          <w:tcPr>
            <w:tcW w:w="340" w:type="dxa"/>
            <w:vAlign w:val="bottom"/>
            <w:tcBorders>
              <w:bottom w:val="single" w:sz="8" w:color="D9D9D6"/>
            </w:tcBorders>
            <w:shd w:val="clear" w:color="auto" w:fill="D9D9D6"/>
          </w:tcPr>
          <w:p>
            <w:pPr>
              <w:spacing w:after="0"/>
              <w:rPr>
                <w:sz w:val="14"/>
                <w:szCs w:val="14"/>
                <w:color w:val="auto"/>
              </w:rPr>
            </w:pPr>
          </w:p>
        </w:tc>
        <w:tc>
          <w:tcPr>
            <w:tcW w:w="860" w:type="dxa"/>
            <w:vAlign w:val="bottom"/>
            <w:tcBorders>
              <w:bottom w:val="single" w:sz="8" w:color="D9D9D6"/>
            </w:tcBorders>
            <w:shd w:val="clear" w:color="auto" w:fill="D9D9D6"/>
          </w:tcPr>
          <w:p>
            <w:pPr>
              <w:spacing w:after="0"/>
              <w:rPr>
                <w:sz w:val="14"/>
                <w:szCs w:val="14"/>
                <w:color w:val="auto"/>
              </w:rPr>
            </w:pPr>
          </w:p>
        </w:tc>
        <w:tc>
          <w:tcPr>
            <w:tcW w:w="840" w:type="dxa"/>
            <w:vAlign w:val="bottom"/>
            <w:tcBorders>
              <w:bottom w:val="single" w:sz="8" w:color="D9D9D6"/>
              <w:right w:val="single" w:sz="8" w:color="D9D9D6"/>
            </w:tcBorders>
            <w:shd w:val="clear" w:color="auto" w:fill="D9D9D6"/>
          </w:tcPr>
          <w:p>
            <w:pPr>
              <w:spacing w:after="0"/>
              <w:rPr>
                <w:sz w:val="14"/>
                <w:szCs w:val="14"/>
                <w:color w:val="auto"/>
              </w:rPr>
            </w:pPr>
          </w:p>
        </w:tc>
        <w:tc>
          <w:tcPr>
            <w:tcW w:w="740" w:type="dxa"/>
            <w:vAlign w:val="bottom"/>
            <w:tcBorders>
              <w:bottom w:val="single" w:sz="8" w:color="auto"/>
              <w:right w:val="single" w:sz="8" w:color="D9D9D6"/>
            </w:tcBorders>
            <w:gridSpan w:val="3"/>
            <w:shd w:val="clear" w:color="auto" w:fill="D9D9D6"/>
          </w:tcPr>
          <w:p>
            <w:pPr>
              <w:spacing w:after="0"/>
              <w:rPr>
                <w:sz w:val="20"/>
                <w:szCs w:val="20"/>
                <w:color w:val="auto"/>
              </w:rPr>
            </w:pPr>
            <w:r>
              <w:rPr>
                <w:rFonts w:ascii="Arial" w:cs="Arial" w:eastAsia="Arial" w:hAnsi="Arial"/>
                <w:sz w:val="14"/>
                <w:szCs w:val="14"/>
                <w:color w:val="auto"/>
                <w:w w:val="93"/>
              </w:rPr>
              <w:t>2nd Quarter</w:t>
            </w:r>
          </w:p>
        </w:tc>
        <w:tc>
          <w:tcPr>
            <w:tcW w:w="820" w:type="dxa"/>
            <w:vAlign w:val="bottom"/>
            <w:tcBorders>
              <w:bottom w:val="single" w:sz="8" w:color="D9D9D6"/>
              <w:right w:val="single" w:sz="8" w:color="97999B"/>
            </w:tcBorders>
            <w:gridSpan w:val="3"/>
            <w:shd w:val="clear" w:color="auto" w:fill="D9D9D6"/>
          </w:tcPr>
          <w:p>
            <w:pPr>
              <w:spacing w:after="0"/>
              <w:rPr>
                <w:sz w:val="14"/>
                <w:szCs w:val="14"/>
                <w:color w:val="auto"/>
              </w:rPr>
            </w:pPr>
          </w:p>
        </w:tc>
        <w:tc>
          <w:tcPr>
            <w:tcW w:w="780" w:type="dxa"/>
            <w:vAlign w:val="bottom"/>
            <w:tcBorders>
              <w:bottom w:val="single" w:sz="8" w:color="D9D9D6"/>
              <w:right w:val="single" w:sz="8" w:color="D9D9D6"/>
            </w:tcBorders>
            <w:shd w:val="clear" w:color="auto" w:fill="D9D9D6"/>
          </w:tcPr>
          <w:p>
            <w:pPr>
              <w:spacing w:after="0"/>
              <w:rPr>
                <w:sz w:val="14"/>
                <w:szCs w:val="14"/>
                <w:color w:val="auto"/>
              </w:rPr>
            </w:pPr>
          </w:p>
        </w:tc>
        <w:tc>
          <w:tcPr>
            <w:tcW w:w="7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w w:val="91"/>
              </w:rPr>
              <w:t>Year to Date</w:t>
            </w:r>
          </w:p>
        </w:tc>
        <w:tc>
          <w:tcPr>
            <w:tcW w:w="80" w:type="dxa"/>
            <w:vAlign w:val="bottom"/>
            <w:tcBorders>
              <w:bottom w:val="single" w:sz="8" w:color="D9D9D6"/>
            </w:tcBorders>
            <w:shd w:val="clear" w:color="auto" w:fill="D9D9D6"/>
          </w:tcPr>
          <w:p>
            <w:pPr>
              <w:spacing w:after="0"/>
              <w:rPr>
                <w:sz w:val="14"/>
                <w:szCs w:val="14"/>
                <w:color w:val="auto"/>
              </w:rPr>
            </w:pPr>
          </w:p>
        </w:tc>
        <w:tc>
          <w:tcPr>
            <w:tcW w:w="10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140" w:type="dxa"/>
            <w:vAlign w:val="bottom"/>
            <w:tcBorders>
              <w:bottom w:val="single" w:sz="8" w:color="D9D9D6"/>
            </w:tcBorders>
            <w:shd w:val="clear" w:color="auto" w:fill="D9D9D6"/>
          </w:tcPr>
          <w:p>
            <w:pPr>
              <w:spacing w:after="0"/>
              <w:rPr>
                <w:sz w:val="14"/>
                <w:szCs w:val="14"/>
                <w:color w:val="auto"/>
              </w:rPr>
            </w:pPr>
          </w:p>
        </w:tc>
      </w:tr>
      <w:tr>
        <w:trPr>
          <w:trHeight w:val="169"/>
        </w:trPr>
        <w:tc>
          <w:tcPr>
            <w:tcW w:w="3900" w:type="dxa"/>
            <w:vAlign w:val="bottom"/>
            <w:shd w:val="clear" w:color="auto" w:fill="D9D9D6"/>
          </w:tcPr>
          <w:p>
            <w:pPr>
              <w:spacing w:after="0"/>
              <w:rPr>
                <w:sz w:val="14"/>
                <w:szCs w:val="14"/>
                <w:color w:val="auto"/>
              </w:rPr>
            </w:pPr>
          </w:p>
        </w:tc>
        <w:tc>
          <w:tcPr>
            <w:tcW w:w="660" w:type="dxa"/>
            <w:vAlign w:val="bottom"/>
            <w:tcBorders>
              <w:right w:val="single" w:sz="8" w:color="D9D9D6"/>
            </w:tcBorders>
            <w:shd w:val="clear" w:color="auto" w:fill="D9D9D6"/>
          </w:tcPr>
          <w:p>
            <w:pPr>
              <w:spacing w:after="0"/>
              <w:rPr>
                <w:sz w:val="14"/>
                <w:szCs w:val="14"/>
                <w:color w:val="auto"/>
              </w:rPr>
            </w:pPr>
          </w:p>
        </w:tc>
        <w:tc>
          <w:tcPr>
            <w:tcW w:w="320" w:type="dxa"/>
            <w:vAlign w:val="bottom"/>
            <w:shd w:val="clear" w:color="auto" w:fill="D9D9D6"/>
          </w:tcPr>
          <w:p>
            <w:pPr>
              <w:jc w:val="right"/>
              <w:spacing w:after="0"/>
              <w:rPr>
                <w:sz w:val="20"/>
                <w:szCs w:val="20"/>
                <w:color w:val="auto"/>
              </w:rPr>
            </w:pPr>
            <w:r>
              <w:rPr>
                <w:rFonts w:ascii="Arial" w:cs="Arial" w:eastAsia="Arial" w:hAnsi="Arial"/>
                <w:sz w:val="14"/>
                <w:szCs w:val="14"/>
                <w:color w:val="auto"/>
                <w:w w:val="87"/>
              </w:rPr>
              <w:t>2Q21</w:t>
            </w:r>
          </w:p>
        </w:tc>
        <w:tc>
          <w:tcPr>
            <w:tcW w:w="360" w:type="dxa"/>
            <w:vAlign w:val="bottom"/>
            <w:shd w:val="clear" w:color="auto" w:fill="D9D9D6"/>
          </w:tcPr>
          <w:p>
            <w:pPr>
              <w:spacing w:after="0"/>
              <w:rPr>
                <w:sz w:val="14"/>
                <w:szCs w:val="14"/>
                <w:color w:val="auto"/>
              </w:rPr>
            </w:pPr>
          </w:p>
        </w:tc>
        <w:tc>
          <w:tcPr>
            <w:tcW w:w="80" w:type="dxa"/>
            <w:vAlign w:val="bottom"/>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1200" w:type="dxa"/>
            <w:vAlign w:val="bottom"/>
            <w:gridSpan w:val="2"/>
            <w:shd w:val="clear" w:color="auto" w:fill="D9D9D6"/>
          </w:tcPr>
          <w:p>
            <w:pPr>
              <w:jc w:val="right"/>
              <w:ind w:right="800"/>
              <w:spacing w:after="0" w:line="169" w:lineRule="exact"/>
              <w:rPr>
                <w:sz w:val="20"/>
                <w:szCs w:val="20"/>
                <w:color w:val="auto"/>
              </w:rPr>
            </w:pPr>
            <w:r>
              <w:rPr>
                <w:rFonts w:ascii="Arial" w:cs="Arial" w:eastAsia="Arial" w:hAnsi="Arial"/>
                <w:sz w:val="14"/>
                <w:szCs w:val="14"/>
                <w:color w:val="auto"/>
                <w:w w:val="92"/>
              </w:rPr>
              <w:t>2Q20</w:t>
            </w:r>
            <w:r>
              <w:rPr>
                <w:rFonts w:ascii="Arial" w:cs="Arial" w:eastAsia="Arial" w:hAnsi="Arial"/>
                <w:sz w:val="18"/>
                <w:szCs w:val="18"/>
                <w:u w:val="single" w:color="auto"/>
                <w:color w:val="auto"/>
                <w:w w:val="92"/>
                <w:vertAlign w:val="superscript"/>
              </w:rPr>
              <w:t>9</w:t>
            </w:r>
          </w:p>
        </w:tc>
        <w:tc>
          <w:tcPr>
            <w:tcW w:w="1360" w:type="dxa"/>
            <w:vAlign w:val="bottom"/>
            <w:gridSpan w:val="3"/>
            <w:shd w:val="clear" w:color="auto" w:fill="D9D9D6"/>
          </w:tcPr>
          <w:p>
            <w:pPr>
              <w:jc w:val="right"/>
              <w:ind w:right="200"/>
              <w:spacing w:after="0"/>
              <w:rPr>
                <w:sz w:val="20"/>
                <w:szCs w:val="20"/>
                <w:color w:val="auto"/>
              </w:rPr>
            </w:pPr>
            <w:r>
              <w:rPr>
                <w:rFonts w:ascii="Arial" w:cs="Arial" w:eastAsia="Arial" w:hAnsi="Arial"/>
                <w:sz w:val="14"/>
                <w:szCs w:val="14"/>
                <w:color w:val="auto"/>
              </w:rPr>
              <w:t>2021</w:t>
            </w:r>
          </w:p>
        </w:tc>
        <w:tc>
          <w:tcPr>
            <w:tcW w:w="1040" w:type="dxa"/>
            <w:vAlign w:val="bottom"/>
            <w:tcBorders>
              <w:right w:val="single" w:sz="8" w:color="97999B"/>
            </w:tcBorders>
            <w:gridSpan w:val="4"/>
            <w:shd w:val="clear" w:color="auto" w:fill="D9D9D6"/>
          </w:tcPr>
          <w:p>
            <w:pPr>
              <w:jc w:val="right"/>
              <w:ind w:right="240"/>
              <w:spacing w:after="0"/>
              <w:rPr>
                <w:sz w:val="20"/>
                <w:szCs w:val="20"/>
                <w:color w:val="auto"/>
              </w:rPr>
            </w:pPr>
            <w:r>
              <w:rPr>
                <w:rFonts w:ascii="Arial" w:cs="Arial" w:eastAsia="Arial" w:hAnsi="Arial"/>
                <w:sz w:val="14"/>
                <w:szCs w:val="14"/>
                <w:color w:val="auto"/>
              </w:rPr>
              <w:t>2020</w:t>
            </w:r>
          </w:p>
        </w:tc>
        <w:tc>
          <w:tcPr>
            <w:tcW w:w="780" w:type="dxa"/>
            <w:vAlign w:val="bottom"/>
            <w:tcBorders>
              <w:right w:val="single" w:sz="8" w:color="D9D9D6"/>
            </w:tcBorders>
            <w:shd w:val="clear" w:color="auto" w:fill="D9D9D6"/>
          </w:tcPr>
          <w:p>
            <w:pPr>
              <w:spacing w:after="0"/>
              <w:rPr>
                <w:sz w:val="14"/>
                <w:szCs w:val="14"/>
                <w:color w:val="auto"/>
              </w:rPr>
            </w:pPr>
          </w:p>
        </w:tc>
        <w:tc>
          <w:tcPr>
            <w:tcW w:w="740" w:type="dxa"/>
            <w:vAlign w:val="bottom"/>
            <w:gridSpan w:val="2"/>
            <w:shd w:val="clear" w:color="auto" w:fill="D9D9D6"/>
          </w:tcPr>
          <w:p>
            <w:pPr>
              <w:jc w:val="right"/>
              <w:ind w:right="420"/>
              <w:spacing w:after="0"/>
              <w:rPr>
                <w:sz w:val="20"/>
                <w:szCs w:val="20"/>
                <w:color w:val="auto"/>
              </w:rPr>
            </w:pPr>
            <w:r>
              <w:rPr>
                <w:rFonts w:ascii="Arial" w:cs="Arial" w:eastAsia="Arial" w:hAnsi="Arial"/>
                <w:sz w:val="14"/>
                <w:szCs w:val="14"/>
                <w:color w:val="auto"/>
                <w:w w:val="96"/>
              </w:rPr>
              <w:t>2021</w:t>
            </w:r>
          </w:p>
        </w:tc>
        <w:tc>
          <w:tcPr>
            <w:tcW w:w="80" w:type="dxa"/>
            <w:vAlign w:val="bottom"/>
            <w:shd w:val="clear" w:color="auto" w:fill="D9D9D6"/>
          </w:tcPr>
          <w:p>
            <w:pPr>
              <w:spacing w:after="0"/>
              <w:rPr>
                <w:sz w:val="14"/>
                <w:szCs w:val="14"/>
                <w:color w:val="auto"/>
              </w:rPr>
            </w:pPr>
          </w:p>
        </w:tc>
        <w:tc>
          <w:tcPr>
            <w:tcW w:w="56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2020</w:t>
            </w:r>
          </w:p>
        </w:tc>
      </w:tr>
      <w:tr>
        <w:trPr>
          <w:trHeight w:val="20"/>
        </w:trPr>
        <w:tc>
          <w:tcPr>
            <w:tcW w:w="3900" w:type="dxa"/>
            <w:vAlign w:val="bottom"/>
            <w:shd w:val="clear" w:color="auto" w:fill="D9D9D6"/>
          </w:tcPr>
          <w:p>
            <w:pPr>
              <w:spacing w:after="0" w:line="20" w:lineRule="exact"/>
              <w:rPr>
                <w:sz w:val="1"/>
                <w:szCs w:val="1"/>
                <w:color w:val="auto"/>
              </w:rPr>
            </w:pPr>
          </w:p>
        </w:tc>
        <w:tc>
          <w:tcPr>
            <w:tcW w:w="660" w:type="dxa"/>
            <w:vAlign w:val="bottom"/>
            <w:tcBorders>
              <w:right w:val="single" w:sz="8" w:color="auto"/>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D9D9D6"/>
          </w:tcPr>
          <w:p>
            <w:pPr>
              <w:spacing w:after="0" w:line="20" w:lineRule="exact"/>
              <w:rPr>
                <w:sz w:val="1"/>
                <w:szCs w:val="1"/>
                <w:color w:val="auto"/>
              </w:rPr>
            </w:pPr>
          </w:p>
        </w:tc>
        <w:tc>
          <w:tcPr>
            <w:tcW w:w="84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220" w:type="dxa"/>
            <w:vAlign w:val="bottom"/>
            <w:tcBorders>
              <w:right w:val="single" w:sz="8" w:color="D9D9D6"/>
            </w:tcBorders>
            <w:shd w:val="clear" w:color="auto" w:fill="D9D9D6"/>
          </w:tcPr>
          <w:p>
            <w:pPr>
              <w:spacing w:after="0" w:line="20" w:lineRule="exact"/>
              <w:rPr>
                <w:sz w:val="1"/>
                <w:szCs w:val="1"/>
                <w:color w:val="auto"/>
              </w:rPr>
            </w:pPr>
          </w:p>
        </w:tc>
        <w:tc>
          <w:tcPr>
            <w:tcW w:w="26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97999B"/>
            </w:tcBorders>
            <w:shd w:val="clear" w:color="auto" w:fill="D9D9D6"/>
          </w:tcPr>
          <w:p>
            <w:pPr>
              <w:spacing w:after="0" w:line="20" w:lineRule="exact"/>
              <w:rPr>
                <w:sz w:val="1"/>
                <w:szCs w:val="1"/>
                <w:color w:val="auto"/>
              </w:rPr>
            </w:pPr>
          </w:p>
        </w:tc>
        <w:tc>
          <w:tcPr>
            <w:tcW w:w="78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r>
      <w:tr>
        <w:trPr>
          <w:trHeight w:val="230"/>
        </w:trPr>
        <w:tc>
          <w:tcPr>
            <w:tcW w:w="3900" w:type="dxa"/>
            <w:vAlign w:val="bottom"/>
            <w:tcBorders>
              <w:bottom w:val="single" w:sz="8" w:color="D9D9D6"/>
            </w:tcBorders>
            <w:shd w:val="clear" w:color="auto" w:fill="D9D9D6"/>
          </w:tcPr>
          <w:p>
            <w:pPr>
              <w:ind w:left="260"/>
              <w:spacing w:after="0"/>
              <w:rPr>
                <w:sz w:val="20"/>
                <w:szCs w:val="20"/>
                <w:color w:val="auto"/>
              </w:rPr>
            </w:pPr>
            <w:r>
              <w:rPr>
                <w:rFonts w:ascii="Arial" w:cs="Arial" w:eastAsia="Arial" w:hAnsi="Arial"/>
                <w:sz w:val="14"/>
                <w:szCs w:val="14"/>
                <w:b w:val="1"/>
                <w:bCs w:val="1"/>
                <w:color w:val="auto"/>
              </w:rPr>
              <w:t>Total Customer Relationships</w:t>
            </w:r>
          </w:p>
        </w:tc>
        <w:tc>
          <w:tcPr>
            <w:tcW w:w="9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23,198</w:t>
            </w:r>
          </w:p>
        </w:tc>
        <w:tc>
          <w:tcPr>
            <w:tcW w:w="360" w:type="dxa"/>
            <w:vAlign w:val="bottom"/>
            <w:tcBorders>
              <w:bottom w:val="single" w:sz="8" w:color="D9D9D6"/>
            </w:tcBorders>
            <w:shd w:val="clear" w:color="auto" w:fill="D9D9D6"/>
          </w:tcPr>
          <w:p>
            <w:pPr>
              <w:spacing w:after="0"/>
              <w:rPr>
                <w:sz w:val="20"/>
                <w:szCs w:val="20"/>
                <w:color w:val="auto"/>
              </w:rPr>
            </w:pPr>
          </w:p>
        </w:tc>
        <w:tc>
          <w:tcPr>
            <w:tcW w:w="80" w:type="dxa"/>
            <w:vAlign w:val="bottom"/>
            <w:tcBorders>
              <w:bottom w:val="single" w:sz="8" w:color="D9D9D6"/>
            </w:tcBorders>
            <w:shd w:val="clear" w:color="auto" w:fill="D9D9D6"/>
          </w:tcPr>
          <w:p>
            <w:pPr>
              <w:spacing w:after="0"/>
              <w:rPr>
                <w:sz w:val="20"/>
                <w:szCs w:val="20"/>
                <w:color w:val="auto"/>
              </w:rPr>
            </w:pPr>
          </w:p>
        </w:tc>
        <w:tc>
          <w:tcPr>
            <w:tcW w:w="1360" w:type="dxa"/>
            <w:vAlign w:val="bottom"/>
            <w:tcBorders>
              <w:bottom w:val="single" w:sz="8" w:color="D9D9D6"/>
            </w:tcBorders>
            <w:gridSpan w:val="3"/>
            <w:shd w:val="clear" w:color="auto" w:fill="D9D9D6"/>
          </w:tcPr>
          <w:p>
            <w:pPr>
              <w:jc w:val="right"/>
              <w:ind w:right="860"/>
              <w:spacing w:after="0"/>
              <w:rPr>
                <w:sz w:val="20"/>
                <w:szCs w:val="20"/>
                <w:color w:val="auto"/>
              </w:rPr>
            </w:pPr>
            <w:r>
              <w:rPr>
                <w:rFonts w:ascii="Arial" w:cs="Arial" w:eastAsia="Arial" w:hAnsi="Arial"/>
                <w:sz w:val="14"/>
                <w:szCs w:val="14"/>
                <w:b w:val="1"/>
                <w:bCs w:val="1"/>
                <w:color w:val="auto"/>
              </w:rPr>
              <w:t>23,002</w:t>
            </w:r>
          </w:p>
        </w:tc>
        <w:tc>
          <w:tcPr>
            <w:tcW w:w="116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(248)</w:t>
            </w:r>
          </w:p>
        </w:tc>
        <w:tc>
          <w:tcPr>
            <w:tcW w:w="200" w:type="dxa"/>
            <w:vAlign w:val="bottom"/>
            <w:tcBorders>
              <w:bottom w:val="single" w:sz="8" w:color="D9D9D6"/>
            </w:tcBorders>
            <w:shd w:val="clear" w:color="auto" w:fill="D9D9D6"/>
          </w:tcPr>
          <w:p>
            <w:pPr>
              <w:spacing w:after="0"/>
              <w:rPr>
                <w:sz w:val="20"/>
                <w:szCs w:val="20"/>
                <w:color w:val="auto"/>
              </w:rPr>
            </w:pPr>
          </w:p>
        </w:tc>
        <w:tc>
          <w:tcPr>
            <w:tcW w:w="800" w:type="dxa"/>
            <w:vAlign w:val="bottom"/>
            <w:tcBorders>
              <w:bottom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(214)</w:t>
            </w:r>
          </w:p>
        </w:tc>
        <w:tc>
          <w:tcPr>
            <w:tcW w:w="240" w:type="dxa"/>
            <w:vAlign w:val="bottom"/>
            <w:tcBorders>
              <w:bottom w:val="single" w:sz="8" w:color="D9D9D6"/>
              <w:right w:val="single" w:sz="8" w:color="97999B"/>
            </w:tcBorders>
            <w:shd w:val="clear" w:color="auto" w:fill="D9D9D6"/>
          </w:tcPr>
          <w:p>
            <w:pPr>
              <w:spacing w:after="0"/>
              <w:rPr>
                <w:sz w:val="20"/>
                <w:szCs w:val="20"/>
                <w:color w:val="auto"/>
              </w:rPr>
            </w:pPr>
          </w:p>
        </w:tc>
        <w:tc>
          <w:tcPr>
            <w:tcW w:w="780" w:type="dxa"/>
            <w:vAlign w:val="bottom"/>
            <w:tcBorders>
              <w:bottom w:val="single" w:sz="8" w:color="D9D9D6"/>
              <w:right w:val="single" w:sz="8" w:color="D9D9D6"/>
            </w:tcBorders>
            <w:shd w:val="clear" w:color="auto" w:fill="D9D9D6"/>
          </w:tcPr>
          <w:p>
            <w:pPr>
              <w:spacing w:after="0"/>
              <w:rPr>
                <w:sz w:val="20"/>
                <w:szCs w:val="20"/>
                <w:color w:val="auto"/>
              </w:rPr>
            </w:pPr>
          </w:p>
        </w:tc>
        <w:tc>
          <w:tcPr>
            <w:tcW w:w="32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(26)</w:t>
            </w:r>
          </w:p>
        </w:tc>
        <w:tc>
          <w:tcPr>
            <w:tcW w:w="420" w:type="dxa"/>
            <w:vAlign w:val="bottom"/>
            <w:tcBorders>
              <w:bottom w:val="single" w:sz="8" w:color="D9D9D6"/>
            </w:tcBorders>
            <w:shd w:val="clear" w:color="auto" w:fill="D9D9D6"/>
          </w:tcPr>
          <w:p>
            <w:pPr>
              <w:spacing w:after="0"/>
              <w:rPr>
                <w:sz w:val="20"/>
                <w:szCs w:val="20"/>
                <w:color w:val="auto"/>
              </w:rPr>
            </w:pPr>
          </w:p>
        </w:tc>
        <w:tc>
          <w:tcPr>
            <w:tcW w:w="80" w:type="dxa"/>
            <w:vAlign w:val="bottom"/>
            <w:tcBorders>
              <w:bottom w:val="single" w:sz="8" w:color="D9D9D6"/>
            </w:tcBorders>
            <w:shd w:val="clear" w:color="auto" w:fill="D9D9D6"/>
          </w:tcPr>
          <w:p>
            <w:pPr>
              <w:spacing w:after="0"/>
              <w:rPr>
                <w:sz w:val="20"/>
                <w:szCs w:val="20"/>
                <w:color w:val="auto"/>
              </w:rPr>
            </w:pPr>
          </w:p>
        </w:tc>
        <w:tc>
          <w:tcPr>
            <w:tcW w:w="42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(278)</w:t>
            </w:r>
          </w:p>
        </w:tc>
        <w:tc>
          <w:tcPr>
            <w:tcW w:w="140" w:type="dxa"/>
            <w:vAlign w:val="bottom"/>
            <w:tcBorders>
              <w:bottom w:val="single" w:sz="8" w:color="D9D9D6"/>
            </w:tcBorders>
            <w:shd w:val="clear" w:color="auto" w:fill="D9D9D6"/>
          </w:tcPr>
          <w:p>
            <w:pPr>
              <w:spacing w:after="0"/>
              <w:rPr>
                <w:sz w:val="20"/>
                <w:szCs w:val="20"/>
                <w:color w:val="auto"/>
              </w:rPr>
            </w:pPr>
          </w:p>
        </w:tc>
      </w:tr>
    </w:tbl>
    <w:p>
      <w:pPr>
        <w:spacing w:after="0" w:line="3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Sky decreased 25.3% to $560 million in the second quarter of 2021. Excluding the impact of currency,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EBITDA decreased 32.4%, reflecting higher operating expenses, which more than offset higher revenue. The increase in operating expenses was primarily driven by higher programming and production expenses, reflecting higher sports programming costs due to an increase in the number of sporting events compared to the prior year period when sports were postponed due to COVID-19.</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six months ended June 30, 2021, Sky Adjusted EBITDA decreased 29.0% to $924 million compared to 2020. Excluding the impact of currency, Adjusted EBITDA decreased 35.4%.</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Corporate and Other primarily relates to corporate operations and Comcast Spectacor. Revenue for the quarter ended June 30, 2021 was $92 million compared to $40 million in the prior year period. Corporate and Other Adjusted EBITDA loss was $261 million compared to a loss of $389 million in the prior year period, reflecting certain costs incurred in the second quarter of 2020 in response to COVID-19, including severance charges related to our businesses, which are presented in Corporate and Other.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688" w:right="339" w:bottom="1440" w:gutter="0" w:footer="0" w:header="0"/>
        </w:sectPr>
      </w:pPr>
    </w:p>
    <w:bookmarkStart w:id="10" w:name="page11"/>
    <w:bookmarkEnd w:id="10"/>
    <w:p>
      <w:pPr>
        <w:jc w:val="both"/>
        <w:spacing w:after="0" w:line="261" w:lineRule="auto"/>
        <w:rPr>
          <w:sz w:val="20"/>
          <w:szCs w:val="20"/>
          <w:color w:val="auto"/>
        </w:rPr>
      </w:pPr>
      <w:r>
        <w:rPr>
          <w:rFonts w:ascii="Arial" w:cs="Arial" w:eastAsia="Arial" w:hAnsi="Arial"/>
          <w:sz w:val="18"/>
          <w:szCs w:val="18"/>
          <w:color w:val="auto"/>
        </w:rPr>
        <w:t>For the six months ended June 30, 2021, Corporate and Other revenue was $181 million compared to $160 million in 2020. Corporate and Other Adjusted EBITDA loss was $541 million compared to a loss of $582 million in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Amounts represent eliminations of transactions between Cable Communications, NBCUniversal, Sky and other businesses. Eliminations of transactions between NBCUniversal segments are presented separately. Revenue eliminations for the quarter ended June 30, 2021 were $723 million compared to $ 547 million in the prior year period, and Adjusted EBITDA eliminations were a benefit of $2 million compared to a benefit of $11 million in the prior year period.</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six months ended June 30, 2021, revenue eliminations were $1.4 billion compared to $1.2 billion in 2020, and Adjusted EBITDA eliminations were a benefit of $11 million compared to $18 million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160655</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w:t>
      </w:r>
    </w:p>
    <w:p>
      <w:pPr>
        <w:spacing w:after="0" w:line="369" w:lineRule="exact"/>
        <w:rPr>
          <w:sz w:val="20"/>
          <w:szCs w:val="20"/>
          <w:color w:val="auto"/>
        </w:rPr>
      </w:pPr>
    </w:p>
    <w:p>
      <w:pPr>
        <w:jc w:val="both"/>
        <w:ind w:left="180" w:hanging="161"/>
        <w:spacing w:after="0" w:line="253"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51"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54"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5 Cable Communications reported results for 2020 include the impacts of RSN related adjustments, affecting period-to-period comparability of our operating performance. We also present adjusted information, excluding the impacts of the RSN related adjustments. See Table 7 for reconciliations of non-GAAP financial measures.</w:t>
      </w:r>
    </w:p>
    <w:p>
      <w:pPr>
        <w:spacing w:after="0" w:line="148"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6 In the first quarter of 2021, we updated Cable Communications' total residential customer relationships and broadband customers due to a conforming change to methodology resulting in a reduction of approximately 26,000 customers. There was no impact to net additions and prior periods have been recast on a comparable basis.</w:t>
      </w:r>
    </w:p>
    <w:p>
      <w:pPr>
        <w:spacing w:after="0" w:line="148"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7 Adjusted EBITDA is the measure of profit or loss for our segments. From time to time, we may present Adjusted EBITDA for components of our reportable segments, such as Peacock and the wireless business within Cable Communications. We believe these measures are useful to evaluate our financial results and provide a basis of comparison to others, although our definition of Adjusted EBITDA may not be directly comparable to similar measures used by other companies. Adjusted EBITDA for components are generally presented on a consistent basis with the respective segments and include direct revenue and operating costs and expenses attributed to the component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949" w:right="339" w:bottom="1440" w:gutter="0" w:footer="0" w:header="0"/>
        </w:sectPr>
      </w:pPr>
    </w:p>
    <w:bookmarkStart w:id="11" w:name="page12"/>
    <w:bookmarkEnd w:id="11"/>
    <w:p>
      <w:pPr>
        <w:jc w:val="both"/>
        <w:ind w:left="180" w:hanging="161"/>
        <w:spacing w:after="0" w:line="256" w:lineRule="auto"/>
        <w:rPr>
          <w:sz w:val="20"/>
          <w:szCs w:val="20"/>
          <w:color w:val="auto"/>
        </w:rPr>
      </w:pPr>
      <w:r>
        <w:rPr>
          <w:rFonts w:ascii="Arial" w:cs="Arial" w:eastAsia="Arial" w:hAnsi="Arial"/>
          <w:sz w:val="18"/>
          <w:szCs w:val="18"/>
          <w:color w:val="auto"/>
        </w:rPr>
        <w:t>8 Sky constant currency growth rates are calculated by comparing the current period results to the comparative period results in the prior year adjusted to reflect the average exchange rates from the current year period rather than the actual exchange rates in effect during the respective prior year periods. See Table 6 for reconciliation of Sky's constant currency growth.</w:t>
      </w:r>
    </w:p>
    <w:p>
      <w:pPr>
        <w:spacing w:after="0" w:line="148" w:lineRule="exact"/>
        <w:rPr>
          <w:sz w:val="20"/>
          <w:szCs w:val="20"/>
          <w:color w:val="auto"/>
        </w:rPr>
      </w:pPr>
    </w:p>
    <w:p>
      <w:pPr>
        <w:jc w:val="both"/>
        <w:ind w:left="180" w:hanging="161"/>
        <w:spacing w:after="0" w:line="253" w:lineRule="auto"/>
        <w:rPr>
          <w:sz w:val="20"/>
          <w:szCs w:val="20"/>
          <w:color w:val="auto"/>
        </w:rPr>
      </w:pPr>
      <w:r>
        <w:rPr>
          <w:rFonts w:ascii="Arial" w:cs="Arial" w:eastAsia="Arial" w:hAnsi="Arial"/>
          <w:sz w:val="18"/>
          <w:szCs w:val="18"/>
          <w:color w:val="auto"/>
        </w:rPr>
        <w:t>9 In the first quarter of 2021, we implemented conforming changes in the methodology for counting commercial customer relationships in Italy and Germany, which are now counted on a consistent basis with customers in the United Kingdom. The change resulted in a reduction in Sky’s total customer relationships of 714,000 as of December 31, 2020. The impact of the change in methodology to customer relationship net additions for any period was not material. For comparative purposes, we have recast Sky’s historical total customer relationships to reflect this adjustment.</w:t>
      </w:r>
    </w:p>
    <w:p>
      <w:pPr>
        <w:spacing w:after="0" w:line="151" w:lineRule="exact"/>
        <w:rPr>
          <w:sz w:val="20"/>
          <w:szCs w:val="20"/>
          <w:color w:val="auto"/>
        </w:rPr>
      </w:pPr>
    </w:p>
    <w:p>
      <w:pPr>
        <w:ind w:left="180"/>
        <w:spacing w:after="0" w:line="261" w:lineRule="auto"/>
        <w:rPr>
          <w:sz w:val="20"/>
          <w:szCs w:val="20"/>
          <w:color w:val="auto"/>
        </w:rPr>
      </w:pPr>
      <w:r>
        <w:rPr>
          <w:rFonts w:ascii="Arial" w:cs="Arial" w:eastAsia="Arial" w:hAnsi="Arial"/>
          <w:sz w:val="18"/>
          <w:szCs w:val="18"/>
          <w:color w:val="auto"/>
        </w:rPr>
        <w:t>Numerical information is presented on a rounded basis using actual amounts. Minor differences in total and percentage calculations may exist due to rounding.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July 29, 2021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Those parties interested in participating via telephone should dial (833) 618-9487 with the conference ID number 2883365. A replay of the call will be available starting at 12:00 p.m. ET on July 29, 2021, on the Investor Relations website or by telephone. To access the telephone replay, which will be available until Thursday, August 5, 2021 at midnight ET, please dial (855) 859-2056 and enter the conference ID number 2883365.</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9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48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760" w:type="dxa"/>
            <w:vAlign w:val="bottom"/>
          </w:tcPr>
          <w:p>
            <w:pPr>
              <w:spacing w:after="0"/>
              <w:rPr>
                <w:sz w:val="16"/>
                <w:szCs w:val="16"/>
                <w:color w:val="auto"/>
              </w:rPr>
            </w:pPr>
          </w:p>
        </w:tc>
      </w:tr>
      <w:tr>
        <w:trPr>
          <w:trHeight w:val="324"/>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760" w:type="dxa"/>
            <w:vAlign w:val="bottom"/>
          </w:tcPr>
          <w:p>
            <w:pPr>
              <w:spacing w:after="0"/>
              <w:rPr>
                <w:sz w:val="24"/>
                <w:szCs w:val="24"/>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760" w:type="dxa"/>
            <w:vAlign w:val="bottom"/>
          </w:tcPr>
          <w:p>
            <w:pPr>
              <w:jc w:val="right"/>
              <w:spacing w:after="0"/>
              <w:rPr>
                <w:sz w:val="20"/>
                <w:szCs w:val="20"/>
                <w:color w:val="auto"/>
              </w:rPr>
            </w:pPr>
            <w:r>
              <w:rPr>
                <w:rFonts w:ascii="Arial" w:cs="Arial" w:eastAsia="Arial" w:hAnsi="Arial"/>
                <w:sz w:val="16"/>
                <w:szCs w:val="16"/>
                <w:color w:val="auto"/>
              </w:rPr>
              <w:t>(215) 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760" w:type="dxa"/>
            <w:vAlign w:val="bottom"/>
          </w:tcPr>
          <w:p>
            <w:pPr>
              <w:jc w:val="right"/>
              <w:spacing w:after="0"/>
              <w:rPr>
                <w:sz w:val="20"/>
                <w:szCs w:val="20"/>
                <w:color w:val="auto"/>
              </w:rPr>
            </w:pPr>
            <w:r>
              <w:rPr>
                <w:rFonts w:ascii="Arial" w:cs="Arial" w:eastAsia="Arial" w:hAnsi="Arial"/>
                <w:sz w:val="16"/>
                <w:szCs w:val="16"/>
                <w:color w:val="auto"/>
              </w:rPr>
              <w:t>(215) 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8"/>
                <w:szCs w:val="18"/>
                <w:color w:val="auto"/>
              </w:rPr>
            </w:pPr>
          </w:p>
        </w:tc>
        <w:tc>
          <w:tcPr>
            <w:tcW w:w="1760" w:type="dxa"/>
            <w:vAlign w:val="bottom"/>
          </w:tcPr>
          <w:p>
            <w:pPr>
              <w:spacing w:after="0"/>
              <w:rPr>
                <w:sz w:val="18"/>
                <w:szCs w:val="18"/>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press release includes statements that may constitute forward-looking statements.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We undertake no obligation to update or revise publicly any forward-looking statements, whether because of new information, future events or otherwise.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706"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Comcast Corporation (Nasdaq: CMCSA) is a global media and technology company that connects people to moments that matter. We are principally focused on broadband, aggregation, and streaming with over 56 million customer relationships across the United States and Europe. We deliver broadband, wireless, and video through our Xfinity, Comcast Business, and Sky brands; create, distribute, and stream leading entertainment, sports, and news through Universal Filmed Entertainment Group, Universal Studio Group, Sky Studios, the NBC and Telemundo broadcast networks, multiple cable networks, Peacock, NBCUniversal News Group, NBC Sports, Sky News, and Sky Sports; and provide memorable experiences at Universal Parks and Resorts in the United States and Asia.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Visit </w:t>
      </w:r>
      <w:r>
        <w:rPr>
          <w:rFonts w:ascii="Arial" w:cs="Arial" w:eastAsia="Arial" w:hAnsi="Arial"/>
          <w:sz w:val="16"/>
          <w:szCs w:val="16"/>
          <w:u w:val="single" w:color="auto"/>
          <w:color w:val="0000FF"/>
        </w:rPr>
        <w:t>www.comcastcorporation.com</w:t>
      </w:r>
      <w:r>
        <w:rPr>
          <w:rFonts w:ascii="Arial" w:cs="Arial" w:eastAsia="Arial" w:hAnsi="Arial"/>
          <w:sz w:val="16"/>
          <w:szCs w:val="16"/>
          <w:color w:val="auto"/>
        </w:rPr>
        <w:t xml:space="preserve"> for more information.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328930</wp:posOffset>
            </wp:positionV>
            <wp:extent cx="102870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Pr>
          <w:p>
            <w:pPr>
              <w:spacing w:after="0"/>
              <w:rPr>
                <w:sz w:val="18"/>
                <w:szCs w:val="18"/>
                <w:color w:val="auto"/>
              </w:rPr>
            </w:pPr>
          </w:p>
        </w:tc>
        <w:tc>
          <w:tcPr>
            <w:tcW w:w="24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4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4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9"/>
              </w:rPr>
              <w:t>June 30,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4"/>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$28,546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$23,715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$55,751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$50,324</w:t>
            </w:r>
          </w:p>
        </w:tc>
        <w:tc>
          <w:tcPr>
            <w:tcW w:w="0" w:type="dxa"/>
            <w:vAlign w:val="bottom"/>
          </w:tcPr>
          <w:p>
            <w:pPr>
              <w:spacing w:after="0"/>
              <w:rPr>
                <w:sz w:val="1"/>
                <w:szCs w:val="1"/>
                <w:color w:val="auto"/>
              </w:rPr>
            </w:pPr>
          </w:p>
        </w:tc>
      </w:tr>
      <w:tr>
        <w:trPr>
          <w:trHeight w:val="481"/>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9,256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6,817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18,175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15,118</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8,549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7,646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16,818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15,900</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Advertising, 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1,851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1,341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3,467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3,279</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2,113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2,099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4,231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4,206</w:t>
            </w:r>
          </w:p>
        </w:tc>
        <w:tc>
          <w:tcPr>
            <w:tcW w:w="0" w:type="dxa"/>
            <w:vAlign w:val="bottom"/>
          </w:tcPr>
          <w:p>
            <w:pPr>
              <w:spacing w:after="0"/>
              <w:rPr>
                <w:sz w:val="1"/>
                <w:szCs w:val="1"/>
                <w:color w:val="auto"/>
              </w:rPr>
            </w:pPr>
          </w:p>
        </w:tc>
      </w:tr>
      <w:tr>
        <w:trPr>
          <w:trHeight w:val="219"/>
        </w:trPr>
        <w:tc>
          <w:tcPr>
            <w:tcW w:w="654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2,514</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2,322</w:t>
            </w:r>
          </w:p>
        </w:tc>
        <w:tc>
          <w:tcPr>
            <w:tcW w:w="0" w:type="dxa"/>
            <w:vAlign w:val="bottom"/>
          </w:tcPr>
          <w:p>
            <w:pPr>
              <w:spacing w:after="0"/>
              <w:rPr>
                <w:sz w:val="1"/>
                <w:szCs w:val="1"/>
                <w:color w:val="auto"/>
              </w:rPr>
            </w:pPr>
          </w:p>
        </w:tc>
      </w:tr>
      <w:tr>
        <w:trPr>
          <w:trHeight w:val="212"/>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23,039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19,068</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45,205</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40,825</w:t>
            </w:r>
          </w:p>
        </w:tc>
        <w:tc>
          <w:tcPr>
            <w:tcW w:w="0" w:type="dxa"/>
            <w:vAlign w:val="bottom"/>
          </w:tcPr>
          <w:p>
            <w:pPr>
              <w:spacing w:after="0"/>
              <w:rPr>
                <w:sz w:val="1"/>
                <w:szCs w:val="1"/>
                <w:color w:val="auto"/>
              </w:rPr>
            </w:pPr>
          </w:p>
        </w:tc>
      </w:tr>
      <w:tr>
        <w:trPr>
          <w:trHeight w:val="407"/>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5,507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4,647</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10,546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9,499</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(1,093)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(1,112)</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(2,112)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959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1,095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654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2"/>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1,216</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1,607</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461"/>
        </w:trPr>
        <w:tc>
          <w:tcPr>
            <w:tcW w:w="65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5,630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3,955</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10,042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6,879</w:t>
            </w:r>
          </w:p>
        </w:tc>
        <w:tc>
          <w:tcPr>
            <w:tcW w:w="0" w:type="dxa"/>
            <w:vAlign w:val="bottom"/>
          </w:tcPr>
          <w:p>
            <w:pPr>
              <w:spacing w:after="0"/>
              <w:rPr>
                <w:sz w:val="1"/>
                <w:szCs w:val="1"/>
                <w:color w:val="auto"/>
              </w:rPr>
            </w:pPr>
          </w:p>
        </w:tc>
      </w:tr>
      <w:tr>
        <w:trPr>
          <w:trHeight w:val="489"/>
        </w:trPr>
        <w:tc>
          <w:tcPr>
            <w:tcW w:w="654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(2,000)</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(3,119)</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w:t>
            </w:r>
          </w:p>
        </w:tc>
        <w:tc>
          <w:tcPr>
            <w:tcW w:w="0" w:type="dxa"/>
            <w:vAlign w:val="bottom"/>
          </w:tcPr>
          <w:p>
            <w:pPr>
              <w:spacing w:after="0"/>
              <w:rPr>
                <w:sz w:val="1"/>
                <w:szCs w:val="1"/>
                <w:color w:val="auto"/>
              </w:rPr>
            </w:pPr>
          </w:p>
        </w:tc>
      </w:tr>
      <w:tr>
        <w:trPr>
          <w:trHeight w:val="463"/>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3,630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6,922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5,233</w:t>
            </w: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 and redeemable subsidiary</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(108)</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540" w:type="dxa"/>
            <w:vAlign w:val="bottom"/>
          </w:tcPr>
          <w:p>
            <w:pPr>
              <w:ind w:left="160"/>
              <w:spacing w:after="0"/>
              <w:rPr>
                <w:sz w:val="20"/>
                <w:szCs w:val="20"/>
                <w:color w:val="auto"/>
              </w:rPr>
            </w:pPr>
            <w:r>
              <w:rPr>
                <w:rFonts w:ascii="Arial" w:cs="Arial" w:eastAsia="Arial" w:hAnsi="Arial"/>
                <w:sz w:val="16"/>
                <w:szCs w:val="16"/>
                <w:color w:val="auto"/>
              </w:rPr>
              <w:t>preferred stock</w:t>
            </w: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6"/>
        </w:trPr>
        <w:tc>
          <w:tcPr>
            <w:tcW w:w="65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$3,738</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$2,988</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$7,067</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$5,135</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40" w:type="dxa"/>
            <w:vAlign w:val="bottom"/>
            <w:vMerge w:val="continue"/>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$0.80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$0.65</w:t>
            </w: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9"/>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4,673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4,607</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4,669</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744"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354965</wp:posOffset>
            </wp:positionV>
            <wp:extent cx="102870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232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154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auto"/>
                <w:w w:val="99"/>
              </w:rPr>
              <w:t>June 30,</w:t>
            </w:r>
          </w:p>
        </w:tc>
        <w:tc>
          <w:tcPr>
            <w:tcW w:w="780" w:type="dxa"/>
            <w:vAlign w:val="bottom"/>
          </w:tcPr>
          <w:p>
            <w:pPr>
              <w:spacing w:after="0"/>
              <w:rPr>
                <w:sz w:val="18"/>
                <w:szCs w:val="18"/>
                <w:color w:val="auto"/>
              </w:rPr>
            </w:pPr>
          </w:p>
        </w:tc>
      </w:tr>
      <w:tr>
        <w:trPr>
          <w:trHeight w:val="216"/>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$6,922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$5,233</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6,745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6,528</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711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621</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210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(1,403)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1,297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900</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837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299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(879)</w:t>
            </w:r>
          </w:p>
        </w:tc>
      </w:tr>
      <w:tr>
        <w:trPr>
          <w:trHeight w:val="219"/>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w:t>
            </w:r>
          </w:p>
        </w:tc>
      </w:tr>
      <w:tr>
        <w:trPr>
          <w:trHeight w:val="409"/>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15,357</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14,467</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(4,003)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(3,957)</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(1,283)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(704)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(708)</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Acquisitions, net of cash acquired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396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2,042</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(471)</w:t>
            </w:r>
          </w:p>
        </w:tc>
      </w:tr>
      <w:tr>
        <w:trPr>
          <w:trHeight w:val="219"/>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409"/>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(5,631)</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(4,478)</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383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13,612</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(5,785)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(10,712)</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(957)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(2,230)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(2,028)</w:t>
            </w:r>
          </w:p>
        </w:tc>
      </w:tr>
      <w:tr>
        <w:trPr>
          <w:trHeight w:val="219"/>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(475)</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(9,064)</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w:t>
            </w:r>
          </w:p>
        </w:tc>
      </w:tr>
      <w:tr>
        <w:trPr>
          <w:trHeight w:val="409"/>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650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8,387</w:t>
            </w:r>
          </w:p>
        </w:tc>
      </w:tr>
      <w:tr>
        <w:trPr>
          <w:trHeight w:val="435"/>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11,768</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5,589</w:t>
            </w:r>
          </w:p>
        </w:tc>
      </w:tr>
      <w:tr>
        <w:trPr>
          <w:trHeight w:val="415"/>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$12,418</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$13,976</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20"/>
          </w:cols>
          <w:pgMar w:left="340" w:top="784"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328930</wp:posOffset>
            </wp:positionV>
            <wp:extent cx="102870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3</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(in millions)</w:t>
            </w:r>
          </w:p>
        </w:tc>
        <w:tc>
          <w:tcPr>
            <w:tcW w:w="1840" w:type="dxa"/>
            <w:vAlign w:val="bottom"/>
            <w:gridSpan w:val="2"/>
          </w:tcPr>
          <w:p>
            <w:pPr>
              <w:ind w:left="440"/>
              <w:spacing w:after="0"/>
              <w:rPr>
                <w:sz w:val="20"/>
                <w:szCs w:val="20"/>
                <w:color w:val="auto"/>
              </w:rPr>
            </w:pPr>
            <w:r>
              <w:rPr>
                <w:rFonts w:ascii="Arial" w:cs="Arial" w:eastAsia="Arial" w:hAnsi="Arial"/>
                <w:sz w:val="18"/>
                <w:szCs w:val="18"/>
                <w:b w:val="1"/>
                <w:bCs w:val="1"/>
                <w:color w:val="auto"/>
              </w:rPr>
              <w:t>June 30,</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9"/>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778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$12,378</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11,110</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39"/>
        </w:trPr>
        <w:tc>
          <w:tcPr>
            <w:tcW w:w="77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3,558</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27,046</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26,741</w:t>
            </w:r>
          </w:p>
        </w:tc>
        <w:tc>
          <w:tcPr>
            <w:tcW w:w="0" w:type="dxa"/>
            <w:vAlign w:val="bottom"/>
          </w:tcPr>
          <w:p>
            <w:pPr>
              <w:spacing w:after="0"/>
              <w:rPr>
                <w:sz w:val="1"/>
                <w:szCs w:val="1"/>
                <w:color w:val="auto"/>
              </w:rPr>
            </w:pPr>
          </w:p>
        </w:tc>
      </w:tr>
      <w:tr>
        <w:trPr>
          <w:trHeight w:val="426"/>
        </w:trPr>
        <w:tc>
          <w:tcPr>
            <w:tcW w:w="77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12,372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13,340</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Investments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8,903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Investment securing collateralized obligation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564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52,769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51,995</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70,429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70,669</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Franchise rights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34,321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35,389</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11,235</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$277,004</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$273,869</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$11,672</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$11,364</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Accrued participations and residuals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1,713</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3,566</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8,956</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39"/>
        </w:trPr>
        <w:tc>
          <w:tcPr>
            <w:tcW w:w="77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3,407</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29,314</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28,796</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95,175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100,614</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Collateralized obligation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5,169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29,525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28,051</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20,775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18,222</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530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Equity</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94,935</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40"/>
              <w:spacing w:after="0"/>
              <w:rPr>
                <w:sz w:val="20"/>
                <w:szCs w:val="20"/>
                <w:color w:val="auto"/>
              </w:rPr>
            </w:pPr>
            <w:r>
              <w:rPr>
                <w:rFonts w:ascii="Arial" w:cs="Arial" w:eastAsia="Arial" w:hAnsi="Arial"/>
                <w:sz w:val="18"/>
                <w:szCs w:val="18"/>
                <w:color w:val="auto"/>
              </w:rPr>
              <w:t>Comcast Corporation shareholders' equity</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90,323</w:t>
            </w:r>
          </w:p>
        </w:tc>
        <w:tc>
          <w:tcPr>
            <w:tcW w:w="0" w:type="dxa"/>
            <w:vAlign w:val="bottom"/>
          </w:tcPr>
          <w:p>
            <w:pPr>
              <w:spacing w:after="0"/>
              <w:rPr>
                <w:sz w:val="1"/>
                <w:szCs w:val="1"/>
                <w:color w:val="auto"/>
              </w:rPr>
            </w:pPr>
          </w:p>
        </w:tc>
      </w:tr>
      <w:tr>
        <w:trPr>
          <w:trHeight w:val="239"/>
        </w:trPr>
        <w:tc>
          <w:tcPr>
            <w:tcW w:w="77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1,581</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equity</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96,516</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91,738</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$277,004</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$273,869</w:t>
            </w:r>
          </w:p>
        </w:tc>
        <w:tc>
          <w:tcPr>
            <w:tcW w:w="0" w:type="dxa"/>
            <w:vAlign w:val="bottom"/>
          </w:tcPr>
          <w:p>
            <w:pPr>
              <w:spacing w:after="0"/>
              <w:rPr>
                <w:sz w:val="1"/>
                <w:szCs w:val="1"/>
                <w:color w:val="auto"/>
              </w:rPr>
            </w:pPr>
          </w:p>
        </w:tc>
      </w:tr>
      <w:tr>
        <w:trPr>
          <w:trHeight w:val="21"/>
        </w:trPr>
        <w:tc>
          <w:tcPr>
            <w:tcW w:w="7780" w:type="dxa"/>
            <w:vAlign w:val="bottom"/>
            <w:vMerge w:val="restart"/>
          </w:tcPr>
          <w:p>
            <w:pPr>
              <w:ind w:left="5520"/>
              <w:spacing w:after="0"/>
              <w:rPr>
                <w:sz w:val="20"/>
                <w:szCs w:val="20"/>
                <w:color w:val="auto"/>
              </w:rPr>
            </w:pPr>
            <w:r>
              <w:rPr>
                <w:rFonts w:ascii="Arial" w:cs="Arial" w:eastAsia="Arial" w:hAnsi="Arial"/>
                <w:sz w:val="14"/>
                <w:szCs w:val="14"/>
                <w:color w:val="auto"/>
              </w:rPr>
              <w:t>13</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7"/>
        </w:trPr>
        <w:tc>
          <w:tcPr>
            <w:tcW w:w="7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44"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-179705</wp:posOffset>
            </wp:positionV>
            <wp:extent cx="1028700" cy="43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0" cy="437515"/>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300" w:type="dxa"/>
            <w:vAlign w:val="bottom"/>
          </w:tcPr>
          <w:p>
            <w:pPr>
              <w:spacing w:after="0"/>
              <w:rPr>
                <w:sz w:val="21"/>
                <w:szCs w:val="21"/>
                <w:color w:val="auto"/>
              </w:rPr>
            </w:pPr>
          </w:p>
        </w:tc>
        <w:tc>
          <w:tcPr>
            <w:tcW w:w="19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1"/>
                <w:szCs w:val="21"/>
                <w:color w:val="auto"/>
              </w:rPr>
            </w:pPr>
          </w:p>
        </w:tc>
        <w:tc>
          <w:tcPr>
            <w:tcW w:w="190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7300" w:type="dxa"/>
            <w:vAlign w:val="bottom"/>
          </w:tcPr>
          <w:p>
            <w:pPr>
              <w:spacing w:after="0"/>
              <w:rPr>
                <w:sz w:val="15"/>
                <w:szCs w:val="15"/>
                <w:color w:val="auto"/>
              </w:rPr>
            </w:pPr>
          </w:p>
        </w:tc>
        <w:tc>
          <w:tcPr>
            <w:tcW w:w="120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5"/>
                <w:szCs w:val="15"/>
                <w:color w:val="auto"/>
              </w:rPr>
            </w:pP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2020</w:t>
            </w:r>
          </w:p>
        </w:tc>
      </w:tr>
      <w:tr>
        <w:trPr>
          <w:trHeight w:val="183"/>
        </w:trPr>
        <w:tc>
          <w:tcPr>
            <w:tcW w:w="73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$3,738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$2,988</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$7,067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$5,135</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 and redeemable subsidiary preferred stock</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(145)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Income tax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3,119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1,646</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1,093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1,112</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2,112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2,324</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(1,216)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(1,607)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296</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3,383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3,264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6,745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6,528</w:t>
            </w:r>
          </w:p>
        </w:tc>
      </w:tr>
      <w:tr>
        <w:trPr>
          <w:trHeight w:val="189"/>
        </w:trPr>
        <w:tc>
          <w:tcPr>
            <w:tcW w:w="7300" w:type="dxa"/>
            <w:vAlign w:val="bottom"/>
          </w:tcPr>
          <w:p>
            <w:pPr>
              <w:spacing w:after="0" w:line="189"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23"/>
        </w:trPr>
        <w:tc>
          <w:tcPr>
            <w:tcW w:w="73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$8,927</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$17,339</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$16,057</w:t>
            </w:r>
          </w:p>
        </w:tc>
      </w:tr>
    </w:tbl>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Pr>
          <w:p>
            <w:pPr>
              <w:spacing w:after="0"/>
              <w:rPr>
                <w:sz w:val="17"/>
                <w:szCs w:val="17"/>
                <w:color w:val="auto"/>
              </w:rPr>
            </w:pPr>
          </w:p>
        </w:tc>
        <w:tc>
          <w:tcPr>
            <w:tcW w:w="19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left w:val="single" w:sz="8" w:color="auto"/>
            </w:tcBorders>
          </w:tcPr>
          <w:p>
            <w:pPr>
              <w:spacing w:after="0"/>
              <w:rPr>
                <w:sz w:val="17"/>
                <w:szCs w:val="17"/>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7240" w:type="dxa"/>
            <w:vAlign w:val="bottom"/>
          </w:tcPr>
          <w:p>
            <w:pPr>
              <w:spacing w:after="0"/>
              <w:rPr>
                <w:sz w:val="15"/>
                <w:szCs w:val="15"/>
                <w:color w:val="auto"/>
              </w:rPr>
            </w:pPr>
          </w:p>
        </w:tc>
        <w:tc>
          <w:tcPr>
            <w:tcW w:w="124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128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w w:val="99"/>
              </w:rPr>
              <w:t>June 30,</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$7,606</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$8,643</w:t>
            </w:r>
          </w:p>
        </w:tc>
        <w:tc>
          <w:tcPr>
            <w:tcW w:w="12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$15,357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$14,467</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(2,144)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(2,076)</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(4,003)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(3,957)</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(671)</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$4,791</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$5,966</w:t>
            </w:r>
          </w:p>
        </w:tc>
        <w:tc>
          <w:tcPr>
            <w:tcW w:w="12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$10,071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$9,291</w:t>
            </w:r>
          </w:p>
        </w:tc>
        <w:tc>
          <w:tcPr>
            <w:tcW w:w="0" w:type="dxa"/>
            <w:vAlign w:val="bottom"/>
          </w:tcPr>
          <w:p>
            <w:pPr>
              <w:spacing w:after="0"/>
              <w:rPr>
                <w:sz w:val="1"/>
                <w:szCs w:val="1"/>
                <w:color w:val="auto"/>
              </w:rPr>
            </w:pPr>
          </w:p>
        </w:tc>
      </w:tr>
      <w:tr>
        <w:trPr>
          <w:trHeight w:val="304"/>
        </w:trPr>
        <w:tc>
          <w:tcPr>
            <w:tcW w:w="7240" w:type="dxa"/>
            <w:vAlign w:val="bottom"/>
            <w:tcBorders>
              <w:bottom w:val="single" w:sz="8" w:color="004EA8"/>
            </w:tcBorders>
          </w:tcPr>
          <w:p>
            <w:pPr>
              <w:ind w:left="20"/>
              <w:spacing w:after="0"/>
              <w:rPr>
                <w:sz w:val="20"/>
                <w:szCs w:val="20"/>
                <w:color w:val="auto"/>
              </w:rPr>
            </w:pPr>
            <w:r>
              <w:rPr>
                <w:rFonts w:ascii="Arial" w:cs="Arial" w:eastAsia="Arial" w:hAnsi="Arial"/>
                <w:sz w:val="18"/>
                <w:szCs w:val="18"/>
                <w:b w:val="1"/>
                <w:bCs w:val="1"/>
                <w:color w:val="828282"/>
              </w:rPr>
              <w:t>Alternate Presentation of Free Cash Flow (Unaudited)</w:t>
            </w:r>
          </w:p>
        </w:tc>
        <w:tc>
          <w:tcPr>
            <w:tcW w:w="860" w:type="dxa"/>
            <w:vAlign w:val="bottom"/>
            <w:tcBorders>
              <w:bottom w:val="single" w:sz="8" w:color="004EA8"/>
            </w:tcBorders>
          </w:tcPr>
          <w:p>
            <w:pPr>
              <w:spacing w:after="0"/>
              <w:rPr>
                <w:sz w:val="24"/>
                <w:szCs w:val="24"/>
                <w:color w:val="auto"/>
              </w:rPr>
            </w:pPr>
          </w:p>
        </w:tc>
        <w:tc>
          <w:tcPr>
            <w:tcW w:w="140" w:type="dxa"/>
            <w:vAlign w:val="bottom"/>
            <w:tcBorders>
              <w:bottom w:val="single" w:sz="8" w:color="004EA8"/>
            </w:tcBorders>
          </w:tcPr>
          <w:p>
            <w:pPr>
              <w:spacing w:after="0"/>
              <w:rPr>
                <w:sz w:val="24"/>
                <w:szCs w:val="24"/>
                <w:color w:val="auto"/>
              </w:rPr>
            </w:pPr>
          </w:p>
        </w:tc>
        <w:tc>
          <w:tcPr>
            <w:tcW w:w="240" w:type="dxa"/>
            <w:vAlign w:val="bottom"/>
            <w:tcBorders>
              <w:bottom w:val="single" w:sz="8" w:color="004EA8"/>
            </w:tcBorders>
          </w:tcPr>
          <w:p>
            <w:pPr>
              <w:spacing w:after="0"/>
              <w:rPr>
                <w:sz w:val="24"/>
                <w:szCs w:val="24"/>
                <w:color w:val="auto"/>
              </w:rPr>
            </w:pPr>
          </w:p>
        </w:tc>
        <w:tc>
          <w:tcPr>
            <w:tcW w:w="620" w:type="dxa"/>
            <w:vAlign w:val="bottom"/>
            <w:tcBorders>
              <w:bottom w:val="single" w:sz="8" w:color="004EA8"/>
            </w:tcBorders>
          </w:tcPr>
          <w:p>
            <w:pPr>
              <w:spacing w:after="0"/>
              <w:rPr>
                <w:sz w:val="24"/>
                <w:szCs w:val="24"/>
                <w:color w:val="auto"/>
              </w:rPr>
            </w:pPr>
          </w:p>
        </w:tc>
        <w:tc>
          <w:tcPr>
            <w:tcW w:w="120" w:type="dxa"/>
            <w:vAlign w:val="bottom"/>
            <w:tcBorders>
              <w:bottom w:val="single" w:sz="8" w:color="004EA8"/>
            </w:tcBorders>
          </w:tcPr>
          <w:p>
            <w:pPr>
              <w:spacing w:after="0"/>
              <w:rPr>
                <w:sz w:val="24"/>
                <w:szCs w:val="24"/>
                <w:color w:val="auto"/>
              </w:rPr>
            </w:pPr>
          </w:p>
        </w:tc>
        <w:tc>
          <w:tcPr>
            <w:tcW w:w="100" w:type="dxa"/>
            <w:vAlign w:val="bottom"/>
            <w:tcBorders>
              <w:bottom w:val="single" w:sz="8" w:color="004EA8"/>
            </w:tcBorders>
          </w:tcPr>
          <w:p>
            <w:pPr>
              <w:spacing w:after="0"/>
              <w:rPr>
                <w:sz w:val="24"/>
                <w:szCs w:val="24"/>
                <w:color w:val="auto"/>
              </w:rPr>
            </w:pPr>
          </w:p>
        </w:tc>
        <w:tc>
          <w:tcPr>
            <w:tcW w:w="900" w:type="dxa"/>
            <w:vAlign w:val="bottom"/>
            <w:tcBorders>
              <w:bottom w:val="single" w:sz="8" w:color="004EA8"/>
            </w:tcBorders>
          </w:tcPr>
          <w:p>
            <w:pPr>
              <w:spacing w:after="0"/>
              <w:rPr>
                <w:sz w:val="24"/>
                <w:szCs w:val="24"/>
                <w:color w:val="auto"/>
              </w:rPr>
            </w:pPr>
          </w:p>
        </w:tc>
        <w:tc>
          <w:tcPr>
            <w:tcW w:w="120" w:type="dxa"/>
            <w:vAlign w:val="bottom"/>
            <w:tcBorders>
              <w:bottom w:val="single" w:sz="8" w:color="004EA8"/>
            </w:tcBorders>
          </w:tcPr>
          <w:p>
            <w:pPr>
              <w:spacing w:after="0"/>
              <w:rPr>
                <w:sz w:val="24"/>
                <w:szCs w:val="24"/>
                <w:color w:val="auto"/>
              </w:rPr>
            </w:pPr>
          </w:p>
        </w:tc>
        <w:tc>
          <w:tcPr>
            <w:tcW w:w="260" w:type="dxa"/>
            <w:vAlign w:val="bottom"/>
            <w:tcBorders>
              <w:bottom w:val="single" w:sz="8" w:color="004EA8"/>
            </w:tcBorders>
          </w:tcPr>
          <w:p>
            <w:pPr>
              <w:spacing w:after="0"/>
              <w:rPr>
                <w:sz w:val="24"/>
                <w:szCs w:val="24"/>
                <w:color w:val="auto"/>
              </w:rPr>
            </w:pPr>
          </w:p>
        </w:tc>
        <w:tc>
          <w:tcPr>
            <w:tcW w:w="640" w:type="dxa"/>
            <w:vAlign w:val="bottom"/>
            <w:tcBorders>
              <w:bottom w:val="single" w:sz="8" w:color="004EA8"/>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198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
                <w:szCs w:val="2"/>
                <w:color w:val="auto"/>
              </w:rPr>
            </w:pPr>
          </w:p>
        </w:tc>
        <w:tc>
          <w:tcPr>
            <w:tcW w:w="19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980" w:type="dxa"/>
            <w:vAlign w:val="bottom"/>
            <w:gridSpan w:val="5"/>
            <w:vMerge w:val="continue"/>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19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240" w:type="dxa"/>
            <w:vAlign w:val="bottom"/>
          </w:tcPr>
          <w:p>
            <w:pPr>
              <w:spacing w:after="0"/>
              <w:rPr>
                <w:sz w:val="15"/>
                <w:szCs w:val="15"/>
                <w:color w:val="auto"/>
              </w:rPr>
            </w:pPr>
          </w:p>
        </w:tc>
        <w:tc>
          <w:tcPr>
            <w:tcW w:w="124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128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w w:val="99"/>
              </w:rPr>
              <w:t>June 30,</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$8,927</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$7,927</w:t>
            </w:r>
          </w:p>
        </w:tc>
        <w:tc>
          <w:tcPr>
            <w:tcW w:w="12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$17,339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$16,057</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(2,144)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(2,076)</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(4,003)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(3,957)</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(671)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(1,283)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Cash 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(998)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(945)</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(1,909)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(1,936)</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Cash taxes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(1,745)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(1,832)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1,068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1,378</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892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Noncash share-based compensation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338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711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$4,791</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$5,966</w:t>
            </w:r>
          </w:p>
        </w:tc>
        <w:tc>
          <w:tcPr>
            <w:tcW w:w="12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$10,071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$9,291</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360" w:right="20" w:hanging="334"/>
        <w:spacing w:after="0" w:line="184" w:lineRule="auto"/>
        <w:tabs>
          <w:tab w:leader="none" w:pos="36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2nd quarter and year to date 2021 Adjusted EBITDA exclude $36 million and $48 million of other operating and administrative expense, respectively, related to the Sky transaction and costs related to our investment portfolio. 2nd quarter and year to date 2020 Adjusted EBITDA exclude $16 million and $30 million of other operating and administrative expense, respectively, related to the Sky transaction.</w:t>
      </w:r>
    </w:p>
    <w:p>
      <w:pPr>
        <w:spacing w:after="0" w:line="72" w:lineRule="exact"/>
        <w:rPr>
          <w:rFonts w:ascii="Arial" w:cs="Arial" w:eastAsia="Arial" w:hAnsi="Arial"/>
          <w:sz w:val="22"/>
          <w:szCs w:val="22"/>
          <w:color w:val="auto"/>
          <w:vertAlign w:val="superscript"/>
        </w:rPr>
      </w:pPr>
    </w:p>
    <w:p>
      <w:pPr>
        <w:ind w:left="360" w:right="20" w:hanging="334"/>
        <w:spacing w:after="0" w:line="188" w:lineRule="auto"/>
        <w:tabs>
          <w:tab w:leader="none" w:pos="36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2nd quarter and year to date 2021 include decreases of $36 million and $48 million, respectively, related to costs that are excluded from Adjusted EBITDA. 2nd quarter and year to date 2020 include decreases of $16 million and $30 million, respectively, related to costs that are excluded from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892"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6003290</wp:posOffset>
            </wp:positionH>
            <wp:positionV relativeFrom="page">
              <wp:posOffset>526415</wp:posOffset>
            </wp:positionV>
            <wp:extent cx="1080135" cy="462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80135" cy="462915"/>
                    </a:xfrm>
                    <a:prstGeom prst="rect">
                      <a:avLst/>
                    </a:prstGeom>
                    <a:noFill/>
                  </pic:spPr>
                </pic:pic>
              </a:graphicData>
            </a:graphic>
          </wp:anchor>
        </w:drawing>
        <w:t>TABLE 5</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840" w:type="dxa"/>
            <w:vAlign w:val="bottom"/>
            <w:gridSpan w:val="5"/>
          </w:tcPr>
          <w:p>
            <w:pPr>
              <w:jc w:val="center"/>
              <w:ind w:left="46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gridSpan w:val="4"/>
          </w:tcPr>
          <w:p>
            <w:pPr>
              <w:jc w:val="center"/>
              <w:ind w:right="468"/>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2021</w:t>
            </w:r>
          </w:p>
        </w:tc>
        <w:tc>
          <w:tcPr>
            <w:tcW w:w="92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00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14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12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EPS</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EPS</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80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EPS</w:t>
            </w: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82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 diluted</w:t>
            </w:r>
          </w:p>
        </w:tc>
        <w:tc>
          <w:tcPr>
            <w:tcW w:w="1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4"/>
                <w:szCs w:val="14"/>
                <w:b w:val="1"/>
                <w:bCs w:val="1"/>
                <w:color w:val="auto"/>
              </w:rPr>
              <w:t>earnings per share attributable to Comcast Corporation</w:t>
            </w:r>
          </w:p>
        </w:tc>
        <w:tc>
          <w:tcPr>
            <w:tcW w:w="11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$3,738</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$0.80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208"/>
              <w:spacing w:after="0"/>
              <w:rPr>
                <w:sz w:val="20"/>
                <w:szCs w:val="20"/>
                <w:color w:val="auto"/>
              </w:rPr>
            </w:pPr>
            <w:r>
              <w:rPr>
                <w:rFonts w:ascii="Arial" w:cs="Arial" w:eastAsia="Arial" w:hAnsi="Arial"/>
                <w:sz w:val="14"/>
                <w:szCs w:val="14"/>
                <w:color w:val="auto"/>
              </w:rPr>
              <w:t>$2,988</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$0.65</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$7,067</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color w:val="auto"/>
              </w:rPr>
              <w:t>$5,135</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Arial" w:cs="Arial" w:eastAsia="Arial" w:hAnsi="Arial"/>
                <w:sz w:val="14"/>
                <w:szCs w:val="14"/>
                <w:b w:val="1"/>
                <w:bCs w:val="1"/>
                <w:color w:val="auto"/>
              </w:rPr>
              <w:t>shareholders</w:t>
            </w:r>
          </w:p>
        </w:tc>
        <w:tc>
          <w:tcPr>
            <w:tcW w:w="11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4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20" w:type="dxa"/>
            <w:vAlign w:val="bottom"/>
          </w:tcPr>
          <w:p>
            <w:pPr>
              <w:jc w:val="right"/>
              <w:ind w:right="248"/>
              <w:spacing w:after="0"/>
              <w:rPr>
                <w:sz w:val="20"/>
                <w:szCs w:val="20"/>
                <w:color w:val="auto"/>
              </w:rPr>
            </w:pPr>
            <w:r>
              <w:rPr>
                <w:rFonts w:ascii="Arial" w:cs="Arial" w:eastAsia="Arial" w:hAnsi="Arial"/>
                <w:sz w:val="14"/>
                <w:szCs w:val="14"/>
                <w:i w:val="1"/>
                <w:iCs w:val="1"/>
                <w:color w:val="auto"/>
              </w:rPr>
              <w:t>25.1 %</w:t>
            </w: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23.1 %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i w:val="1"/>
                <w:iCs w:val="1"/>
                <w:color w:val="auto"/>
              </w:rPr>
              <w:t>37.6 %</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36.0 %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14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472</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color w:val="auto"/>
              </w:rPr>
              <w:t>449</w:t>
            </w:r>
          </w:p>
        </w:tc>
        <w:tc>
          <w:tcPr>
            <w:tcW w:w="56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949</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0.21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907</w:t>
            </w:r>
          </w:p>
        </w:tc>
        <w:tc>
          <w:tcPr>
            <w:tcW w:w="560" w:type="dxa"/>
            <w:vAlign w:val="bottom"/>
          </w:tcPr>
          <w:p>
            <w:pPr>
              <w:jc w:val="right"/>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07"/>
        </w:trPr>
        <w:tc>
          <w:tcPr>
            <w:tcW w:w="4140" w:type="dxa"/>
            <w:vAlign w:val="bottom"/>
          </w:tcPr>
          <w:p>
            <w:pPr>
              <w:spacing w:after="0"/>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(835)</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color w:val="auto"/>
              </w:rPr>
              <w:t>(280)</w:t>
            </w:r>
          </w:p>
        </w:tc>
        <w:tc>
          <w:tcPr>
            <w:tcW w:w="56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(1,122)</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264</w:t>
            </w:r>
          </w:p>
        </w:tc>
        <w:tc>
          <w:tcPr>
            <w:tcW w:w="560" w:type="dxa"/>
            <w:vAlign w:val="bottom"/>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72"/>
        </w:trPr>
        <w:tc>
          <w:tcPr>
            <w:tcW w:w="414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11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59</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0.01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59</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0.01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120"/>
              <w:spacing w:after="0" w:line="188" w:lineRule="exact"/>
              <w:rPr>
                <w:sz w:val="20"/>
                <w:szCs w:val="20"/>
                <w:color w:val="auto"/>
              </w:rPr>
            </w:pPr>
            <w:r>
              <w:rPr>
                <w:rFonts w:ascii="Arial" w:cs="Arial" w:eastAsia="Arial" w:hAnsi="Arial"/>
                <w:sz w:val="14"/>
                <w:szCs w:val="14"/>
                <w:color w:val="auto"/>
              </w:rPr>
              <w:t xml:space="preserve">Loss on early redemption of debt </w:t>
            </w:r>
            <w:r>
              <w:rPr>
                <w:rFonts w:ascii="Arial" w:cs="Arial" w:eastAsia="Arial" w:hAnsi="Arial"/>
                <w:sz w:val="18"/>
                <w:szCs w:val="18"/>
                <w:color w:val="auto"/>
                <w:vertAlign w:val="superscript"/>
              </w:rPr>
              <w:t>(4)</w:t>
            </w:r>
          </w:p>
        </w:tc>
        <w:tc>
          <w:tcPr>
            <w:tcW w:w="11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106</w:t>
            </w:r>
          </w:p>
        </w:tc>
        <w:tc>
          <w:tcPr>
            <w:tcW w:w="56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9"/>
        </w:trPr>
        <w:tc>
          <w:tcPr>
            <w:tcW w:w="414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18"/>
                <w:szCs w:val="18"/>
                <w:color w:val="auto"/>
                <w:vertAlign w:val="superscript"/>
              </w:rPr>
              <w:t>(3)</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498</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498</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0.11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4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Costs related to Sky transaction </w:t>
            </w:r>
            <w:r>
              <w:rPr>
                <w:rFonts w:ascii="Arial" w:cs="Arial" w:eastAsia="Arial" w:hAnsi="Arial"/>
                <w:sz w:val="18"/>
                <w:szCs w:val="18"/>
                <w:color w:val="auto"/>
                <w:vertAlign w:val="superscript"/>
              </w:rPr>
              <w:t>(5)</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11</w:t>
            </w:r>
          </w:p>
        </w:tc>
        <w:tc>
          <w:tcPr>
            <w:tcW w:w="9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08"/>
              <w:spacing w:after="0"/>
              <w:rPr>
                <w:sz w:val="20"/>
                <w:szCs w:val="20"/>
                <w:color w:val="auto"/>
              </w:rPr>
            </w:pPr>
            <w:r>
              <w:rPr>
                <w:rFonts w:ascii="Arial" w:cs="Arial" w:eastAsia="Arial" w:hAnsi="Arial"/>
                <w:sz w:val="14"/>
                <w:szCs w:val="14"/>
                <w:color w:val="auto"/>
              </w:rPr>
              <w:t>13</w:t>
            </w:r>
          </w:p>
        </w:tc>
        <w:tc>
          <w:tcPr>
            <w:tcW w:w="680" w:type="dxa"/>
            <w:vAlign w:val="bottom"/>
            <w:tcBorders>
              <w:right w:val="single" w:sz="8" w:color="auto"/>
            </w:tcBorders>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21</w:t>
            </w:r>
          </w:p>
        </w:tc>
        <w:tc>
          <w:tcPr>
            <w:tcW w:w="10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24</w:t>
            </w:r>
          </w:p>
        </w:tc>
        <w:tc>
          <w:tcPr>
            <w:tcW w:w="56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63"/>
        </w:trPr>
        <w:tc>
          <w:tcPr>
            <w:tcW w:w="414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11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$3,943</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$0.84</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$3,170</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$0.69</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$7,472</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$6,436</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4"/>
        </w:trPr>
        <w:tc>
          <w:tcPr>
            <w:tcW w:w="414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20" w:type="dxa"/>
            <w:vAlign w:val="bottom"/>
          </w:tcPr>
          <w:p>
            <w:pPr>
              <w:jc w:val="right"/>
              <w:ind w:right="248"/>
              <w:spacing w:after="0"/>
              <w:rPr>
                <w:sz w:val="20"/>
                <w:szCs w:val="20"/>
                <w:color w:val="auto"/>
              </w:rPr>
            </w:pPr>
            <w:r>
              <w:rPr>
                <w:rFonts w:ascii="Arial" w:cs="Arial" w:eastAsia="Arial" w:hAnsi="Arial"/>
                <w:sz w:val="14"/>
                <w:szCs w:val="14"/>
                <w:i w:val="1"/>
                <w:iCs w:val="1"/>
                <w:color w:val="auto"/>
              </w:rPr>
              <w:t>24.3 %</w:t>
            </w: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21.7 %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i w:val="1"/>
                <w:iCs w:val="1"/>
                <w:color w:val="auto"/>
              </w:rPr>
              <w:t>16.1 %</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14.3 %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left="260" w:right="40" w:hanging="252"/>
        <w:spacing w:after="0" w:line="250" w:lineRule="auto"/>
        <w:tabs>
          <w:tab w:leader="none" w:pos="25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3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980" w:type="dxa"/>
            <w:vAlign w:val="bottom"/>
          </w:tcPr>
          <w:p>
            <w:pPr>
              <w:spacing w:after="0"/>
              <w:rPr>
                <w:sz w:val="13"/>
                <w:szCs w:val="13"/>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4"/>
          </w:tcPr>
          <w:p>
            <w:pPr>
              <w:jc w:val="center"/>
              <w:spacing w:after="0"/>
              <w:rPr>
                <w:sz w:val="20"/>
                <w:szCs w:val="20"/>
                <w:color w:val="auto"/>
              </w:rPr>
            </w:pPr>
            <w:r>
              <w:rPr>
                <w:rFonts w:ascii="Arial" w:cs="Arial" w:eastAsia="Arial" w:hAnsi="Arial"/>
                <w:sz w:val="13"/>
                <w:szCs w:val="13"/>
                <w:color w:val="auto"/>
                <w:w w:val="96"/>
              </w:rPr>
              <w:t>Six Months Ended</w:t>
            </w:r>
          </w:p>
        </w:tc>
      </w:tr>
      <w:tr>
        <w:trPr>
          <w:trHeight w:val="152"/>
        </w:trPr>
        <w:tc>
          <w:tcPr>
            <w:tcW w:w="6980" w:type="dxa"/>
            <w:vAlign w:val="bottom"/>
          </w:tcPr>
          <w:p>
            <w:pPr>
              <w:spacing w:after="0"/>
              <w:rPr>
                <w:sz w:val="13"/>
                <w:szCs w:val="13"/>
                <w:color w:val="auto"/>
              </w:rPr>
            </w:pPr>
          </w:p>
        </w:tc>
        <w:tc>
          <w:tcPr>
            <w:tcW w:w="1220" w:type="dxa"/>
            <w:vAlign w:val="bottom"/>
            <w:gridSpan w:val="3"/>
          </w:tcPr>
          <w:p>
            <w:pPr>
              <w:jc w:val="center"/>
              <w:ind w:left="537"/>
              <w:spacing w:after="0"/>
              <w:rPr>
                <w:sz w:val="20"/>
                <w:szCs w:val="20"/>
                <w:color w:val="auto"/>
              </w:rPr>
            </w:pPr>
            <w:r>
              <w:rPr>
                <w:rFonts w:ascii="Arial" w:cs="Arial" w:eastAsia="Arial" w:hAnsi="Arial"/>
                <w:sz w:val="13"/>
                <w:szCs w:val="13"/>
                <w:color w:val="auto"/>
              </w:rPr>
              <w:t>June 30,</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center"/>
              <w:ind w:left="537"/>
              <w:spacing w:after="0"/>
              <w:rPr>
                <w:sz w:val="20"/>
                <w:szCs w:val="20"/>
                <w:color w:val="auto"/>
              </w:rPr>
            </w:pPr>
            <w:r>
              <w:rPr>
                <w:rFonts w:ascii="Arial" w:cs="Arial" w:eastAsia="Arial" w:hAnsi="Arial"/>
                <w:sz w:val="13"/>
                <w:szCs w:val="13"/>
                <w:color w:val="auto"/>
              </w:rPr>
              <w:t>June 30,</w:t>
            </w:r>
          </w:p>
        </w:tc>
        <w:tc>
          <w:tcPr>
            <w:tcW w:w="600" w:type="dxa"/>
            <w:vAlign w:val="bottom"/>
          </w:tcPr>
          <w:p>
            <w:pPr>
              <w:spacing w:after="0"/>
              <w:rPr>
                <w:sz w:val="13"/>
                <w:szCs w:val="13"/>
                <w:color w:val="auto"/>
              </w:rPr>
            </w:pPr>
          </w:p>
        </w:tc>
      </w:tr>
      <w:tr>
        <w:trPr>
          <w:trHeight w:val="185"/>
        </w:trPr>
        <w:tc>
          <w:tcPr>
            <w:tcW w:w="698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r>
      <w:tr>
        <w:trPr>
          <w:trHeight w:val="169"/>
        </w:trPr>
        <w:tc>
          <w:tcPr>
            <w:tcW w:w="698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$565</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$1,178</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$1,140</w:t>
            </w:r>
          </w:p>
        </w:tc>
      </w:tr>
      <w:tr>
        <w:trPr>
          <w:trHeight w:val="176"/>
        </w:trPr>
        <w:tc>
          <w:tcPr>
            <w:tcW w:w="698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$949</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$907</w:t>
            </w:r>
          </w:p>
        </w:tc>
      </w:tr>
      <w:tr>
        <w:trPr>
          <w:trHeight w:val="20"/>
        </w:trPr>
        <w:tc>
          <w:tcPr>
            <w:tcW w:w="6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60" w:right="220" w:hanging="252"/>
        <w:spacing w:after="0" w:line="242" w:lineRule="auto"/>
        <w:tabs>
          <w:tab w:leader="none" w:pos="252"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w:t>
      </w:r>
    </w:p>
    <w:p>
      <w:pPr>
        <w:spacing w:after="0" w:line="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980" w:type="dxa"/>
            <w:vAlign w:val="bottom"/>
          </w:tcPr>
          <w:p>
            <w:pPr>
              <w:spacing w:after="0"/>
              <w:rPr>
                <w:sz w:val="12"/>
                <w:szCs w:val="12"/>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4"/>
          </w:tcPr>
          <w:p>
            <w:pPr>
              <w:jc w:val="center"/>
              <w:spacing w:after="0"/>
              <w:rPr>
                <w:sz w:val="20"/>
                <w:szCs w:val="20"/>
                <w:color w:val="auto"/>
              </w:rPr>
            </w:pPr>
            <w:r>
              <w:rPr>
                <w:rFonts w:ascii="Arial" w:cs="Arial" w:eastAsia="Arial" w:hAnsi="Arial"/>
                <w:sz w:val="13"/>
                <w:szCs w:val="13"/>
                <w:color w:val="auto"/>
                <w:w w:val="96"/>
              </w:rPr>
              <w:t>Six Months Ended</w:t>
            </w:r>
          </w:p>
        </w:tc>
      </w:tr>
      <w:tr>
        <w:trPr>
          <w:trHeight w:val="152"/>
        </w:trPr>
        <w:tc>
          <w:tcPr>
            <w:tcW w:w="6980" w:type="dxa"/>
            <w:vAlign w:val="bottom"/>
          </w:tcPr>
          <w:p>
            <w:pPr>
              <w:spacing w:after="0"/>
              <w:rPr>
                <w:sz w:val="13"/>
                <w:szCs w:val="13"/>
                <w:color w:val="auto"/>
              </w:rPr>
            </w:pPr>
          </w:p>
        </w:tc>
        <w:tc>
          <w:tcPr>
            <w:tcW w:w="1220" w:type="dxa"/>
            <w:vAlign w:val="bottom"/>
            <w:gridSpan w:val="3"/>
          </w:tcPr>
          <w:p>
            <w:pPr>
              <w:jc w:val="center"/>
              <w:ind w:left="537"/>
              <w:spacing w:after="0"/>
              <w:rPr>
                <w:sz w:val="20"/>
                <w:szCs w:val="20"/>
                <w:color w:val="auto"/>
              </w:rPr>
            </w:pPr>
            <w:r>
              <w:rPr>
                <w:rFonts w:ascii="Arial" w:cs="Arial" w:eastAsia="Arial" w:hAnsi="Arial"/>
                <w:sz w:val="13"/>
                <w:szCs w:val="13"/>
                <w:color w:val="auto"/>
              </w:rPr>
              <w:t>June 30,</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center"/>
              <w:ind w:left="537"/>
              <w:spacing w:after="0"/>
              <w:rPr>
                <w:sz w:val="20"/>
                <w:szCs w:val="20"/>
                <w:color w:val="auto"/>
              </w:rPr>
            </w:pPr>
            <w:r>
              <w:rPr>
                <w:rFonts w:ascii="Arial" w:cs="Arial" w:eastAsia="Arial" w:hAnsi="Arial"/>
                <w:sz w:val="13"/>
                <w:szCs w:val="13"/>
                <w:color w:val="auto"/>
              </w:rPr>
              <w:t>June 30,</w:t>
            </w:r>
          </w:p>
        </w:tc>
        <w:tc>
          <w:tcPr>
            <w:tcW w:w="600" w:type="dxa"/>
            <w:vAlign w:val="bottom"/>
          </w:tcPr>
          <w:p>
            <w:pPr>
              <w:spacing w:after="0"/>
              <w:rPr>
                <w:sz w:val="13"/>
                <w:szCs w:val="13"/>
                <w:color w:val="auto"/>
              </w:rPr>
            </w:pPr>
          </w:p>
        </w:tc>
      </w:tr>
      <w:tr>
        <w:trPr>
          <w:trHeight w:val="185"/>
        </w:trPr>
        <w:tc>
          <w:tcPr>
            <w:tcW w:w="698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r>
      <w:tr>
        <w:trPr>
          <w:trHeight w:val="159"/>
        </w:trPr>
        <w:tc>
          <w:tcPr>
            <w:tcW w:w="698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($189)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85"/>
        </w:trPr>
        <w:tc>
          <w:tcPr>
            <w:tcW w:w="6980" w:type="dxa"/>
            <w:vAlign w:val="bottom"/>
          </w:tcPr>
          <w:p>
            <w:pPr>
              <w:spacing w:after="0"/>
              <w:rPr>
                <w:sz w:val="20"/>
                <w:szCs w:val="20"/>
                <w:color w:val="auto"/>
              </w:rPr>
            </w:pPr>
            <w:r>
              <w:rPr>
                <w:rFonts w:ascii="Arial" w:cs="Arial" w:eastAsia="Arial" w:hAnsi="Arial"/>
                <w:sz w:val="13"/>
                <w:szCs w:val="13"/>
                <w:color w:val="auto"/>
              </w:rPr>
              <w:t>Equity in net (income) losses of investees, net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(917)</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w:t>
            </w:r>
          </w:p>
        </w:tc>
      </w:tr>
      <w:tr>
        <w:trPr>
          <w:trHeight w:val="160"/>
        </w:trPr>
        <w:tc>
          <w:tcPr>
            <w:tcW w:w="698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(1,106)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(372)</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(1,476)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349</w:t>
            </w:r>
          </w:p>
        </w:tc>
      </w:tr>
      <w:tr>
        <w:trPr>
          <w:trHeight w:val="192"/>
        </w:trPr>
        <w:tc>
          <w:tcPr>
            <w:tcW w:w="698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($835)</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w:t>
            </w:r>
          </w:p>
        </w:tc>
      </w:tr>
      <w:tr>
        <w:trPr>
          <w:trHeight w:val="20"/>
        </w:trPr>
        <w:tc>
          <w:tcPr>
            <w:tcW w:w="6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3"/>
          <w:szCs w:val="13"/>
          <w:color w:val="auto"/>
        </w:rPr>
      </w:pPr>
      <w:r>
        <w:rPr>
          <w:rFonts w:ascii="Arial" w:cs="Arial" w:eastAsia="Arial" w:hAnsi="Arial"/>
          <w:sz w:val="13"/>
          <w:szCs w:val="13"/>
          <w:color w:val="auto"/>
        </w:rPr>
        <w:t>2nd quarter and year to date 2021 net income attributable to Comcast Corporation includes $498 million of income tax expense adjustments related to UK tax law changes.</w:t>
      </w:r>
    </w:p>
    <w:p>
      <w:pPr>
        <w:spacing w:after="0" w:line="107" w:lineRule="exact"/>
        <w:rPr>
          <w:rFonts w:ascii="Arial" w:cs="Arial" w:eastAsia="Arial" w:hAnsi="Arial"/>
          <w:sz w:val="13"/>
          <w:szCs w:val="13"/>
          <w:color w:val="auto"/>
        </w:rPr>
      </w:pPr>
    </w:p>
    <w:p>
      <w:pPr>
        <w:ind w:left="260" w:hanging="252"/>
        <w:spacing w:after="0" w:line="242" w:lineRule="auto"/>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2021 year to date net income attributable to Comcast Corporation includes $78 million of interest expense, $59 million net of tax, resulting from the early redemption of debt. 2020 year to date net income attributable to Comcast Corporation includes $140 million of interest expense, $106 million net of tax, resulting from the early redemption of debt.</w:t>
      </w:r>
    </w:p>
    <w:p>
      <w:pPr>
        <w:spacing w:after="0" w:line="103" w:lineRule="exact"/>
        <w:rPr>
          <w:rFonts w:ascii="Arial" w:cs="Arial" w:eastAsia="Arial" w:hAnsi="Arial"/>
          <w:sz w:val="13"/>
          <w:szCs w:val="13"/>
          <w:color w:val="auto"/>
        </w:rPr>
      </w:pPr>
    </w:p>
    <w:p>
      <w:pPr>
        <w:jc w:val="both"/>
        <w:ind w:left="260" w:hanging="252"/>
        <w:spacing w:after="0"/>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2nd quarter and year to date 2021 net income attributable to Comcast Corporation includes $13 million and $25 million of operating costs and expenses, $11 million and $21 million net of tax, respectively, related to the Sky transaction. 2nd quarter and year to date 2020 net income attributable to Comcast Corporation includes $16 million and $30 million of operating costs and expenses, $13 million and $24 million net of tax, respectively, related to the Sky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852" w:right="339" w:bottom="1440" w:gutter="0" w:footer="0" w:header="0"/>
        </w:sectPr>
      </w:pPr>
    </w:p>
    <w:bookmarkStart w:id="18" w:name="page19"/>
    <w:bookmarkEnd w:id="18"/>
    <w:p>
      <w:pPr>
        <w:ind w:left="52"/>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6097270</wp:posOffset>
            </wp:positionH>
            <wp:positionV relativeFrom="page">
              <wp:posOffset>543560</wp:posOffset>
            </wp:positionV>
            <wp:extent cx="1209040" cy="52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2605"/>
                    </a:xfrm>
                    <a:prstGeom prst="rect">
                      <a:avLst/>
                    </a:prstGeom>
                    <a:noFill/>
                  </pic:spPr>
                </pic:pic>
              </a:graphicData>
            </a:graphic>
          </wp:anchor>
        </w:drawing>
        <w:t>TABLE 6</w:t>
      </w:r>
    </w:p>
    <w:p>
      <w:pPr>
        <w:spacing w:after="0" w:line="255" w:lineRule="exact"/>
        <w:rPr>
          <w:sz w:val="20"/>
          <w:szCs w:val="20"/>
          <w:color w:val="auto"/>
        </w:rPr>
      </w:pPr>
    </w:p>
    <w:p>
      <w:pPr>
        <w:ind w:left="52"/>
        <w:spacing w:after="0"/>
        <w:rPr>
          <w:sz w:val="20"/>
          <w:szCs w:val="20"/>
          <w:color w:val="auto"/>
        </w:rPr>
      </w:pPr>
      <w:r>
        <w:rPr>
          <w:rFonts w:ascii="Arial" w:cs="Arial" w:eastAsia="Arial" w:hAnsi="Arial"/>
          <w:sz w:val="20"/>
          <w:szCs w:val="20"/>
          <w:b w:val="1"/>
          <w:bCs w:val="1"/>
          <w:color w:val="828282"/>
        </w:rPr>
        <w:t>Reconciliation of Sky Constant Currency Growth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17145</wp:posOffset>
            </wp:positionV>
            <wp:extent cx="70891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04" w:lineRule="exact"/>
        <w:rPr>
          <w:sz w:val="20"/>
          <w:szCs w:val="20"/>
          <w:color w:val="auto"/>
        </w:rPr>
      </w:pPr>
    </w:p>
    <w:tbl>
      <w:tblPr>
        <w:tblLayout w:type="fixed"/>
        <w:tblInd w:w="192" w:type="dxa"/>
        <w:tblCellMar>
          <w:top w:w="0" w:type="dxa"/>
          <w:left w:w="0" w:type="dxa"/>
          <w:bottom w:w="0" w:type="dxa"/>
          <w:right w:w="0" w:type="dxa"/>
        </w:tblCellMar>
      </w:tblPr>
      <w:tr>
        <w:trPr>
          <w:trHeight w:val="310"/>
        </w:trPr>
        <w:tc>
          <w:tcPr>
            <w:tcW w:w="4340" w:type="dxa"/>
            <w:vAlign w:val="bottom"/>
          </w:tcPr>
          <w:p>
            <w:pPr>
              <w:spacing w:after="0"/>
              <w:rPr>
                <w:sz w:val="24"/>
                <w:szCs w:val="24"/>
                <w:color w:val="auto"/>
              </w:rPr>
            </w:pPr>
          </w:p>
        </w:tc>
        <w:tc>
          <w:tcPr>
            <w:tcW w:w="328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20" w:type="dxa"/>
            <w:vAlign w:val="bottom"/>
            <w:gridSpan w:val="5"/>
          </w:tcPr>
          <w:p>
            <w:pPr>
              <w:jc w:val="center"/>
              <w:ind w:right="759"/>
              <w:spacing w:after="0"/>
              <w:rPr>
                <w:sz w:val="20"/>
                <w:szCs w:val="20"/>
                <w:color w:val="auto"/>
              </w:rPr>
            </w:pPr>
            <w:r>
              <w:rPr>
                <w:rFonts w:ascii="Arial" w:cs="Arial" w:eastAsia="Arial" w:hAnsi="Arial"/>
                <w:sz w:val="16"/>
                <w:szCs w:val="16"/>
                <w:b w:val="1"/>
                <w:bCs w:val="1"/>
                <w:color w:val="auto"/>
              </w:rPr>
              <w:t>Six Months Ended</w:t>
            </w:r>
          </w:p>
        </w:tc>
      </w:tr>
      <w:tr>
        <w:trPr>
          <w:trHeight w:val="211"/>
        </w:trPr>
        <w:tc>
          <w:tcPr>
            <w:tcW w:w="4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w w:val="99"/>
              </w:rPr>
              <w:t>June 30,</w:t>
            </w:r>
          </w:p>
        </w:tc>
        <w:tc>
          <w:tcPr>
            <w:tcW w:w="12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w w:val="99"/>
              </w:rPr>
              <w:t>June 30,</w:t>
            </w:r>
          </w:p>
        </w:tc>
        <w:tc>
          <w:tcPr>
            <w:tcW w:w="1200" w:type="dxa"/>
            <w:vAlign w:val="bottom"/>
          </w:tcPr>
          <w:p>
            <w:pPr>
              <w:spacing w:after="0"/>
              <w:rPr>
                <w:sz w:val="18"/>
                <w:szCs w:val="18"/>
                <w:color w:val="auto"/>
              </w:rPr>
            </w:pPr>
          </w:p>
        </w:tc>
      </w:tr>
      <w:tr>
        <w:trPr>
          <w:trHeight w:val="221"/>
        </w:trPr>
        <w:tc>
          <w:tcPr>
            <w:tcW w:w="434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119"/>
              <w:spacing w:after="0" w:line="221" w:lineRule="exact"/>
              <w:rPr>
                <w:sz w:val="20"/>
                <w:szCs w:val="20"/>
                <w:color w:val="auto"/>
              </w:rPr>
            </w:pPr>
            <w:r>
              <w:rPr>
                <w:rFonts w:ascii="Arial" w:cs="Arial" w:eastAsia="Arial" w:hAnsi="Arial"/>
                <w:sz w:val="16"/>
                <w:szCs w:val="16"/>
                <w:color w:val="auto"/>
              </w:rPr>
              <w:t>2020</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99"/>
              <w:spacing w:after="0" w:line="221" w:lineRule="exact"/>
              <w:rPr>
                <w:sz w:val="20"/>
                <w:szCs w:val="20"/>
                <w:color w:val="auto"/>
              </w:rPr>
            </w:pPr>
            <w:r>
              <w:rPr>
                <w:rFonts w:ascii="Arial" w:cs="Arial" w:eastAsia="Arial" w:hAnsi="Arial"/>
                <w:sz w:val="16"/>
                <w:szCs w:val="16"/>
                <w:color w:val="auto"/>
              </w:rPr>
              <w:t>2020</w:t>
            </w:r>
            <w:r>
              <w:rPr>
                <w:rFonts w:ascii="Arial" w:cs="Arial" w:eastAsia="Arial" w:hAnsi="Arial"/>
                <w:sz w:val="21"/>
                <w:szCs w:val="21"/>
                <w:color w:val="auto"/>
                <w:vertAlign w:val="superscript"/>
              </w:rPr>
              <w:t>(1)</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r>
      <w:tr>
        <w:trPr>
          <w:trHeight w:val="298"/>
        </w:trPr>
        <w:tc>
          <w:tcPr>
            <w:tcW w:w="4340" w:type="dxa"/>
            <w:vAlign w:val="bottom"/>
          </w:tcPr>
          <w:p>
            <w:pPr>
              <w:spacing w:after="0"/>
              <w:rPr>
                <w:sz w:val="20"/>
                <w:szCs w:val="20"/>
                <w:color w:val="auto"/>
              </w:rPr>
            </w:pPr>
            <w:r>
              <w:rPr>
                <w:rFonts w:ascii="Arial" w:cs="Arial" w:eastAsia="Arial" w:hAnsi="Arial"/>
                <w:sz w:val="16"/>
                <w:szCs w:val="16"/>
                <w:color w:val="auto"/>
              </w:rPr>
              <w:t>Direct-to-Consumer</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$4,222</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$3,921</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7.7 %</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$8,288</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$7,914</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4.7 %</w:t>
            </w: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Content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355</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36.1 %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713</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16.3 %</w:t>
            </w:r>
          </w:p>
        </w:tc>
      </w:tr>
      <w:tr>
        <w:trPr>
          <w:trHeight w:val="219"/>
        </w:trPr>
        <w:tc>
          <w:tcPr>
            <w:tcW w:w="4340" w:type="dxa"/>
            <w:vAlign w:val="bottom"/>
          </w:tcPr>
          <w:p>
            <w:pPr>
              <w:spacing w:after="0"/>
              <w:rPr>
                <w:sz w:val="20"/>
                <w:szCs w:val="20"/>
                <w:color w:val="auto"/>
              </w:rPr>
            </w:pPr>
            <w:r>
              <w:rPr>
                <w:rFonts w:ascii="Arial" w:cs="Arial" w:eastAsia="Arial" w:hAnsi="Arial"/>
                <w:sz w:val="16"/>
                <w:szCs w:val="16"/>
                <w:color w:val="auto"/>
              </w:rPr>
              <w:t>Advertising</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643</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78.8 %</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1,216</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33.0 %</w:t>
            </w:r>
          </w:p>
        </w:tc>
      </w:tr>
      <w:tr>
        <w:trPr>
          <w:trHeight w:val="212"/>
        </w:trPr>
        <w:tc>
          <w:tcPr>
            <w:tcW w:w="43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$5,220</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$10,217</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8.2 %</w:t>
            </w:r>
          </w:p>
        </w:tc>
      </w:tr>
      <w:tr>
        <w:trPr>
          <w:trHeight w:val="21"/>
        </w:trPr>
        <w:tc>
          <w:tcPr>
            <w:tcW w:w="4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1"/>
        </w:trPr>
        <w:tc>
          <w:tcPr>
            <w:tcW w:w="434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$4,660</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$3,714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25.5 %</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$9,294</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$8,012</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16.0 %</w:t>
            </w:r>
          </w:p>
        </w:tc>
      </w:tr>
      <w:tr>
        <w:trPr>
          <w:trHeight w:val="270"/>
        </w:trPr>
        <w:tc>
          <w:tcPr>
            <w:tcW w:w="434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$560</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(32.4 %)</w:t>
            </w:r>
          </w:p>
        </w:tc>
        <w:tc>
          <w:tcPr>
            <w:tcW w:w="1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$924</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$1,429</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(35.4 %)</w:t>
            </w:r>
          </w:p>
        </w:tc>
      </w:tr>
      <w:tr>
        <w:trPr>
          <w:trHeight w:val="60"/>
        </w:trPr>
        <w:tc>
          <w:tcPr>
            <w:tcW w:w="4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r>
    </w:tbl>
    <w:p>
      <w:pPr>
        <w:spacing w:after="0" w:line="318" w:lineRule="exact"/>
        <w:rPr>
          <w:sz w:val="20"/>
          <w:szCs w:val="20"/>
          <w:color w:val="auto"/>
        </w:rPr>
      </w:pPr>
    </w:p>
    <w:p>
      <w:pPr>
        <w:ind w:left="252" w:hanging="252"/>
        <w:spacing w:after="0" w:line="242" w:lineRule="auto"/>
        <w:tabs>
          <w:tab w:leader="none" w:pos="244" w:val="left"/>
        </w:tabs>
        <w:numPr>
          <w:ilvl w:val="0"/>
          <w:numId w:val="7"/>
        </w:numPr>
        <w:rPr>
          <w:rFonts w:ascii="Arial" w:cs="Arial" w:eastAsia="Arial" w:hAnsi="Arial"/>
          <w:sz w:val="13"/>
          <w:szCs w:val="13"/>
          <w:color w:val="auto"/>
        </w:rPr>
      </w:pPr>
      <w:r>
        <w:rPr>
          <w:rFonts w:ascii="Arial" w:cs="Arial" w:eastAsia="Arial" w:hAnsi="Arial"/>
          <w:sz w:val="13"/>
          <w:szCs w:val="13"/>
          <w:color w:val="auto"/>
        </w:rPr>
        <w:t>2020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12"/>
          </w:cols>
          <w:pgMar w:left="328" w:top="1014" w:right="35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6080125</wp:posOffset>
            </wp:positionH>
            <wp:positionV relativeFrom="page">
              <wp:posOffset>542925</wp:posOffset>
            </wp:positionV>
            <wp:extent cx="1208405" cy="522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08405" cy="522605"/>
                    </a:xfrm>
                    <a:prstGeom prst="rect">
                      <a:avLst/>
                    </a:prstGeom>
                    <a:noFill/>
                  </pic:spPr>
                </pic:pic>
              </a:graphicData>
            </a:graphic>
          </wp:anchor>
        </w:drawing>
        <w:t>TABLE 7</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Cable Communications RSN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89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Six Months Ended</w:t>
            </w:r>
          </w:p>
        </w:tc>
        <w:tc>
          <w:tcPr>
            <w:tcW w:w="1220" w:type="dxa"/>
            <w:vAlign w:val="bottom"/>
          </w:tcPr>
          <w:p>
            <w:pPr>
              <w:spacing w:after="0"/>
              <w:rPr>
                <w:sz w:val="16"/>
                <w:szCs w:val="16"/>
                <w:color w:val="auto"/>
              </w:rPr>
            </w:pPr>
          </w:p>
        </w:tc>
      </w:tr>
      <w:tr>
        <w:trPr>
          <w:trHeight w:val="211"/>
        </w:trPr>
        <w:tc>
          <w:tcPr>
            <w:tcW w:w="2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June 30, 2021</w:t>
            </w:r>
          </w:p>
        </w:tc>
        <w:tc>
          <w:tcPr>
            <w:tcW w:w="1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June 30, 2021</w:t>
            </w:r>
          </w:p>
        </w:tc>
        <w:tc>
          <w:tcPr>
            <w:tcW w:w="1220" w:type="dxa"/>
            <w:vAlign w:val="bottom"/>
          </w:tcPr>
          <w:p>
            <w:pPr>
              <w:spacing w:after="0"/>
              <w:rPr>
                <w:sz w:val="18"/>
                <w:szCs w:val="18"/>
                <w:color w:val="auto"/>
              </w:rPr>
            </w:pPr>
          </w:p>
        </w:tc>
      </w:tr>
      <w:tr>
        <w:trPr>
          <w:trHeight w:val="167"/>
        </w:trPr>
        <w:tc>
          <w:tcPr>
            <w:tcW w:w="2600" w:type="dxa"/>
            <w:vAlign w:val="bottom"/>
          </w:tcPr>
          <w:p>
            <w:pPr>
              <w:spacing w:after="0"/>
              <w:rPr>
                <w:sz w:val="14"/>
                <w:szCs w:val="14"/>
                <w:color w:val="auto"/>
              </w:rPr>
            </w:pPr>
          </w:p>
        </w:tc>
        <w:tc>
          <w:tcPr>
            <w:tcW w:w="1240" w:type="dxa"/>
            <w:vAlign w:val="bottom"/>
          </w:tcPr>
          <w:p>
            <w:pPr>
              <w:jc w:val="right"/>
              <w:ind w:right="179"/>
              <w:spacing w:after="0" w:line="167" w:lineRule="exact"/>
              <w:rPr>
                <w:sz w:val="20"/>
                <w:szCs w:val="20"/>
                <w:color w:val="auto"/>
              </w:rPr>
            </w:pPr>
            <w:r>
              <w:rPr>
                <w:rFonts w:ascii="Arial" w:cs="Arial" w:eastAsia="Arial" w:hAnsi="Arial"/>
                <w:sz w:val="16"/>
                <w:szCs w:val="16"/>
                <w:b w:val="1"/>
                <w:bCs w:val="1"/>
                <w:color w:val="auto"/>
              </w:rPr>
              <w:t>Reported</w:t>
            </w:r>
          </w:p>
        </w:tc>
        <w:tc>
          <w:tcPr>
            <w:tcW w:w="140" w:type="dxa"/>
            <w:vAlign w:val="bottom"/>
          </w:tcPr>
          <w:p>
            <w:pPr>
              <w:spacing w:after="0"/>
              <w:rPr>
                <w:sz w:val="14"/>
                <w:szCs w:val="14"/>
                <w:color w:val="auto"/>
              </w:rPr>
            </w:pPr>
          </w:p>
        </w:tc>
        <w:tc>
          <w:tcPr>
            <w:tcW w:w="1560" w:type="dxa"/>
            <w:vAlign w:val="bottom"/>
            <w:gridSpan w:val="2"/>
          </w:tcPr>
          <w:p>
            <w:pPr>
              <w:jc w:val="center"/>
              <w:ind w:right="140"/>
              <w:spacing w:after="0" w:line="167" w:lineRule="exact"/>
              <w:rPr>
                <w:sz w:val="20"/>
                <w:szCs w:val="20"/>
                <w:color w:val="auto"/>
              </w:rPr>
            </w:pPr>
            <w:r>
              <w:rPr>
                <w:rFonts w:ascii="Arial" w:cs="Arial" w:eastAsia="Arial" w:hAnsi="Arial"/>
                <w:sz w:val="16"/>
                <w:szCs w:val="16"/>
                <w:b w:val="1"/>
                <w:bCs w:val="1"/>
                <w:color w:val="auto"/>
              </w:rPr>
              <w:t>2020 RSN</w:t>
            </w:r>
          </w:p>
        </w:tc>
        <w:tc>
          <w:tcPr>
            <w:tcW w:w="1320" w:type="dxa"/>
            <w:vAlign w:val="bottom"/>
            <w:tcBorders>
              <w:right w:val="single" w:sz="8" w:color="auto"/>
            </w:tcBorders>
            <w:gridSpan w:val="2"/>
          </w:tcPr>
          <w:p>
            <w:pPr>
              <w:jc w:val="center"/>
              <w:ind w:right="120"/>
              <w:spacing w:after="0" w:line="167" w:lineRule="exact"/>
              <w:rPr>
                <w:sz w:val="20"/>
                <w:szCs w:val="20"/>
                <w:color w:val="auto"/>
              </w:rPr>
            </w:pPr>
            <w:r>
              <w:rPr>
                <w:rFonts w:ascii="Arial" w:cs="Arial" w:eastAsia="Arial" w:hAnsi="Arial"/>
                <w:sz w:val="16"/>
                <w:szCs w:val="16"/>
                <w:b w:val="1"/>
                <w:bCs w:val="1"/>
                <w:color w:val="auto"/>
                <w:w w:val="99"/>
              </w:rPr>
              <w:t>Adjusted</w:t>
            </w:r>
          </w:p>
        </w:tc>
        <w:tc>
          <w:tcPr>
            <w:tcW w:w="100" w:type="dxa"/>
            <w:vAlign w:val="bottom"/>
          </w:tcPr>
          <w:p>
            <w:pPr>
              <w:spacing w:after="0"/>
              <w:rPr>
                <w:sz w:val="14"/>
                <w:szCs w:val="14"/>
                <w:color w:val="auto"/>
              </w:rPr>
            </w:pPr>
          </w:p>
        </w:tc>
        <w:tc>
          <w:tcPr>
            <w:tcW w:w="1340" w:type="dxa"/>
            <w:vAlign w:val="bottom"/>
            <w:gridSpan w:val="2"/>
          </w:tcPr>
          <w:p>
            <w:pPr>
              <w:jc w:val="center"/>
              <w:ind w:right="140"/>
              <w:spacing w:after="0" w:line="167" w:lineRule="exact"/>
              <w:rPr>
                <w:sz w:val="20"/>
                <w:szCs w:val="20"/>
                <w:color w:val="auto"/>
              </w:rPr>
            </w:pPr>
            <w:r>
              <w:rPr>
                <w:rFonts w:ascii="Arial" w:cs="Arial" w:eastAsia="Arial" w:hAnsi="Arial"/>
                <w:sz w:val="16"/>
                <w:szCs w:val="16"/>
                <w:b w:val="1"/>
                <w:bCs w:val="1"/>
                <w:color w:val="auto"/>
              </w:rPr>
              <w:t>Reported</w:t>
            </w:r>
          </w:p>
        </w:tc>
        <w:tc>
          <w:tcPr>
            <w:tcW w:w="1560" w:type="dxa"/>
            <w:vAlign w:val="bottom"/>
            <w:gridSpan w:val="2"/>
          </w:tcPr>
          <w:p>
            <w:pPr>
              <w:jc w:val="center"/>
              <w:ind w:right="120"/>
              <w:spacing w:after="0" w:line="167" w:lineRule="exact"/>
              <w:rPr>
                <w:sz w:val="20"/>
                <w:szCs w:val="20"/>
                <w:color w:val="auto"/>
              </w:rPr>
            </w:pPr>
            <w:r>
              <w:rPr>
                <w:rFonts w:ascii="Arial" w:cs="Arial" w:eastAsia="Arial" w:hAnsi="Arial"/>
                <w:sz w:val="16"/>
                <w:szCs w:val="16"/>
                <w:b w:val="1"/>
                <w:bCs w:val="1"/>
                <w:color w:val="auto"/>
              </w:rPr>
              <w:t>2020 RSN</w:t>
            </w:r>
          </w:p>
        </w:tc>
        <w:tc>
          <w:tcPr>
            <w:tcW w:w="1220" w:type="dxa"/>
            <w:vAlign w:val="bottom"/>
          </w:tcPr>
          <w:p>
            <w:pPr>
              <w:jc w:val="right"/>
              <w:ind w:right="179"/>
              <w:spacing w:after="0" w:line="167" w:lineRule="exact"/>
              <w:rPr>
                <w:sz w:val="20"/>
                <w:szCs w:val="20"/>
                <w:color w:val="auto"/>
              </w:rPr>
            </w:pPr>
            <w:r>
              <w:rPr>
                <w:rFonts w:ascii="Arial" w:cs="Arial" w:eastAsia="Arial" w:hAnsi="Arial"/>
                <w:sz w:val="16"/>
                <w:szCs w:val="16"/>
                <w:b w:val="1"/>
                <w:bCs w:val="1"/>
                <w:color w:val="auto"/>
              </w:rPr>
              <w:t>Adjusted</w:t>
            </w:r>
          </w:p>
        </w:tc>
      </w:tr>
      <w:tr>
        <w:trPr>
          <w:trHeight w:val="215"/>
        </w:trPr>
        <w:tc>
          <w:tcPr>
            <w:tcW w:w="260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Adjustments</w:t>
            </w:r>
          </w:p>
        </w:tc>
        <w:tc>
          <w:tcPr>
            <w:tcW w:w="13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Change</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Adjustments</w:t>
            </w: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Change</w:t>
            </w:r>
          </w:p>
        </w:tc>
      </w:tr>
      <w:tr>
        <w:trPr>
          <w:trHeight w:val="195"/>
        </w:trPr>
        <w:tc>
          <w:tcPr>
            <w:tcW w:w="260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2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13"/>
        </w:trPr>
        <w:tc>
          <w:tcPr>
            <w:tcW w:w="2600" w:type="dxa"/>
            <w:vAlign w:val="bottom"/>
          </w:tcPr>
          <w:p>
            <w:pPr>
              <w:ind w:left="280"/>
              <w:spacing w:after="0"/>
              <w:rPr>
                <w:sz w:val="20"/>
                <w:szCs w:val="20"/>
                <w:color w:val="auto"/>
              </w:rPr>
            </w:pPr>
            <w:r>
              <w:rPr>
                <w:rFonts w:ascii="Arial" w:cs="Arial" w:eastAsia="Arial" w:hAnsi="Arial"/>
                <w:sz w:val="16"/>
                <w:szCs w:val="16"/>
                <w:color w:val="auto"/>
              </w:rPr>
              <w:t>Broadband</w:t>
            </w:r>
          </w:p>
        </w:tc>
        <w:tc>
          <w:tcPr>
            <w:tcW w:w="1240" w:type="dxa"/>
            <w:vAlign w:val="bottom"/>
          </w:tcPr>
          <w:p>
            <w:pPr>
              <w:jc w:val="right"/>
              <w:spacing w:after="0"/>
              <w:rPr>
                <w:sz w:val="20"/>
                <w:szCs w:val="20"/>
                <w:color w:val="auto"/>
              </w:rPr>
            </w:pPr>
            <w:r>
              <w:rPr>
                <w:rFonts w:ascii="Arial" w:cs="Arial" w:eastAsia="Arial" w:hAnsi="Arial"/>
                <w:sz w:val="16"/>
                <w:szCs w:val="16"/>
                <w:color w:val="auto"/>
              </w:rPr>
              <w:t>14.3 %</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13.2 %</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12.3 %</w:t>
            </w:r>
          </w:p>
        </w:tc>
      </w:tr>
      <w:tr>
        <w:trPr>
          <w:trHeight w:val="216"/>
        </w:trPr>
        <w:tc>
          <w:tcPr>
            <w:tcW w:w="2600" w:type="dxa"/>
            <w:vAlign w:val="bottom"/>
          </w:tcPr>
          <w:p>
            <w:pPr>
              <w:ind w:left="280"/>
              <w:spacing w:after="0"/>
              <w:rPr>
                <w:sz w:val="20"/>
                <w:szCs w:val="20"/>
                <w:color w:val="auto"/>
              </w:rPr>
            </w:pPr>
            <w:r>
              <w:rPr>
                <w:rFonts w:ascii="Arial" w:cs="Arial" w:eastAsia="Arial" w:hAnsi="Arial"/>
                <w:sz w:val="16"/>
                <w:szCs w:val="16"/>
                <w:color w:val="auto"/>
              </w:rPr>
              <w:t>Video</w:t>
            </w:r>
          </w:p>
        </w:tc>
        <w:tc>
          <w:tcPr>
            <w:tcW w:w="1240" w:type="dxa"/>
            <w:vAlign w:val="bottom"/>
          </w:tcPr>
          <w:p>
            <w:pPr>
              <w:jc w:val="right"/>
              <w:spacing w:after="0"/>
              <w:rPr>
                <w:sz w:val="20"/>
                <w:szCs w:val="20"/>
                <w:color w:val="auto"/>
              </w:rPr>
            </w:pPr>
            <w:r>
              <w:rPr>
                <w:rFonts w:ascii="Arial" w:cs="Arial" w:eastAsia="Arial" w:hAnsi="Arial"/>
                <w:sz w:val="16"/>
                <w:szCs w:val="16"/>
                <w:color w:val="auto"/>
              </w:rPr>
              <w:t>2.6 %</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1.2 %</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216"/>
        </w:trPr>
        <w:tc>
          <w:tcPr>
            <w:tcW w:w="2600" w:type="dxa"/>
            <w:vAlign w:val="bottom"/>
          </w:tcPr>
          <w:p>
            <w:pPr>
              <w:spacing w:after="0"/>
              <w:rPr>
                <w:sz w:val="20"/>
                <w:szCs w:val="20"/>
                <w:color w:val="auto"/>
              </w:rPr>
            </w:pPr>
            <w:r>
              <w:rPr>
                <w:rFonts w:ascii="Arial" w:cs="Arial" w:eastAsia="Arial" w:hAnsi="Arial"/>
                <w:sz w:val="16"/>
                <w:szCs w:val="16"/>
                <w:color w:val="auto"/>
              </w:rPr>
              <w:t>Total Revenue</w:t>
            </w:r>
          </w:p>
        </w:tc>
        <w:tc>
          <w:tcPr>
            <w:tcW w:w="1240" w:type="dxa"/>
            <w:vAlign w:val="bottom"/>
          </w:tcPr>
          <w:p>
            <w:pPr>
              <w:jc w:val="right"/>
              <w:spacing w:after="0"/>
              <w:rPr>
                <w:sz w:val="20"/>
                <w:szCs w:val="20"/>
                <w:color w:val="auto"/>
              </w:rPr>
            </w:pPr>
            <w:r>
              <w:rPr>
                <w:rFonts w:ascii="Arial" w:cs="Arial" w:eastAsia="Arial" w:hAnsi="Arial"/>
                <w:sz w:val="16"/>
                <w:szCs w:val="16"/>
                <w:color w:val="auto"/>
              </w:rPr>
              <w:t>10.9 %</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8.4 %</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7.6 %</w:t>
            </w:r>
          </w:p>
        </w:tc>
      </w:tr>
      <w:tr>
        <w:trPr>
          <w:trHeight w:val="432"/>
        </w:trPr>
        <w:tc>
          <w:tcPr>
            <w:tcW w:w="260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2600" w:type="dxa"/>
            <w:vAlign w:val="bottom"/>
          </w:tcPr>
          <w:p>
            <w:pPr>
              <w:ind w:left="120"/>
              <w:spacing w:after="0"/>
              <w:rPr>
                <w:sz w:val="20"/>
                <w:szCs w:val="20"/>
                <w:color w:val="auto"/>
              </w:rPr>
            </w:pPr>
            <w:r>
              <w:rPr>
                <w:rFonts w:ascii="Arial" w:cs="Arial" w:eastAsia="Arial" w:hAnsi="Arial"/>
                <w:sz w:val="16"/>
                <w:szCs w:val="16"/>
                <w:color w:val="auto"/>
              </w:rPr>
              <w:t>Programming and production</w:t>
            </w:r>
          </w:p>
        </w:tc>
        <w:tc>
          <w:tcPr>
            <w:tcW w:w="1240" w:type="dxa"/>
            <w:vAlign w:val="bottom"/>
          </w:tcPr>
          <w:p>
            <w:pPr>
              <w:jc w:val="right"/>
              <w:spacing w:after="0"/>
              <w:rPr>
                <w:sz w:val="20"/>
                <w:szCs w:val="20"/>
                <w:color w:val="auto"/>
              </w:rPr>
            </w:pPr>
            <w:r>
              <w:rPr>
                <w:rFonts w:ascii="Arial" w:cs="Arial" w:eastAsia="Arial" w:hAnsi="Arial"/>
                <w:sz w:val="16"/>
                <w:szCs w:val="16"/>
                <w:color w:val="auto"/>
              </w:rPr>
              <w:t>12.1 %</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7.1 %</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8.7 %</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432"/>
        </w:trPr>
        <w:tc>
          <w:tcPr>
            <w:tcW w:w="260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240" w:type="dxa"/>
            <w:vAlign w:val="bottom"/>
          </w:tcPr>
          <w:p>
            <w:pPr>
              <w:jc w:val="right"/>
              <w:spacing w:after="0"/>
              <w:rPr>
                <w:sz w:val="20"/>
                <w:szCs w:val="20"/>
                <w:color w:val="auto"/>
              </w:rPr>
            </w:pPr>
            <w:r>
              <w:rPr>
                <w:rFonts w:ascii="Arial" w:cs="Arial" w:eastAsia="Arial" w:hAnsi="Arial"/>
                <w:sz w:val="16"/>
                <w:szCs w:val="16"/>
                <w:color w:val="auto"/>
              </w:rPr>
              <w:t>14.5 %</w:t>
            </w:r>
          </w:p>
        </w:tc>
        <w:tc>
          <w:tcPr>
            <w:tcW w:w="14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14.5 %</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13.5 %</w:t>
            </w:r>
          </w:p>
        </w:tc>
        <w:tc>
          <w:tcPr>
            <w:tcW w:w="14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13.5 %</w:t>
            </w:r>
          </w:p>
        </w:tc>
      </w:tr>
      <w:tr>
        <w:trPr>
          <w:trHeight w:val="222"/>
        </w:trPr>
        <w:tc>
          <w:tcPr>
            <w:tcW w:w="2600" w:type="dxa"/>
            <w:vAlign w:val="bottom"/>
          </w:tcPr>
          <w:p>
            <w:pPr>
              <w:spacing w:after="0"/>
              <w:rPr>
                <w:sz w:val="20"/>
                <w:szCs w:val="20"/>
                <w:color w:val="auto"/>
              </w:rPr>
            </w:pPr>
            <w:r>
              <w:rPr>
                <w:rFonts w:ascii="Arial" w:cs="Arial" w:eastAsia="Arial" w:hAnsi="Arial"/>
                <w:sz w:val="16"/>
                <w:szCs w:val="16"/>
                <w:b w:val="1"/>
                <w:bCs w:val="1"/>
                <w:color w:val="auto"/>
              </w:rPr>
              <w:t>Adjusted EBITDA margin</w:t>
            </w:r>
          </w:p>
        </w:tc>
        <w:tc>
          <w:tcPr>
            <w:tcW w:w="1240" w:type="dxa"/>
            <w:vAlign w:val="bottom"/>
          </w:tcPr>
          <w:p>
            <w:pPr>
              <w:jc w:val="right"/>
              <w:spacing w:after="0"/>
              <w:rPr>
                <w:sz w:val="20"/>
                <w:szCs w:val="20"/>
                <w:color w:val="auto"/>
              </w:rPr>
            </w:pPr>
            <w:r>
              <w:rPr>
                <w:rFonts w:ascii="Arial" w:cs="Arial" w:eastAsia="Arial" w:hAnsi="Arial"/>
                <w:sz w:val="16"/>
                <w:szCs w:val="16"/>
                <w:color w:val="auto"/>
              </w:rPr>
              <w:t>140 bps</w:t>
            </w:r>
          </w:p>
        </w:tc>
        <w:tc>
          <w:tcPr>
            <w:tcW w:w="140" w:type="dxa"/>
            <w:vAlign w:val="bottom"/>
          </w:tcPr>
          <w:p>
            <w:pPr>
              <w:spacing w:after="0"/>
              <w:rPr>
                <w:sz w:val="19"/>
                <w:szCs w:val="19"/>
                <w:color w:val="auto"/>
              </w:rPr>
            </w:pPr>
          </w:p>
        </w:tc>
        <w:tc>
          <w:tcPr>
            <w:tcW w:w="1560" w:type="dxa"/>
            <w:vAlign w:val="bottom"/>
            <w:gridSpan w:val="2"/>
          </w:tcPr>
          <w:p>
            <w:pPr>
              <w:ind w:left="800"/>
              <w:spacing w:after="0"/>
              <w:rPr>
                <w:sz w:val="20"/>
                <w:szCs w:val="20"/>
                <w:color w:val="auto"/>
              </w:rPr>
            </w:pPr>
            <w:r>
              <w:rPr>
                <w:rFonts w:ascii="Arial" w:cs="Arial" w:eastAsia="Arial" w:hAnsi="Arial"/>
                <w:sz w:val="16"/>
                <w:szCs w:val="16"/>
                <w:color w:val="auto"/>
              </w:rPr>
              <w:t>(60 bps)</w:t>
            </w:r>
          </w:p>
        </w:tc>
        <w:tc>
          <w:tcPr>
            <w:tcW w:w="132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200 bps</w:t>
            </w:r>
          </w:p>
        </w:tc>
        <w:tc>
          <w:tcPr>
            <w:tcW w:w="100" w:type="dxa"/>
            <w:vAlign w:val="bottom"/>
          </w:tcPr>
          <w:p>
            <w:pPr>
              <w:spacing w:after="0"/>
              <w:rPr>
                <w:sz w:val="19"/>
                <w:szCs w:val="19"/>
                <w:color w:val="auto"/>
              </w:rPr>
            </w:pPr>
          </w:p>
        </w:tc>
        <w:tc>
          <w:tcPr>
            <w:tcW w:w="1340" w:type="dxa"/>
            <w:vAlign w:val="bottom"/>
            <w:gridSpan w:val="2"/>
          </w:tcPr>
          <w:p>
            <w:pPr>
              <w:ind w:left="620"/>
              <w:spacing w:after="0"/>
              <w:rPr>
                <w:sz w:val="20"/>
                <w:szCs w:val="20"/>
                <w:color w:val="auto"/>
              </w:rPr>
            </w:pPr>
            <w:r>
              <w:rPr>
                <w:rFonts w:ascii="Arial" w:cs="Arial" w:eastAsia="Arial" w:hAnsi="Arial"/>
                <w:sz w:val="16"/>
                <w:szCs w:val="16"/>
                <w:color w:val="auto"/>
              </w:rPr>
              <w:t>200 bps</w:t>
            </w:r>
          </w:p>
        </w:tc>
        <w:tc>
          <w:tcPr>
            <w:tcW w:w="1560" w:type="dxa"/>
            <w:vAlign w:val="bottom"/>
            <w:gridSpan w:val="2"/>
          </w:tcPr>
          <w:p>
            <w:pPr>
              <w:ind w:left="820"/>
              <w:spacing w:after="0"/>
              <w:rPr>
                <w:sz w:val="20"/>
                <w:szCs w:val="20"/>
                <w:color w:val="auto"/>
              </w:rPr>
            </w:pPr>
            <w:r>
              <w:rPr>
                <w:rFonts w:ascii="Arial" w:cs="Arial" w:eastAsia="Arial" w:hAnsi="Arial"/>
                <w:sz w:val="16"/>
                <w:szCs w:val="16"/>
                <w:color w:val="auto"/>
              </w:rPr>
              <w:t>(30 bps)</w:t>
            </w:r>
          </w:p>
        </w:tc>
        <w:tc>
          <w:tcPr>
            <w:tcW w:w="1220" w:type="dxa"/>
            <w:vAlign w:val="bottom"/>
          </w:tcPr>
          <w:p>
            <w:pPr>
              <w:jc w:val="right"/>
              <w:spacing w:after="0"/>
              <w:rPr>
                <w:sz w:val="20"/>
                <w:szCs w:val="20"/>
                <w:color w:val="auto"/>
              </w:rPr>
            </w:pPr>
            <w:r>
              <w:rPr>
                <w:rFonts w:ascii="Arial" w:cs="Arial" w:eastAsia="Arial" w:hAnsi="Arial"/>
                <w:sz w:val="16"/>
                <w:szCs w:val="16"/>
                <w:color w:val="auto"/>
              </w:rPr>
              <w:t>230 bps</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Note: Percentages represent year/year growth rates. Adjusted EBITDA margin as a percent of Revenue is presented as year/year basis point changes.</w:t>
      </w:r>
    </w:p>
    <w:p>
      <w:pPr>
        <w:sectPr>
          <w:pgSz w:w="11900" w:h="16838" w:orient="portrait"/>
          <w:cols w:equalWidth="0" w:num="1">
            <w:col w:w="11080"/>
          </w:cols>
          <w:pgMar w:left="340" w:top="101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080"/>
          </w:cols>
          <w:pgMar w:left="340" w:top="1014" w:right="479"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6"/>
          <w:szCs w:val="16"/>
          <w:b w:val="1"/>
          <w:bCs w:val="1"/>
          <w:color w:val="auto"/>
        </w:rPr>
        <w:t>Exhibit 99.2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8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33"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230"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289"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8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1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Statement of Cash Flows and are therefore excluded from capital expenditures and cash paid for intangible assets for Free Cash Flow.</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230"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48"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8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2021-07-29T06:09:10Z</dcterms:created>
  <dcterms:modified xsi:type="dcterms:W3CDTF">2021-07-29T06:09:10Z</dcterms:modified>
</cp:coreProperties>
</file>