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May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4960" w:type="dxa"/>
            <w:vAlign w:val="bottom"/>
          </w:tcPr>
          <w:p>
            <w:pPr>
              <w:jc w:val="center"/>
              <w:ind w:right="1900"/>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80" w:type="dxa"/>
            <w:vAlign w:val="bottom"/>
          </w:tcPr>
          <w:p>
            <w:pPr>
              <w:spacing w:after="0"/>
              <w:rPr>
                <w:sz w:val="16"/>
                <w:szCs w:val="16"/>
                <w:color w:val="auto"/>
              </w:rPr>
            </w:pPr>
          </w:p>
        </w:tc>
        <w:tc>
          <w:tcPr>
            <w:tcW w:w="4960" w:type="dxa"/>
            <w:vAlign w:val="bottom"/>
          </w:tcPr>
          <w:p>
            <w:pPr>
              <w:jc w:val="center"/>
              <w:ind w:right="1900"/>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8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001-32871</w:t>
            </w:r>
          </w:p>
        </w:tc>
        <w:tc>
          <w:tcPr>
            <w:tcW w:w="4960" w:type="dxa"/>
            <w:vAlign w:val="bottom"/>
          </w:tcPr>
          <w:p>
            <w:pPr>
              <w:jc w:val="center"/>
              <w:ind w:left="3760"/>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(Commission</w:t>
            </w:r>
          </w:p>
        </w:tc>
        <w:tc>
          <w:tcPr>
            <w:tcW w:w="4960" w:type="dxa"/>
            <w:vAlign w:val="bottom"/>
          </w:tcPr>
          <w:p>
            <w:pPr>
              <w:jc w:val="center"/>
              <w:ind w:left="378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File Number)</w:t>
            </w:r>
          </w:p>
        </w:tc>
        <w:tc>
          <w:tcPr>
            <w:tcW w:w="4960" w:type="dxa"/>
            <w:vAlign w:val="bottom"/>
          </w:tcPr>
          <w:p>
            <w:pPr>
              <w:jc w:val="center"/>
              <w:ind w:left="3760"/>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258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One Comcast Center</w:t>
            </w:r>
          </w:p>
        </w:tc>
        <w:tc>
          <w:tcPr>
            <w:tcW w:w="4960" w:type="dxa"/>
            <w:vAlign w:val="bottom"/>
          </w:tcPr>
          <w:p>
            <w:pPr>
              <w:spacing w:after="0"/>
              <w:rPr>
                <w:sz w:val="24"/>
                <w:szCs w:val="24"/>
                <w:color w:val="auto"/>
              </w:rPr>
            </w:pPr>
          </w:p>
        </w:tc>
      </w:tr>
      <w:tr>
        <w:trPr>
          <w:trHeight w:val="225"/>
        </w:trPr>
        <w:tc>
          <w:tcPr>
            <w:tcW w:w="25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Philadelphia, PA</w:t>
            </w:r>
          </w:p>
        </w:tc>
        <w:tc>
          <w:tcPr>
            <w:tcW w:w="4960" w:type="dxa"/>
            <w:vAlign w:val="bottom"/>
          </w:tcPr>
          <w:p>
            <w:pPr>
              <w:jc w:val="center"/>
              <w:ind w:left="3760"/>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58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780"/>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May 26, 2016 Comcast Corporation (“Comcast”) entered into a credit agreement (the “credit agreement”) among Comcast, the financial institutions party thereto (the “lenders”), JPMorgan Chase Bank, N.A., as administrative agent, Citibank, N.A., as syndication agent, and Morgan Stanley MUFG Loan Partners, LLC, Wells Fargo Bank, National Association and Mizuho Bank, Ltd., as co-documentation agents. JPMorgan Chase Bank, N.A., Citigroup Global Markets Inc., Morgan Stanley MUFG Loan Partners, LLC, Wells Fargo Securities, LLC and Mizuho Bank, Ltd. acted as joint lead arrangers and joint bookrunners. The credit agreement replaced Comcast’s prior $6,250,000,000 credit agreement entered into as of June 6, 2012 among Comcast, the financial institutions party thereto, JPMorgan Chase Bank, N.A., as administrative agent and issuing lender, Citibank, N.A., as syndication agent, and Morgan Stanley MUFG Loan Partners, LLC and Wells Fargo Bank, National Association as co-documentation agents.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credit agreement provides for a $7,000,000,000 unsecured revolving credit facility (the “facility”) to Comcast for general corporate purposes that is scheduled to expire on May 26, 2021 and is guaranteed by Comcast Cable Communications, LLC and NBCUniversal Media, LLC (the “guarantors”). Comcast may, upon the agreement of one or more new or existing lenders, increase the commitments under the facility up to a total of $10,000,000,000, and/or extend the expiration date of the facility to a date not later than May 26, 2023. At this time, Comcast has not borrowed any funds under the credit agreement, although certain existing letters of credit have been continued under the credit agreement and reduce the availability thereunder in a corresponding amount. Interest is based on either (i) the base rate formula, (ii) the Eurodollar rate formula or (iii) the fixed rate specified by the lender, each as described in the credit agreement with respect to the applicable type of borrowing.</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credit agreement contains customary representations and warranties as well as customary affirmative and negative covenants and events of default. Negative covenants include, among others, limitations on incurrence of liens by Comcast and certain of its subsidiaries and limitations on incurrence of any indebtedness by certain of Comcast’s subsidiaries that are not guarantors, and a requirement that the leverage ratio (as defined in the credit agreement) as of the end of any fiscal quarter is not greater than 5.75 to 1.00. If any of the events of default occur and are not cured within applicable grace periods or waived, any unpaid amounts under the credit agreement may be declared immediately due and payable and the commitments may be terminated.</w:t>
      </w:r>
    </w:p>
    <w:p>
      <w:pPr>
        <w:spacing w:after="0" w:line="15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Comcast and its affiliates maintain various commercial and service relationships with certain of the lenders and their affiliates in the ordinary course of business. In the ordinary course of their respective businesses, certain of the lenders and the other parties to the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7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description above is a summary and is qualified in its entirety by the credit agreement which is filed as Exhibit 10.1 to this report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connection with its entry into the credit agreement, on May 26, 2016 Comcast terminated its five-year $6,250,000,000 revolving credit agreement entered into as of June 6, 2012 among Comcast, the financial institutions party thereto, JPMorgan Chase Bank, N.A., as administrative agent, Citibank, N.A., as syndication agent, and Morgan Stanley MUFG Loan Partners, LLC and Wells Fargo Bank, National Association as co-documentation agents (the “prior credit agreement”). No borrowings were outstanding at the termination of the prior credit agreement.</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Comcast and its affiliates maintain various commercial and service relationships with certain of the lenders under the prior credit agreement and their affiliates in the ordinary course of business. In the ordinary course of their respective businesses, certain of the lenders and the other parties to the prior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 Creation of a Direct Financial Obligation or an Obligation under an Off-Balance Sheet Arrangement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Item 1.01 above, which information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May 26, 2016, NBCUniversal Enterprise, Inc. (“NBCUniversal Enterprise”) entered into a $1,500,000,000 revolving credit agreement (the “Enterprise credit agreement”) with various financial institutions. The Enterprise credit agreement replaced NBCUniversal Enterprise’s prior $1,350,000,000 revolving credit agreement. The Enterprise credit agreement is guaranteed by Comcast and Comcast Cable Communications, LLC. NBCUniversal Enterprise may, upon the agreement of one or more new or existing lenders, increase the commitments under the Enterprise facility up to a total of $2,000,000,000, and/or extend the expiration date of the Enterprise facility from May 26, 2021 to a date not later than May 26, 2023. The Enterprise credit agreement contains customary representations and warranties as well as customary affirmative and negative covenants and events of default.</w:t>
      </w:r>
    </w:p>
    <w:p>
      <w:pPr>
        <w:spacing w:after="0" w:line="16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46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460" w:type="dxa"/>
            <w:vAlign w:val="bottom"/>
            <w:gridSpan w:val="3"/>
          </w:tcPr>
          <w:p>
            <w:pPr>
              <w:ind w:left="560"/>
              <w:spacing w:after="0"/>
              <w:rPr>
                <w:sz w:val="20"/>
                <w:szCs w:val="20"/>
                <w:color w:val="auto"/>
              </w:rPr>
            </w:pPr>
            <w:r>
              <w:rPr>
                <w:rFonts w:ascii="Arial" w:cs="Arial" w:eastAsia="Arial" w:hAnsi="Arial"/>
                <w:sz w:val="18"/>
                <w:szCs w:val="18"/>
                <w:color w:val="auto"/>
                <w:w w:val="90"/>
              </w:rPr>
              <w:t>Credit Agreement dated as of May 26, 2016, among Comcast Corporation, the financial institutions party thereto, JPMorgan Chase 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460" w:type="dxa"/>
            <w:vAlign w:val="bottom"/>
            <w:gridSpan w:val="3"/>
          </w:tcPr>
          <w:p>
            <w:pPr>
              <w:ind w:left="560"/>
              <w:spacing w:after="0"/>
              <w:rPr>
                <w:sz w:val="20"/>
                <w:szCs w:val="20"/>
                <w:color w:val="auto"/>
              </w:rPr>
            </w:pPr>
            <w:r>
              <w:rPr>
                <w:rFonts w:ascii="Arial" w:cs="Arial" w:eastAsia="Arial" w:hAnsi="Arial"/>
                <w:sz w:val="18"/>
                <w:szCs w:val="18"/>
                <w:color w:val="auto"/>
                <w:w w:val="92"/>
              </w:rPr>
              <w:t>N.A., as administrative agent, Citibank, N.A., as syndication agent, Morgan Stanley MUFG Partners, LLC, Wells Fargo Bank, National</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460" w:type="dxa"/>
            <w:vAlign w:val="bottom"/>
            <w:gridSpan w:val="3"/>
          </w:tcPr>
          <w:p>
            <w:pPr>
              <w:ind w:left="560"/>
              <w:spacing w:after="0"/>
              <w:rPr>
                <w:sz w:val="20"/>
                <w:szCs w:val="20"/>
                <w:color w:val="auto"/>
              </w:rPr>
            </w:pPr>
            <w:r>
              <w:rPr>
                <w:rFonts w:ascii="Arial" w:cs="Arial" w:eastAsia="Arial" w:hAnsi="Arial"/>
                <w:sz w:val="18"/>
                <w:szCs w:val="18"/>
                <w:color w:val="auto"/>
              </w:rPr>
              <w:t>Association and Mizuho Bank, Ltd., as co-documentation agents</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04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31, 2016</w:t>
            </w:r>
          </w:p>
        </w:tc>
        <w:tc>
          <w:tcPr>
            <w:tcW w:w="7920" w:type="dxa"/>
            <w:vAlign w:val="bottom"/>
            <w:gridSpan w:val="2"/>
          </w:tcPr>
          <w:p>
            <w:pPr>
              <w:ind w:left="2040"/>
              <w:spacing w:after="0"/>
              <w:rPr>
                <w:sz w:val="20"/>
                <w:szCs w:val="20"/>
                <w:color w:val="auto"/>
              </w:rPr>
            </w:pPr>
            <w:r>
              <w:rPr>
                <w:rFonts w:ascii="Arial" w:cs="Arial" w:eastAsia="Arial" w:hAnsi="Arial"/>
                <w:sz w:val="18"/>
                <w:szCs w:val="18"/>
                <w:color w:val="auto"/>
              </w:rPr>
              <w:t>By: /s/ William E. Dordelman</w:t>
            </w:r>
          </w:p>
        </w:tc>
      </w:tr>
      <w:tr>
        <w:trPr>
          <w:trHeight w:val="209"/>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William E. Dordelman</w:t>
            </w:r>
          </w:p>
        </w:tc>
      </w:tr>
      <w:tr>
        <w:trPr>
          <w:trHeight w:val="230"/>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Senior Vice President and Treasurer</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Financial Institutions Party Hereto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Syndication Agent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MORGAN STANLEY MUFG LOAN PARTNERS,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WELLS FARGO BANK, NATIONAL ASSOCIATION and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MORGAN STANLEY MUFG LOAN PARTNERS,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WELLS FARGO SECURITIES, LLC 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96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377"/>
        </w:trPr>
        <w:tc>
          <w:tcPr>
            <w:tcW w:w="9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SECTION 1 DEFINITIONS AND ACCOUNTING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796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7960" w:type="dxa"/>
            <w:vAlign w:val="bottom"/>
          </w:tcPr>
          <w:p>
            <w:pPr>
              <w:ind w:left="220"/>
              <w:spacing w:after="0"/>
              <w:rPr>
                <w:sz w:val="20"/>
                <w:szCs w:val="20"/>
                <w:color w:val="auto"/>
              </w:rPr>
            </w:pPr>
            <w:r>
              <w:rPr>
                <w:rFonts w:ascii="Arial" w:cs="Arial" w:eastAsia="Arial" w:hAnsi="Arial"/>
                <w:sz w:val="18"/>
                <w:szCs w:val="18"/>
                <w:color w:val="auto"/>
              </w:rPr>
              <w:t>Use of Certain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7960" w:type="dxa"/>
            <w:vAlign w:val="bottom"/>
          </w:tcPr>
          <w:p>
            <w:pPr>
              <w:ind w:left="220"/>
              <w:spacing w:after="0"/>
              <w:rPr>
                <w:sz w:val="20"/>
                <w:szCs w:val="20"/>
                <w:color w:val="auto"/>
              </w:rPr>
            </w:pPr>
            <w:r>
              <w:rPr>
                <w:rFonts w:ascii="Arial" w:cs="Arial" w:eastAsia="Arial" w:hAnsi="Arial"/>
                <w:sz w:val="18"/>
                <w:szCs w:val="18"/>
                <w:color w:val="auto"/>
              </w:rPr>
              <w:t>Accounting Terms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7960" w:type="dxa"/>
            <w:vAlign w:val="bottom"/>
          </w:tcPr>
          <w:p>
            <w:pPr>
              <w:ind w:left="220"/>
              <w:spacing w:after="0"/>
              <w:rPr>
                <w:sz w:val="20"/>
                <w:szCs w:val="20"/>
                <w:color w:val="auto"/>
              </w:rPr>
            </w:pPr>
            <w:r>
              <w:rPr>
                <w:rFonts w:ascii="Arial" w:cs="Arial" w:eastAsia="Arial" w:hAnsi="Arial"/>
                <w:sz w:val="18"/>
                <w:szCs w:val="18"/>
                <w:color w:val="auto"/>
              </w:rPr>
              <w:t>Rounding</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7960" w:type="dxa"/>
            <w:vAlign w:val="bottom"/>
          </w:tcPr>
          <w:p>
            <w:pPr>
              <w:ind w:left="220"/>
              <w:spacing w:after="0"/>
              <w:rPr>
                <w:sz w:val="20"/>
                <w:szCs w:val="20"/>
                <w:color w:val="auto"/>
              </w:rPr>
            </w:pPr>
            <w:r>
              <w:rPr>
                <w:rFonts w:ascii="Arial" w:cs="Arial" w:eastAsia="Arial" w:hAnsi="Arial"/>
                <w:sz w:val="18"/>
                <w:szCs w:val="18"/>
                <w:color w:val="auto"/>
              </w:rPr>
              <w:t>Exhibits and Schedules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7960" w:type="dxa"/>
            <w:vAlign w:val="bottom"/>
          </w:tcPr>
          <w:p>
            <w:pPr>
              <w:ind w:left="220"/>
              <w:spacing w:after="0"/>
              <w:rPr>
                <w:sz w:val="20"/>
                <w:szCs w:val="20"/>
                <w:color w:val="auto"/>
              </w:rPr>
            </w:pPr>
            <w:r>
              <w:rPr>
                <w:rFonts w:ascii="Arial" w:cs="Arial" w:eastAsia="Arial" w:hAnsi="Arial"/>
                <w:sz w:val="18"/>
                <w:szCs w:val="18"/>
                <w:color w:val="auto"/>
              </w:rPr>
              <w:t>References to Agreements and Laws</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7960" w:type="dxa"/>
            <w:vAlign w:val="bottom"/>
          </w:tcPr>
          <w:p>
            <w:pPr>
              <w:ind w:left="220"/>
              <w:spacing w:after="0"/>
              <w:rPr>
                <w:sz w:val="20"/>
                <w:szCs w:val="20"/>
                <w:color w:val="auto"/>
              </w:rPr>
            </w:pPr>
            <w:r>
              <w:rPr>
                <w:rFonts w:ascii="Arial" w:cs="Arial" w:eastAsia="Arial" w:hAnsi="Arial"/>
                <w:sz w:val="18"/>
                <w:szCs w:val="18"/>
                <w:color w:val="auto"/>
              </w:rPr>
              <w:t>Pro Forma Calculations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SECTION 2 THE REVOLVING COMMITMENTS AND EXTENSIONS OF CREDIT</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7960" w:type="dxa"/>
            <w:vAlign w:val="bottom"/>
          </w:tcPr>
          <w:p>
            <w:pPr>
              <w:ind w:left="220"/>
              <w:spacing w:after="0"/>
              <w:rPr>
                <w:sz w:val="20"/>
                <w:szCs w:val="20"/>
                <w:color w:val="auto"/>
              </w:rPr>
            </w:pPr>
            <w:r>
              <w:rPr>
                <w:rFonts w:ascii="Arial" w:cs="Arial" w:eastAsia="Arial" w:hAnsi="Arial"/>
                <w:sz w:val="18"/>
                <w:szCs w:val="18"/>
                <w:color w:val="auto"/>
              </w:rPr>
              <w:t>Amount and Terms of Revolving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7960" w:type="dxa"/>
            <w:vAlign w:val="bottom"/>
          </w:tcPr>
          <w:p>
            <w:pPr>
              <w:ind w:left="220"/>
              <w:spacing w:after="0"/>
              <w:rPr>
                <w:sz w:val="20"/>
                <w:szCs w:val="20"/>
                <w:color w:val="auto"/>
              </w:rPr>
            </w:pPr>
            <w:r>
              <w:rPr>
                <w:rFonts w:ascii="Arial" w:cs="Arial" w:eastAsia="Arial" w:hAnsi="Arial"/>
                <w:sz w:val="18"/>
                <w:szCs w:val="18"/>
                <w:color w:val="auto"/>
              </w:rPr>
              <w:t>Procedure for Revolving Loan Borrowings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2.03</w:t>
            </w:r>
          </w:p>
        </w:tc>
        <w:tc>
          <w:tcPr>
            <w:tcW w:w="796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2.04</w:t>
            </w:r>
          </w:p>
        </w:tc>
        <w:tc>
          <w:tcPr>
            <w:tcW w:w="7960" w:type="dxa"/>
            <w:vAlign w:val="bottom"/>
          </w:tcPr>
          <w:p>
            <w:pPr>
              <w:ind w:left="220"/>
              <w:spacing w:after="0"/>
              <w:rPr>
                <w:sz w:val="20"/>
                <w:szCs w:val="20"/>
                <w:color w:val="auto"/>
              </w:rPr>
            </w:pPr>
            <w:r>
              <w:rPr>
                <w:rFonts w:ascii="Arial" w:cs="Arial" w:eastAsia="Arial" w:hAnsi="Arial"/>
                <w:sz w:val="18"/>
                <w:szCs w:val="18"/>
                <w:color w:val="auto"/>
              </w:rPr>
              <w:t>Competitive Bid Procedure</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7960" w:type="dxa"/>
            <w:vAlign w:val="bottom"/>
          </w:tcPr>
          <w:p>
            <w:pPr>
              <w:ind w:left="220"/>
              <w:spacing w:after="0"/>
              <w:rPr>
                <w:sz w:val="20"/>
                <w:szCs w:val="20"/>
                <w:color w:val="auto"/>
              </w:rPr>
            </w:pPr>
            <w:r>
              <w:rPr>
                <w:rFonts w:ascii="Arial" w:cs="Arial" w:eastAsia="Arial" w:hAnsi="Arial"/>
                <w:sz w:val="18"/>
                <w:szCs w:val="18"/>
                <w:color w:val="auto"/>
              </w:rPr>
              <w:t>Reduction or Termination of Revolving Commitments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2.06</w:t>
            </w:r>
          </w:p>
        </w:tc>
        <w:tc>
          <w:tcPr>
            <w:tcW w:w="7960" w:type="dxa"/>
            <w:vAlign w:val="bottom"/>
          </w:tcPr>
          <w:p>
            <w:pPr>
              <w:ind w:left="220"/>
              <w:spacing w:after="0"/>
              <w:rPr>
                <w:sz w:val="20"/>
                <w:szCs w:val="20"/>
                <w:color w:val="auto"/>
              </w:rPr>
            </w:pPr>
            <w:r>
              <w:rPr>
                <w:rFonts w:ascii="Arial" w:cs="Arial" w:eastAsia="Arial" w:hAnsi="Arial"/>
                <w:sz w:val="18"/>
                <w:szCs w:val="18"/>
                <w:color w:val="auto"/>
              </w:rPr>
              <w:t>Prepayments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2.07</w:t>
            </w:r>
          </w:p>
        </w:tc>
        <w:tc>
          <w:tcPr>
            <w:tcW w:w="7960" w:type="dxa"/>
            <w:vAlign w:val="bottom"/>
          </w:tcPr>
          <w:p>
            <w:pPr>
              <w:ind w:left="220"/>
              <w:spacing w:after="0"/>
              <w:rPr>
                <w:sz w:val="20"/>
                <w:szCs w:val="20"/>
                <w:color w:val="auto"/>
              </w:rPr>
            </w:pPr>
            <w:r>
              <w:rPr>
                <w:rFonts w:ascii="Arial" w:cs="Arial" w:eastAsia="Arial" w:hAnsi="Arial"/>
                <w:sz w:val="18"/>
                <w:szCs w:val="18"/>
                <w:color w:val="auto"/>
              </w:rPr>
              <w:t>Documentation of Loans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2.08</w:t>
            </w:r>
          </w:p>
        </w:tc>
        <w:tc>
          <w:tcPr>
            <w:tcW w:w="7960" w:type="dxa"/>
            <w:vAlign w:val="bottom"/>
          </w:tcPr>
          <w:p>
            <w:pPr>
              <w:ind w:left="220"/>
              <w:spacing w:after="0"/>
              <w:rPr>
                <w:sz w:val="20"/>
                <w:szCs w:val="20"/>
                <w:color w:val="auto"/>
              </w:rPr>
            </w:pPr>
            <w:r>
              <w:rPr>
                <w:rFonts w:ascii="Arial" w:cs="Arial" w:eastAsia="Arial" w:hAnsi="Arial"/>
                <w:sz w:val="18"/>
                <w:szCs w:val="18"/>
                <w:color w:val="auto"/>
              </w:rPr>
              <w:t>Continuation and Conversion Option</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2.09</w:t>
            </w:r>
          </w:p>
        </w:tc>
        <w:tc>
          <w:tcPr>
            <w:tcW w:w="796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2.10</w:t>
            </w:r>
          </w:p>
        </w:tc>
        <w:tc>
          <w:tcPr>
            <w:tcW w:w="7960" w:type="dxa"/>
            <w:vAlign w:val="bottom"/>
          </w:tcPr>
          <w:p>
            <w:pPr>
              <w:ind w:left="220"/>
              <w:spacing w:after="0"/>
              <w:rPr>
                <w:sz w:val="20"/>
                <w:szCs w:val="20"/>
                <w:color w:val="auto"/>
              </w:rPr>
            </w:pPr>
            <w:r>
              <w:rPr>
                <w:rFonts w:ascii="Arial" w:cs="Arial" w:eastAsia="Arial" w:hAnsi="Arial"/>
                <w:sz w:val="18"/>
                <w:szCs w:val="18"/>
                <w:color w:val="auto"/>
              </w:rPr>
              <w:t>Fees</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2.11</w:t>
            </w:r>
          </w:p>
        </w:tc>
        <w:tc>
          <w:tcPr>
            <w:tcW w:w="7960" w:type="dxa"/>
            <w:vAlign w:val="bottom"/>
          </w:tcPr>
          <w:p>
            <w:pPr>
              <w:ind w:left="220"/>
              <w:spacing w:after="0"/>
              <w:rPr>
                <w:sz w:val="20"/>
                <w:szCs w:val="20"/>
                <w:color w:val="auto"/>
              </w:rPr>
            </w:pPr>
            <w:r>
              <w:rPr>
                <w:rFonts w:ascii="Arial" w:cs="Arial" w:eastAsia="Arial" w:hAnsi="Arial"/>
                <w:sz w:val="18"/>
                <w:szCs w:val="18"/>
                <w:color w:val="auto"/>
              </w:rPr>
              <w:t>Computation of Interest and Fees</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2.12</w:t>
            </w:r>
          </w:p>
        </w:tc>
        <w:tc>
          <w:tcPr>
            <w:tcW w:w="7960" w:type="dxa"/>
            <w:vAlign w:val="bottom"/>
          </w:tcPr>
          <w:p>
            <w:pPr>
              <w:ind w:left="220"/>
              <w:spacing w:after="0"/>
              <w:rPr>
                <w:sz w:val="20"/>
                <w:szCs w:val="20"/>
                <w:color w:val="auto"/>
              </w:rPr>
            </w:pPr>
            <w:r>
              <w:rPr>
                <w:rFonts w:ascii="Arial" w:cs="Arial" w:eastAsia="Arial" w:hAnsi="Arial"/>
                <w:sz w:val="18"/>
                <w:szCs w:val="18"/>
                <w:color w:val="auto"/>
              </w:rPr>
              <w:t>Making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2.13</w:t>
            </w:r>
          </w:p>
        </w:tc>
        <w:tc>
          <w:tcPr>
            <w:tcW w:w="7960" w:type="dxa"/>
            <w:vAlign w:val="bottom"/>
          </w:tcPr>
          <w:p>
            <w:pPr>
              <w:ind w:left="220"/>
              <w:spacing w:after="0"/>
              <w:rPr>
                <w:sz w:val="20"/>
                <w:szCs w:val="20"/>
                <w:color w:val="auto"/>
              </w:rPr>
            </w:pPr>
            <w:r>
              <w:rPr>
                <w:rFonts w:ascii="Arial" w:cs="Arial" w:eastAsia="Arial" w:hAnsi="Arial"/>
                <w:sz w:val="18"/>
                <w:szCs w:val="18"/>
                <w:color w:val="auto"/>
              </w:rPr>
              <w:t>Funding Sources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2.14</w:t>
            </w:r>
          </w:p>
        </w:tc>
        <w:tc>
          <w:tcPr>
            <w:tcW w:w="7960" w:type="dxa"/>
            <w:vAlign w:val="bottom"/>
          </w:tcPr>
          <w:p>
            <w:pPr>
              <w:ind w:left="220"/>
              <w:spacing w:after="0"/>
              <w:rPr>
                <w:sz w:val="20"/>
                <w:szCs w:val="20"/>
                <w:color w:val="auto"/>
              </w:rPr>
            </w:pPr>
            <w:r>
              <w:rPr>
                <w:rFonts w:ascii="Arial" w:cs="Arial" w:eastAsia="Arial" w:hAnsi="Arial"/>
                <w:sz w:val="18"/>
                <w:szCs w:val="18"/>
                <w:color w:val="auto"/>
              </w:rPr>
              <w:t>Defaulting Lenders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2.15</w:t>
            </w:r>
          </w:p>
        </w:tc>
        <w:tc>
          <w:tcPr>
            <w:tcW w:w="7960" w:type="dxa"/>
            <w:vAlign w:val="bottom"/>
          </w:tcPr>
          <w:p>
            <w:pPr>
              <w:ind w:left="220"/>
              <w:spacing w:after="0"/>
              <w:rPr>
                <w:sz w:val="20"/>
                <w:szCs w:val="20"/>
                <w:color w:val="auto"/>
              </w:rPr>
            </w:pPr>
            <w:r>
              <w:rPr>
                <w:rFonts w:ascii="Arial" w:cs="Arial" w:eastAsia="Arial" w:hAnsi="Arial"/>
                <w:sz w:val="18"/>
                <w:szCs w:val="18"/>
                <w:color w:val="auto"/>
              </w:rPr>
              <w:t>Currency Equivalents</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3.01</w:t>
            </w:r>
          </w:p>
        </w:tc>
        <w:tc>
          <w:tcPr>
            <w:tcW w:w="7960" w:type="dxa"/>
            <w:vAlign w:val="bottom"/>
          </w:tcPr>
          <w:p>
            <w:pPr>
              <w:ind w:left="22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3.02</w:t>
            </w:r>
          </w:p>
        </w:tc>
        <w:tc>
          <w:tcPr>
            <w:tcW w:w="7960" w:type="dxa"/>
            <w:vAlign w:val="bottom"/>
          </w:tcPr>
          <w:p>
            <w:pPr>
              <w:ind w:left="220"/>
              <w:spacing w:after="0"/>
              <w:rPr>
                <w:sz w:val="20"/>
                <w:szCs w:val="20"/>
                <w:color w:val="auto"/>
              </w:rPr>
            </w:pPr>
            <w:r>
              <w:rPr>
                <w:rFonts w:ascii="Arial" w:cs="Arial" w:eastAsia="Arial" w:hAnsi="Arial"/>
                <w:sz w:val="18"/>
                <w:szCs w:val="18"/>
                <w:color w:val="auto"/>
              </w:rPr>
              <w:t>Illegality</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3.03</w:t>
            </w:r>
          </w:p>
        </w:tc>
        <w:tc>
          <w:tcPr>
            <w:tcW w:w="7960" w:type="dxa"/>
            <w:vAlign w:val="bottom"/>
          </w:tcPr>
          <w:p>
            <w:pPr>
              <w:ind w:left="220"/>
              <w:spacing w:after="0"/>
              <w:rPr>
                <w:sz w:val="20"/>
                <w:szCs w:val="20"/>
                <w:color w:val="auto"/>
              </w:rPr>
            </w:pPr>
            <w:r>
              <w:rPr>
                <w:rFonts w:ascii="Arial" w:cs="Arial" w:eastAsia="Arial" w:hAnsi="Arial"/>
                <w:sz w:val="18"/>
                <w:szCs w:val="18"/>
                <w:color w:val="auto"/>
              </w:rPr>
              <w:t>Inability to Determine Eurodollar Rates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3.04</w:t>
            </w:r>
          </w:p>
        </w:tc>
        <w:tc>
          <w:tcPr>
            <w:tcW w:w="7960" w:type="dxa"/>
            <w:vAlign w:val="bottom"/>
          </w:tcPr>
          <w:p>
            <w:pPr>
              <w:ind w:left="220"/>
              <w:spacing w:after="0"/>
              <w:rPr>
                <w:sz w:val="20"/>
                <w:szCs w:val="20"/>
                <w:color w:val="auto"/>
              </w:rPr>
            </w:pPr>
            <w:r>
              <w:rPr>
                <w:rFonts w:ascii="Arial" w:cs="Arial" w:eastAsia="Arial" w:hAnsi="Arial"/>
                <w:sz w:val="18"/>
                <w:szCs w:val="18"/>
                <w:color w:val="auto"/>
              </w:rPr>
              <w:t>Increased Cost and Reduced Return; Capital Adequacy</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3.05</w:t>
            </w:r>
          </w:p>
        </w:tc>
        <w:tc>
          <w:tcPr>
            <w:tcW w:w="7960" w:type="dxa"/>
            <w:vAlign w:val="bottom"/>
          </w:tcPr>
          <w:p>
            <w:pPr>
              <w:ind w:left="220"/>
              <w:spacing w:after="0"/>
              <w:rPr>
                <w:sz w:val="20"/>
                <w:szCs w:val="20"/>
                <w:color w:val="auto"/>
              </w:rPr>
            </w:pPr>
            <w:r>
              <w:rPr>
                <w:rFonts w:ascii="Arial" w:cs="Arial" w:eastAsia="Arial" w:hAnsi="Arial"/>
                <w:sz w:val="18"/>
                <w:szCs w:val="18"/>
                <w:color w:val="auto"/>
              </w:rPr>
              <w:t>Breakfunding Costs</w:t>
            </w:r>
          </w:p>
        </w:tc>
        <w:tc>
          <w:tcPr>
            <w:tcW w:w="2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3.06</w:t>
            </w:r>
          </w:p>
        </w:tc>
        <w:tc>
          <w:tcPr>
            <w:tcW w:w="7960" w:type="dxa"/>
            <w:vAlign w:val="bottom"/>
          </w:tcPr>
          <w:p>
            <w:pPr>
              <w:ind w:left="220"/>
              <w:spacing w:after="0"/>
              <w:rPr>
                <w:sz w:val="20"/>
                <w:szCs w:val="20"/>
                <w:color w:val="auto"/>
              </w:rPr>
            </w:pPr>
            <w:r>
              <w:rPr>
                <w:rFonts w:ascii="Arial" w:cs="Arial" w:eastAsia="Arial" w:hAnsi="Arial"/>
                <w:sz w:val="18"/>
                <w:szCs w:val="18"/>
                <w:color w:val="auto"/>
              </w:rPr>
              <w:t>Matters Applicable to all Requests for Compensation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3.07</w:t>
            </w:r>
          </w:p>
        </w:tc>
        <w:tc>
          <w:tcPr>
            <w:tcW w:w="7960" w:type="dxa"/>
            <w:vAlign w:val="bottom"/>
          </w:tcPr>
          <w:p>
            <w:pPr>
              <w:ind w:left="220"/>
              <w:spacing w:after="0"/>
              <w:rPr>
                <w:sz w:val="20"/>
                <w:szCs w:val="20"/>
                <w:color w:val="auto"/>
              </w:rPr>
            </w:pPr>
            <w:r>
              <w:rPr>
                <w:rFonts w:ascii="Arial" w:cs="Arial" w:eastAsia="Arial" w:hAnsi="Arial"/>
                <w:sz w:val="18"/>
                <w:szCs w:val="18"/>
                <w:color w:val="auto"/>
              </w:rPr>
              <w:t>Survival</w:t>
            </w:r>
          </w:p>
        </w:tc>
        <w:tc>
          <w:tcPr>
            <w:tcW w:w="24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65"/>
        </w:trPr>
        <w:tc>
          <w:tcPr>
            <w:tcW w:w="900" w:type="dxa"/>
            <w:vAlign w:val="bottom"/>
          </w:tcPr>
          <w:p>
            <w:pPr>
              <w:spacing w:after="0"/>
              <w:rPr>
                <w:sz w:val="24"/>
                <w:szCs w:val="24"/>
                <w:color w:val="auto"/>
              </w:rPr>
            </w:pPr>
          </w:p>
        </w:tc>
        <w:tc>
          <w:tcPr>
            <w:tcW w:w="7960" w:type="dxa"/>
            <w:vAlign w:val="bottom"/>
          </w:tcPr>
          <w:p>
            <w:pPr>
              <w:ind w:left="4780"/>
              <w:spacing w:after="0"/>
              <w:rPr>
                <w:sz w:val="20"/>
                <w:szCs w:val="20"/>
                <w:color w:val="auto"/>
              </w:rPr>
            </w:pPr>
            <w:r>
              <w:rPr>
                <w:rFonts w:ascii="Arial" w:cs="Arial" w:eastAsia="Arial" w:hAnsi="Arial"/>
                <w:sz w:val="18"/>
                <w:szCs w:val="18"/>
                <w:color w:val="auto"/>
              </w:rPr>
              <w:t>i</w:t>
            </w:r>
          </w:p>
        </w:tc>
        <w:tc>
          <w:tcPr>
            <w:tcW w:w="2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w w:val="95"/>
              </w:rPr>
              <w:t>SECTION 4 CONDITIONS PRECEDENT TO EXTENSIONS OF CREDIT</w:t>
            </w:r>
          </w:p>
        </w:tc>
        <w:tc>
          <w:tcPr>
            <w:tcW w:w="5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4.01</w:t>
            </w:r>
          </w:p>
        </w:tc>
        <w:tc>
          <w:tcPr>
            <w:tcW w:w="4700" w:type="dxa"/>
            <w:vAlign w:val="bottom"/>
          </w:tcPr>
          <w:p>
            <w:pPr>
              <w:ind w:left="220"/>
              <w:spacing w:after="0"/>
              <w:rPr>
                <w:sz w:val="20"/>
                <w:szCs w:val="20"/>
                <w:color w:val="auto"/>
              </w:rPr>
            </w:pPr>
            <w:r>
              <w:rPr>
                <w:rFonts w:ascii="Arial" w:cs="Arial" w:eastAsia="Arial" w:hAnsi="Arial"/>
                <w:sz w:val="18"/>
                <w:szCs w:val="18"/>
                <w:color w:val="auto"/>
              </w:rPr>
              <w:t>Conditions Precedent to Effective Date</w:t>
            </w:r>
          </w:p>
        </w:tc>
        <w:tc>
          <w:tcPr>
            <w:tcW w:w="5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4.02</w:t>
            </w:r>
          </w:p>
        </w:tc>
        <w:tc>
          <w:tcPr>
            <w:tcW w:w="4700" w:type="dxa"/>
            <w:vAlign w:val="bottom"/>
          </w:tcPr>
          <w:p>
            <w:pPr>
              <w:ind w:left="220"/>
              <w:spacing w:after="0"/>
              <w:rPr>
                <w:sz w:val="20"/>
                <w:szCs w:val="20"/>
                <w:color w:val="auto"/>
              </w:rPr>
            </w:pPr>
            <w:r>
              <w:rPr>
                <w:rFonts w:ascii="Arial" w:cs="Arial" w:eastAsia="Arial" w:hAnsi="Arial"/>
                <w:sz w:val="18"/>
                <w:szCs w:val="18"/>
                <w:color w:val="auto"/>
              </w:rPr>
              <w:t>Conditions to all Extensions of Credit</w:t>
            </w:r>
          </w:p>
        </w:tc>
        <w:tc>
          <w:tcPr>
            <w:tcW w:w="5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5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5.01</w:t>
            </w:r>
          </w:p>
        </w:tc>
        <w:tc>
          <w:tcPr>
            <w:tcW w:w="4700" w:type="dxa"/>
            <w:vAlign w:val="bottom"/>
          </w:tcPr>
          <w:p>
            <w:pPr>
              <w:ind w:left="220"/>
              <w:spacing w:after="0"/>
              <w:rPr>
                <w:sz w:val="20"/>
                <w:szCs w:val="20"/>
                <w:color w:val="auto"/>
              </w:rPr>
            </w:pPr>
            <w:r>
              <w:rPr>
                <w:rFonts w:ascii="Arial" w:cs="Arial" w:eastAsia="Arial" w:hAnsi="Arial"/>
                <w:sz w:val="18"/>
                <w:szCs w:val="18"/>
                <w:color w:val="auto"/>
                <w:w w:val="95"/>
              </w:rPr>
              <w:t>Existence and Qualification; Power; Compliance with Laws</w:t>
            </w:r>
          </w:p>
        </w:tc>
        <w:tc>
          <w:tcPr>
            <w:tcW w:w="5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5.02</w:t>
            </w:r>
          </w:p>
        </w:tc>
        <w:tc>
          <w:tcPr>
            <w:tcW w:w="4700" w:type="dxa"/>
            <w:vAlign w:val="bottom"/>
          </w:tcPr>
          <w:p>
            <w:pPr>
              <w:ind w:left="220"/>
              <w:spacing w:after="0"/>
              <w:rPr>
                <w:sz w:val="20"/>
                <w:szCs w:val="20"/>
                <w:color w:val="auto"/>
              </w:rPr>
            </w:pPr>
            <w:r>
              <w:rPr>
                <w:rFonts w:ascii="Arial" w:cs="Arial" w:eastAsia="Arial" w:hAnsi="Arial"/>
                <w:sz w:val="18"/>
                <w:szCs w:val="18"/>
                <w:color w:val="auto"/>
              </w:rPr>
              <w:t>Power; Authorization; Enforceable Obligations</w:t>
            </w:r>
          </w:p>
        </w:tc>
        <w:tc>
          <w:tcPr>
            <w:tcW w:w="5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5.03</w:t>
            </w:r>
          </w:p>
        </w:tc>
        <w:tc>
          <w:tcPr>
            <w:tcW w:w="4700" w:type="dxa"/>
            <w:vAlign w:val="bottom"/>
          </w:tcPr>
          <w:p>
            <w:pPr>
              <w:ind w:left="220"/>
              <w:spacing w:after="0"/>
              <w:rPr>
                <w:sz w:val="20"/>
                <w:szCs w:val="20"/>
                <w:color w:val="auto"/>
              </w:rPr>
            </w:pPr>
            <w:r>
              <w:rPr>
                <w:rFonts w:ascii="Arial" w:cs="Arial" w:eastAsia="Arial" w:hAnsi="Arial"/>
                <w:sz w:val="18"/>
                <w:szCs w:val="18"/>
                <w:color w:val="auto"/>
              </w:rPr>
              <w:t>No Legal Bar</w:t>
            </w:r>
          </w:p>
        </w:tc>
        <w:tc>
          <w:tcPr>
            <w:tcW w:w="5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5.04</w:t>
            </w:r>
          </w:p>
        </w:tc>
        <w:tc>
          <w:tcPr>
            <w:tcW w:w="4700" w:type="dxa"/>
            <w:vAlign w:val="bottom"/>
          </w:tcPr>
          <w:p>
            <w:pPr>
              <w:ind w:left="220"/>
              <w:spacing w:after="0"/>
              <w:rPr>
                <w:sz w:val="20"/>
                <w:szCs w:val="20"/>
                <w:color w:val="auto"/>
              </w:rPr>
            </w:pPr>
            <w:r>
              <w:rPr>
                <w:rFonts w:ascii="Arial" w:cs="Arial" w:eastAsia="Arial" w:hAnsi="Arial"/>
                <w:sz w:val="18"/>
                <w:szCs w:val="18"/>
                <w:color w:val="auto"/>
              </w:rPr>
              <w:t>Financial Statements; No Material Adverse Effect</w:t>
            </w:r>
          </w:p>
        </w:tc>
        <w:tc>
          <w:tcPr>
            <w:tcW w:w="5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5.05</w:t>
            </w:r>
          </w:p>
        </w:tc>
        <w:tc>
          <w:tcPr>
            <w:tcW w:w="470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5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5.06</w:t>
            </w:r>
          </w:p>
        </w:tc>
        <w:tc>
          <w:tcPr>
            <w:tcW w:w="470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5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5.07</w:t>
            </w:r>
          </w:p>
        </w:tc>
        <w:tc>
          <w:tcPr>
            <w:tcW w:w="4700" w:type="dxa"/>
            <w:vAlign w:val="bottom"/>
          </w:tcPr>
          <w:p>
            <w:pPr>
              <w:ind w:left="220"/>
              <w:spacing w:after="0"/>
              <w:rPr>
                <w:sz w:val="20"/>
                <w:szCs w:val="20"/>
                <w:color w:val="auto"/>
              </w:rPr>
            </w:pPr>
            <w:r>
              <w:rPr>
                <w:rFonts w:ascii="Arial" w:cs="Arial" w:eastAsia="Arial" w:hAnsi="Arial"/>
                <w:sz w:val="18"/>
                <w:szCs w:val="18"/>
                <w:color w:val="auto"/>
              </w:rPr>
              <w:t>Anti-Corruption Laws and Sanctions</w:t>
            </w:r>
          </w:p>
        </w:tc>
        <w:tc>
          <w:tcPr>
            <w:tcW w:w="5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5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6.01</w:t>
            </w:r>
          </w:p>
        </w:tc>
        <w:tc>
          <w:tcPr>
            <w:tcW w:w="470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5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6.02</w:t>
            </w:r>
          </w:p>
        </w:tc>
        <w:tc>
          <w:tcPr>
            <w:tcW w:w="4700" w:type="dxa"/>
            <w:vAlign w:val="bottom"/>
          </w:tcPr>
          <w:p>
            <w:pPr>
              <w:ind w:left="220"/>
              <w:spacing w:after="0"/>
              <w:rPr>
                <w:sz w:val="20"/>
                <w:szCs w:val="20"/>
                <w:color w:val="auto"/>
              </w:rPr>
            </w:pPr>
            <w:r>
              <w:rPr>
                <w:rFonts w:ascii="Arial" w:cs="Arial" w:eastAsia="Arial" w:hAnsi="Arial"/>
                <w:sz w:val="18"/>
                <w:szCs w:val="18"/>
                <w:color w:val="auto"/>
              </w:rPr>
              <w:t>Certificates, Notices and Other Information</w:t>
            </w:r>
          </w:p>
        </w:tc>
        <w:tc>
          <w:tcPr>
            <w:tcW w:w="5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6.03</w:t>
            </w:r>
          </w:p>
        </w:tc>
        <w:tc>
          <w:tcPr>
            <w:tcW w:w="4700" w:type="dxa"/>
            <w:vAlign w:val="bottom"/>
          </w:tcPr>
          <w:p>
            <w:pPr>
              <w:ind w:left="220"/>
              <w:spacing w:after="0"/>
              <w:rPr>
                <w:sz w:val="20"/>
                <w:szCs w:val="20"/>
                <w:color w:val="auto"/>
              </w:rPr>
            </w:pPr>
            <w:r>
              <w:rPr>
                <w:rFonts w:ascii="Arial" w:cs="Arial" w:eastAsia="Arial" w:hAnsi="Arial"/>
                <w:sz w:val="18"/>
                <w:szCs w:val="18"/>
                <w:color w:val="auto"/>
              </w:rPr>
              <w:t>Payment of Taxes</w:t>
            </w:r>
          </w:p>
        </w:tc>
        <w:tc>
          <w:tcPr>
            <w:tcW w:w="5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6.04</w:t>
            </w:r>
          </w:p>
        </w:tc>
        <w:tc>
          <w:tcPr>
            <w:tcW w:w="4700" w:type="dxa"/>
            <w:vAlign w:val="bottom"/>
          </w:tcPr>
          <w:p>
            <w:pPr>
              <w:ind w:left="220"/>
              <w:spacing w:after="0"/>
              <w:rPr>
                <w:sz w:val="20"/>
                <w:szCs w:val="20"/>
                <w:color w:val="auto"/>
              </w:rPr>
            </w:pPr>
            <w:r>
              <w:rPr>
                <w:rFonts w:ascii="Arial" w:cs="Arial" w:eastAsia="Arial" w:hAnsi="Arial"/>
                <w:sz w:val="18"/>
                <w:szCs w:val="18"/>
                <w:color w:val="auto"/>
              </w:rPr>
              <w:t>Preservation of Existence</w:t>
            </w:r>
          </w:p>
        </w:tc>
        <w:tc>
          <w:tcPr>
            <w:tcW w:w="5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6.05</w:t>
            </w:r>
          </w:p>
        </w:tc>
        <w:tc>
          <w:tcPr>
            <w:tcW w:w="470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5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6.06</w:t>
            </w:r>
          </w:p>
        </w:tc>
        <w:tc>
          <w:tcPr>
            <w:tcW w:w="4700" w:type="dxa"/>
            <w:vAlign w:val="bottom"/>
          </w:tcPr>
          <w:p>
            <w:pPr>
              <w:ind w:left="220"/>
              <w:spacing w:after="0"/>
              <w:rPr>
                <w:sz w:val="20"/>
                <w:szCs w:val="20"/>
                <w:color w:val="auto"/>
              </w:rPr>
            </w:pPr>
            <w:r>
              <w:rPr>
                <w:rFonts w:ascii="Arial" w:cs="Arial" w:eastAsia="Arial" w:hAnsi="Arial"/>
                <w:sz w:val="18"/>
                <w:szCs w:val="18"/>
                <w:color w:val="auto"/>
              </w:rPr>
              <w:t>Inspection Rights</w:t>
            </w:r>
          </w:p>
        </w:tc>
        <w:tc>
          <w:tcPr>
            <w:tcW w:w="5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6.07</w:t>
            </w:r>
          </w:p>
        </w:tc>
        <w:tc>
          <w:tcPr>
            <w:tcW w:w="4700" w:type="dxa"/>
            <w:vAlign w:val="bottom"/>
          </w:tcPr>
          <w:p>
            <w:pPr>
              <w:ind w:left="220"/>
              <w:spacing w:after="0"/>
              <w:rPr>
                <w:sz w:val="20"/>
                <w:szCs w:val="20"/>
                <w:color w:val="auto"/>
              </w:rPr>
            </w:pPr>
            <w:r>
              <w:rPr>
                <w:rFonts w:ascii="Arial" w:cs="Arial" w:eastAsia="Arial" w:hAnsi="Arial"/>
                <w:sz w:val="18"/>
                <w:szCs w:val="18"/>
                <w:color w:val="auto"/>
              </w:rPr>
              <w:t>Keeping of Records and Books of Account</w:t>
            </w:r>
          </w:p>
        </w:tc>
        <w:tc>
          <w:tcPr>
            <w:tcW w:w="5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6.08</w:t>
            </w:r>
          </w:p>
        </w:tc>
        <w:tc>
          <w:tcPr>
            <w:tcW w:w="4700" w:type="dxa"/>
            <w:vAlign w:val="bottom"/>
          </w:tcPr>
          <w:p>
            <w:pPr>
              <w:ind w:left="220"/>
              <w:spacing w:after="0"/>
              <w:rPr>
                <w:sz w:val="20"/>
                <w:szCs w:val="20"/>
                <w:color w:val="auto"/>
              </w:rPr>
            </w:pPr>
            <w:r>
              <w:rPr>
                <w:rFonts w:ascii="Arial" w:cs="Arial" w:eastAsia="Arial" w:hAnsi="Arial"/>
                <w:sz w:val="18"/>
                <w:szCs w:val="18"/>
                <w:color w:val="auto"/>
              </w:rPr>
              <w:t>Designation of Unrestricted Subsidiaries</w:t>
            </w:r>
          </w:p>
        </w:tc>
        <w:tc>
          <w:tcPr>
            <w:tcW w:w="5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6.09</w:t>
            </w:r>
          </w:p>
        </w:tc>
        <w:tc>
          <w:tcPr>
            <w:tcW w:w="4700" w:type="dxa"/>
            <w:vAlign w:val="bottom"/>
          </w:tcPr>
          <w:p>
            <w:pPr>
              <w:ind w:left="220"/>
              <w:spacing w:after="0"/>
              <w:rPr>
                <w:sz w:val="20"/>
                <w:szCs w:val="20"/>
                <w:color w:val="auto"/>
              </w:rPr>
            </w:pPr>
            <w:r>
              <w:rPr>
                <w:rFonts w:ascii="Arial" w:cs="Arial" w:eastAsia="Arial" w:hAnsi="Arial"/>
                <w:sz w:val="18"/>
                <w:szCs w:val="18"/>
                <w:color w:val="auto"/>
              </w:rPr>
              <w:t>Anti-Corruption Laws and Sanctions</w:t>
            </w:r>
          </w:p>
        </w:tc>
        <w:tc>
          <w:tcPr>
            <w:tcW w:w="5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6.10</w:t>
            </w:r>
          </w:p>
        </w:tc>
        <w:tc>
          <w:tcPr>
            <w:tcW w:w="4700" w:type="dxa"/>
            <w:vAlign w:val="bottom"/>
          </w:tcPr>
          <w:p>
            <w:pPr>
              <w:ind w:left="220"/>
              <w:spacing w:after="0"/>
              <w:rPr>
                <w:sz w:val="20"/>
                <w:szCs w:val="20"/>
                <w:color w:val="auto"/>
              </w:rPr>
            </w:pPr>
            <w:r>
              <w:rPr>
                <w:rFonts w:ascii="Arial" w:cs="Arial" w:eastAsia="Arial" w:hAnsi="Arial"/>
                <w:sz w:val="18"/>
                <w:szCs w:val="18"/>
                <w:color w:val="auto"/>
              </w:rPr>
              <w:t>Guarantors</w:t>
            </w:r>
          </w:p>
        </w:tc>
        <w:tc>
          <w:tcPr>
            <w:tcW w:w="5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5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7.01</w:t>
            </w:r>
          </w:p>
        </w:tc>
        <w:tc>
          <w:tcPr>
            <w:tcW w:w="4700" w:type="dxa"/>
            <w:vAlign w:val="bottom"/>
          </w:tcPr>
          <w:p>
            <w:pPr>
              <w:ind w:left="220"/>
              <w:spacing w:after="0"/>
              <w:rPr>
                <w:sz w:val="20"/>
                <w:szCs w:val="20"/>
                <w:color w:val="auto"/>
              </w:rPr>
            </w:pPr>
            <w:r>
              <w:rPr>
                <w:rFonts w:ascii="Arial" w:cs="Arial" w:eastAsia="Arial" w:hAnsi="Arial"/>
                <w:sz w:val="18"/>
                <w:szCs w:val="18"/>
                <w:color w:val="auto"/>
              </w:rPr>
              <w:t>Liens</w:t>
            </w:r>
          </w:p>
        </w:tc>
        <w:tc>
          <w:tcPr>
            <w:tcW w:w="5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7.02</w:t>
            </w:r>
          </w:p>
        </w:tc>
        <w:tc>
          <w:tcPr>
            <w:tcW w:w="4700" w:type="dxa"/>
            <w:vAlign w:val="bottom"/>
          </w:tcPr>
          <w:p>
            <w:pPr>
              <w:ind w:left="220"/>
              <w:spacing w:after="0"/>
              <w:rPr>
                <w:sz w:val="20"/>
                <w:szCs w:val="20"/>
                <w:color w:val="auto"/>
              </w:rPr>
            </w:pPr>
            <w:r>
              <w:rPr>
                <w:rFonts w:ascii="Arial" w:cs="Arial" w:eastAsia="Arial" w:hAnsi="Arial"/>
                <w:sz w:val="18"/>
                <w:szCs w:val="18"/>
                <w:color w:val="auto"/>
              </w:rPr>
              <w:t>Non-Guarantor Subsidiary Indebtedness</w:t>
            </w:r>
          </w:p>
        </w:tc>
        <w:tc>
          <w:tcPr>
            <w:tcW w:w="5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7.03</w:t>
            </w:r>
          </w:p>
        </w:tc>
        <w:tc>
          <w:tcPr>
            <w:tcW w:w="4700" w:type="dxa"/>
            <w:vAlign w:val="bottom"/>
          </w:tcPr>
          <w:p>
            <w:pPr>
              <w:ind w:left="220"/>
              <w:spacing w:after="0"/>
              <w:rPr>
                <w:sz w:val="20"/>
                <w:szCs w:val="20"/>
                <w:color w:val="auto"/>
              </w:rPr>
            </w:pPr>
            <w:r>
              <w:rPr>
                <w:rFonts w:ascii="Arial" w:cs="Arial" w:eastAsia="Arial" w:hAnsi="Arial"/>
                <w:sz w:val="18"/>
                <w:szCs w:val="18"/>
                <w:color w:val="auto"/>
              </w:rPr>
              <w:t>Fundamental Changes</w:t>
            </w:r>
          </w:p>
        </w:tc>
        <w:tc>
          <w:tcPr>
            <w:tcW w:w="5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7.04</w:t>
            </w:r>
          </w:p>
        </w:tc>
        <w:tc>
          <w:tcPr>
            <w:tcW w:w="4700" w:type="dxa"/>
            <w:vAlign w:val="bottom"/>
          </w:tcPr>
          <w:p>
            <w:pPr>
              <w:ind w:left="220"/>
              <w:spacing w:after="0"/>
              <w:rPr>
                <w:sz w:val="20"/>
                <w:szCs w:val="20"/>
                <w:color w:val="auto"/>
              </w:rPr>
            </w:pPr>
            <w:r>
              <w:rPr>
                <w:rFonts w:ascii="Arial" w:cs="Arial" w:eastAsia="Arial" w:hAnsi="Arial"/>
                <w:sz w:val="18"/>
                <w:szCs w:val="18"/>
                <w:color w:val="auto"/>
              </w:rPr>
              <w:t>ERISA</w:t>
            </w:r>
          </w:p>
        </w:tc>
        <w:tc>
          <w:tcPr>
            <w:tcW w:w="5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7.05</w:t>
            </w:r>
          </w:p>
        </w:tc>
        <w:tc>
          <w:tcPr>
            <w:tcW w:w="4700" w:type="dxa"/>
            <w:vAlign w:val="bottom"/>
          </w:tcPr>
          <w:p>
            <w:pPr>
              <w:ind w:left="220"/>
              <w:spacing w:after="0"/>
              <w:rPr>
                <w:sz w:val="20"/>
                <w:szCs w:val="20"/>
                <w:color w:val="auto"/>
              </w:rPr>
            </w:pPr>
            <w:r>
              <w:rPr>
                <w:rFonts w:ascii="Arial" w:cs="Arial" w:eastAsia="Arial" w:hAnsi="Arial"/>
                <w:sz w:val="18"/>
                <w:szCs w:val="18"/>
                <w:color w:val="auto"/>
              </w:rPr>
              <w:t>Anti-Corruption Laws and Sanctions</w:t>
            </w:r>
          </w:p>
        </w:tc>
        <w:tc>
          <w:tcPr>
            <w:tcW w:w="5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7.06</w:t>
            </w:r>
          </w:p>
        </w:tc>
        <w:tc>
          <w:tcPr>
            <w:tcW w:w="4700" w:type="dxa"/>
            <w:vAlign w:val="bottom"/>
          </w:tcPr>
          <w:p>
            <w:pPr>
              <w:ind w:left="220"/>
              <w:spacing w:after="0"/>
              <w:rPr>
                <w:sz w:val="20"/>
                <w:szCs w:val="20"/>
                <w:color w:val="auto"/>
              </w:rPr>
            </w:pPr>
            <w:r>
              <w:rPr>
                <w:rFonts w:ascii="Arial" w:cs="Arial" w:eastAsia="Arial" w:hAnsi="Arial"/>
                <w:sz w:val="18"/>
                <w:szCs w:val="18"/>
                <w:color w:val="auto"/>
              </w:rPr>
              <w:t>Financial Covenant</w:t>
            </w:r>
          </w:p>
        </w:tc>
        <w:tc>
          <w:tcPr>
            <w:tcW w:w="5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5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8.01</w:t>
            </w:r>
          </w:p>
        </w:tc>
        <w:tc>
          <w:tcPr>
            <w:tcW w:w="470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5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8.02</w:t>
            </w:r>
          </w:p>
        </w:tc>
        <w:tc>
          <w:tcPr>
            <w:tcW w:w="4700" w:type="dxa"/>
            <w:vAlign w:val="bottom"/>
          </w:tcPr>
          <w:p>
            <w:pPr>
              <w:ind w:left="220"/>
              <w:spacing w:after="0"/>
              <w:rPr>
                <w:sz w:val="20"/>
                <w:szCs w:val="20"/>
                <w:color w:val="auto"/>
              </w:rPr>
            </w:pPr>
            <w:r>
              <w:rPr>
                <w:rFonts w:ascii="Arial" w:cs="Arial" w:eastAsia="Arial" w:hAnsi="Arial"/>
                <w:sz w:val="18"/>
                <w:szCs w:val="18"/>
                <w:color w:val="auto"/>
              </w:rPr>
              <w:t>Remedies Upon Event of Default</w:t>
            </w:r>
          </w:p>
        </w:tc>
        <w:tc>
          <w:tcPr>
            <w:tcW w:w="5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560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5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9.01</w:t>
            </w:r>
          </w:p>
        </w:tc>
        <w:tc>
          <w:tcPr>
            <w:tcW w:w="4700" w:type="dxa"/>
            <w:vAlign w:val="bottom"/>
          </w:tcPr>
          <w:p>
            <w:pPr>
              <w:ind w:left="220"/>
              <w:spacing w:after="0"/>
              <w:rPr>
                <w:sz w:val="20"/>
                <w:szCs w:val="20"/>
                <w:color w:val="auto"/>
              </w:rPr>
            </w:pPr>
            <w:r>
              <w:rPr>
                <w:rFonts w:ascii="Arial" w:cs="Arial" w:eastAsia="Arial" w:hAnsi="Arial"/>
                <w:sz w:val="18"/>
                <w:szCs w:val="18"/>
                <w:color w:val="auto"/>
              </w:rPr>
              <w:t>Appointment</w:t>
            </w:r>
          </w:p>
        </w:tc>
        <w:tc>
          <w:tcPr>
            <w:tcW w:w="5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9.02</w:t>
            </w:r>
          </w:p>
        </w:tc>
        <w:tc>
          <w:tcPr>
            <w:tcW w:w="4700" w:type="dxa"/>
            <w:vAlign w:val="bottom"/>
          </w:tcPr>
          <w:p>
            <w:pPr>
              <w:ind w:left="220"/>
              <w:spacing w:after="0"/>
              <w:rPr>
                <w:sz w:val="20"/>
                <w:szCs w:val="20"/>
                <w:color w:val="auto"/>
              </w:rPr>
            </w:pPr>
            <w:r>
              <w:rPr>
                <w:rFonts w:ascii="Arial" w:cs="Arial" w:eastAsia="Arial" w:hAnsi="Arial"/>
                <w:sz w:val="18"/>
                <w:szCs w:val="18"/>
                <w:color w:val="auto"/>
              </w:rPr>
              <w:t>Delegation of Duties</w:t>
            </w:r>
          </w:p>
        </w:tc>
        <w:tc>
          <w:tcPr>
            <w:tcW w:w="5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9.03</w:t>
            </w:r>
          </w:p>
        </w:tc>
        <w:tc>
          <w:tcPr>
            <w:tcW w:w="4700" w:type="dxa"/>
            <w:vAlign w:val="bottom"/>
          </w:tcPr>
          <w:p>
            <w:pPr>
              <w:ind w:left="220"/>
              <w:spacing w:after="0"/>
              <w:rPr>
                <w:sz w:val="20"/>
                <w:szCs w:val="20"/>
                <w:color w:val="auto"/>
              </w:rPr>
            </w:pPr>
            <w:r>
              <w:rPr>
                <w:rFonts w:ascii="Arial" w:cs="Arial" w:eastAsia="Arial" w:hAnsi="Arial"/>
                <w:sz w:val="18"/>
                <w:szCs w:val="18"/>
                <w:color w:val="auto"/>
              </w:rPr>
              <w:t>Exculpatory Provisions</w:t>
            </w:r>
          </w:p>
        </w:tc>
        <w:tc>
          <w:tcPr>
            <w:tcW w:w="5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9.04</w:t>
            </w:r>
          </w:p>
        </w:tc>
        <w:tc>
          <w:tcPr>
            <w:tcW w:w="4700" w:type="dxa"/>
            <w:vAlign w:val="bottom"/>
          </w:tcPr>
          <w:p>
            <w:pPr>
              <w:ind w:left="220"/>
              <w:spacing w:after="0"/>
              <w:rPr>
                <w:sz w:val="20"/>
                <w:szCs w:val="20"/>
                <w:color w:val="auto"/>
              </w:rPr>
            </w:pPr>
            <w:r>
              <w:rPr>
                <w:rFonts w:ascii="Arial" w:cs="Arial" w:eastAsia="Arial" w:hAnsi="Arial"/>
                <w:sz w:val="18"/>
                <w:szCs w:val="18"/>
                <w:color w:val="auto"/>
              </w:rPr>
              <w:t>Reliance by Administrative Agent</w:t>
            </w:r>
          </w:p>
        </w:tc>
        <w:tc>
          <w:tcPr>
            <w:tcW w:w="5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00" w:type="dxa"/>
            <w:vAlign w:val="bottom"/>
          </w:tcPr>
          <w:p>
            <w:pPr>
              <w:jc w:val="right"/>
              <w:ind w:right="130"/>
              <w:spacing w:after="0"/>
              <w:rPr>
                <w:sz w:val="20"/>
                <w:szCs w:val="20"/>
                <w:color w:val="auto"/>
              </w:rPr>
            </w:pPr>
            <w:r>
              <w:rPr>
                <w:rFonts w:ascii="Arial" w:cs="Arial" w:eastAsia="Arial" w:hAnsi="Arial"/>
                <w:sz w:val="18"/>
                <w:szCs w:val="18"/>
                <w:color w:val="auto"/>
              </w:rPr>
              <w:t>9.05</w:t>
            </w:r>
          </w:p>
        </w:tc>
        <w:tc>
          <w:tcPr>
            <w:tcW w:w="4700" w:type="dxa"/>
            <w:vAlign w:val="bottom"/>
          </w:tcPr>
          <w:p>
            <w:pPr>
              <w:ind w:left="220"/>
              <w:spacing w:after="0"/>
              <w:rPr>
                <w:sz w:val="20"/>
                <w:szCs w:val="20"/>
                <w:color w:val="auto"/>
              </w:rPr>
            </w:pPr>
            <w:r>
              <w:rPr>
                <w:rFonts w:ascii="Arial" w:cs="Arial" w:eastAsia="Arial" w:hAnsi="Arial"/>
                <w:sz w:val="18"/>
                <w:szCs w:val="18"/>
                <w:color w:val="auto"/>
              </w:rPr>
              <w:t>Notice of Default</w:t>
            </w:r>
          </w:p>
        </w:tc>
        <w:tc>
          <w:tcPr>
            <w:tcW w:w="5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65"/>
        </w:trPr>
        <w:tc>
          <w:tcPr>
            <w:tcW w:w="9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720" w:type="dxa"/>
            <w:vAlign w:val="bottom"/>
          </w:tcPr>
          <w:p>
            <w:pPr>
              <w:jc w:val="right"/>
              <w:ind w:right="5470"/>
              <w:spacing w:after="0"/>
              <w:rPr>
                <w:sz w:val="20"/>
                <w:szCs w:val="20"/>
                <w:color w:val="auto"/>
              </w:rPr>
            </w:pPr>
            <w:r>
              <w:rPr>
                <w:rFonts w:ascii="Arial" w:cs="Arial" w:eastAsia="Arial" w:hAnsi="Arial"/>
                <w:sz w:val="18"/>
                <w:szCs w:val="18"/>
                <w:color w:val="auto"/>
              </w:rPr>
              <w:t>ii</w:t>
            </w:r>
          </w:p>
        </w:tc>
      </w:tr>
    </w:tbl>
    <w:p>
      <w:pPr>
        <w:jc w:val="right"/>
        <w:ind w:right="5470"/>
        <w:spacing w:after="0"/>
        <w:rPr>
          <w:sz w:val="20"/>
          <w:szCs w:val="20"/>
          <w:color w:val="auto"/>
        </w:rPr>
        <w:sectPr>
          <w:pgSz w:w="11900" w:h="16838" w:orient="portrait"/>
          <w:cols w:equalWidth="0" w:num="1">
            <w:col w:w="11320"/>
          </w:cols>
          <w:pgMar w:left="240" w:top="26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9.06</w:t>
            </w:r>
          </w:p>
        </w:tc>
        <w:tc>
          <w:tcPr>
            <w:tcW w:w="7720" w:type="dxa"/>
            <w:vAlign w:val="bottom"/>
          </w:tcPr>
          <w:p>
            <w:pPr>
              <w:ind w:left="160"/>
              <w:spacing w:after="0"/>
              <w:rPr>
                <w:sz w:val="20"/>
                <w:szCs w:val="20"/>
                <w:color w:val="auto"/>
              </w:rPr>
            </w:pPr>
            <w:r>
              <w:rPr>
                <w:rFonts w:ascii="Arial" w:cs="Arial" w:eastAsia="Arial" w:hAnsi="Arial"/>
                <w:sz w:val="18"/>
                <w:szCs w:val="18"/>
                <w:color w:val="auto"/>
              </w:rPr>
              <w:t>Non-Reliance on Agents and Other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9.07</w:t>
            </w:r>
          </w:p>
        </w:tc>
        <w:tc>
          <w:tcPr>
            <w:tcW w:w="772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9.08</w:t>
            </w:r>
          </w:p>
        </w:tc>
        <w:tc>
          <w:tcPr>
            <w:tcW w:w="772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9.09</w:t>
            </w:r>
          </w:p>
        </w:tc>
        <w:tc>
          <w:tcPr>
            <w:tcW w:w="7720" w:type="dxa"/>
            <w:vAlign w:val="bottom"/>
          </w:tcPr>
          <w:p>
            <w:pPr>
              <w:ind w:left="160"/>
              <w:spacing w:after="0"/>
              <w:rPr>
                <w:sz w:val="20"/>
                <w:szCs w:val="20"/>
                <w:color w:val="auto"/>
              </w:rPr>
            </w:pPr>
            <w:r>
              <w:rPr>
                <w:rFonts w:ascii="Arial" w:cs="Arial" w:eastAsia="Arial" w:hAnsi="Arial"/>
                <w:sz w:val="18"/>
                <w:szCs w:val="18"/>
                <w:color w:val="auto"/>
              </w:rPr>
              <w:t>Successor Administrative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9.10</w:t>
            </w:r>
          </w:p>
        </w:tc>
        <w:tc>
          <w:tcPr>
            <w:tcW w:w="7720" w:type="dxa"/>
            <w:vAlign w:val="bottom"/>
          </w:tcPr>
          <w:p>
            <w:pPr>
              <w:ind w:left="160"/>
              <w:spacing w:after="0"/>
              <w:rPr>
                <w:sz w:val="20"/>
                <w:szCs w:val="20"/>
                <w:color w:val="auto"/>
              </w:rPr>
            </w:pPr>
            <w:r>
              <w:rPr>
                <w:rFonts w:ascii="Arial" w:cs="Arial" w:eastAsia="Arial" w:hAnsi="Arial"/>
                <w:sz w:val="18"/>
                <w:szCs w:val="18"/>
                <w:color w:val="auto"/>
              </w:rPr>
              <w:t>Co-Documentation Agents and Syndication Agent</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68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10.01</w:t>
            </w:r>
          </w:p>
        </w:tc>
        <w:tc>
          <w:tcPr>
            <w:tcW w:w="7720" w:type="dxa"/>
            <w:vAlign w:val="bottom"/>
          </w:tcPr>
          <w:p>
            <w:pPr>
              <w:ind w:left="160"/>
              <w:spacing w:after="0"/>
              <w:rPr>
                <w:sz w:val="20"/>
                <w:szCs w:val="20"/>
                <w:color w:val="auto"/>
              </w:rPr>
            </w:pPr>
            <w:r>
              <w:rPr>
                <w:rFonts w:ascii="Arial" w:cs="Arial" w:eastAsia="Arial" w:hAnsi="Arial"/>
                <w:sz w:val="18"/>
                <w:szCs w:val="18"/>
                <w:color w:val="auto"/>
              </w:rPr>
              <w:t>Amendments; Consents</w:t>
            </w:r>
          </w:p>
        </w:tc>
        <w:tc>
          <w:tcPr>
            <w:tcW w:w="2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10.02</w:t>
            </w:r>
          </w:p>
        </w:tc>
        <w:tc>
          <w:tcPr>
            <w:tcW w:w="7720" w:type="dxa"/>
            <w:vAlign w:val="bottom"/>
          </w:tcPr>
          <w:p>
            <w:pPr>
              <w:ind w:left="160"/>
              <w:spacing w:after="0"/>
              <w:rPr>
                <w:sz w:val="20"/>
                <w:szCs w:val="20"/>
                <w:color w:val="auto"/>
              </w:rPr>
            </w:pPr>
            <w:r>
              <w:rPr>
                <w:rFonts w:ascii="Arial" w:cs="Arial" w:eastAsia="Arial" w:hAnsi="Arial"/>
                <w:sz w:val="18"/>
                <w:szCs w:val="18"/>
                <w:color w:val="auto"/>
              </w:rPr>
              <w:t>Requisite Notice; Electronic Communications</w:t>
            </w:r>
          </w:p>
        </w:tc>
        <w:tc>
          <w:tcPr>
            <w:tcW w:w="2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10.03</w:t>
            </w:r>
          </w:p>
        </w:tc>
        <w:tc>
          <w:tcPr>
            <w:tcW w:w="7720" w:type="dxa"/>
            <w:vAlign w:val="bottom"/>
          </w:tcPr>
          <w:p>
            <w:pPr>
              <w:ind w:left="160"/>
              <w:spacing w:after="0"/>
              <w:rPr>
                <w:sz w:val="20"/>
                <w:szCs w:val="20"/>
                <w:color w:val="auto"/>
              </w:rPr>
            </w:pPr>
            <w:r>
              <w:rPr>
                <w:rFonts w:ascii="Arial" w:cs="Arial" w:eastAsia="Arial" w:hAnsi="Arial"/>
                <w:sz w:val="18"/>
                <w:szCs w:val="18"/>
                <w:color w:val="auto"/>
              </w:rPr>
              <w:t>Attorney Costs and Expenses</w:t>
            </w:r>
          </w:p>
        </w:tc>
        <w:tc>
          <w:tcPr>
            <w:tcW w:w="2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10.04</w:t>
            </w:r>
          </w:p>
        </w:tc>
        <w:tc>
          <w:tcPr>
            <w:tcW w:w="7720" w:type="dxa"/>
            <w:vAlign w:val="bottom"/>
          </w:tcPr>
          <w:p>
            <w:pPr>
              <w:ind w:left="160"/>
              <w:spacing w:after="0"/>
              <w:rPr>
                <w:sz w:val="20"/>
                <w:szCs w:val="20"/>
                <w:color w:val="auto"/>
              </w:rPr>
            </w:pPr>
            <w:r>
              <w:rPr>
                <w:rFonts w:ascii="Arial" w:cs="Arial" w:eastAsia="Arial" w:hAnsi="Arial"/>
                <w:sz w:val="18"/>
                <w:szCs w:val="18"/>
                <w:color w:val="auto"/>
              </w:rPr>
              <w:t>Binding Effect; Assignment</w:t>
            </w:r>
          </w:p>
        </w:tc>
        <w:tc>
          <w:tcPr>
            <w:tcW w:w="2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10.05</w:t>
            </w:r>
          </w:p>
        </w:tc>
        <w:tc>
          <w:tcPr>
            <w:tcW w:w="7720" w:type="dxa"/>
            <w:vAlign w:val="bottom"/>
          </w:tcPr>
          <w:p>
            <w:pPr>
              <w:ind w:left="160"/>
              <w:spacing w:after="0"/>
              <w:rPr>
                <w:sz w:val="20"/>
                <w:szCs w:val="20"/>
                <w:color w:val="auto"/>
              </w:rPr>
            </w:pPr>
            <w:r>
              <w:rPr>
                <w:rFonts w:ascii="Arial" w:cs="Arial" w:eastAsia="Arial" w:hAnsi="Arial"/>
                <w:sz w:val="18"/>
                <w:szCs w:val="18"/>
                <w:color w:val="auto"/>
              </w:rPr>
              <w:t>Set-off</w:t>
            </w:r>
          </w:p>
        </w:tc>
        <w:tc>
          <w:tcPr>
            <w:tcW w:w="2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10.06</w:t>
            </w:r>
          </w:p>
        </w:tc>
        <w:tc>
          <w:tcPr>
            <w:tcW w:w="7720" w:type="dxa"/>
            <w:vAlign w:val="bottom"/>
          </w:tcPr>
          <w:p>
            <w:pPr>
              <w:ind w:left="160"/>
              <w:spacing w:after="0"/>
              <w:rPr>
                <w:sz w:val="20"/>
                <w:szCs w:val="20"/>
                <w:color w:val="auto"/>
              </w:rPr>
            </w:pPr>
            <w:r>
              <w:rPr>
                <w:rFonts w:ascii="Arial" w:cs="Arial" w:eastAsia="Arial" w:hAnsi="Arial"/>
                <w:sz w:val="18"/>
                <w:szCs w:val="18"/>
                <w:color w:val="auto"/>
              </w:rPr>
              <w:t>Sharing of Payments</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10.07</w:t>
            </w:r>
          </w:p>
        </w:tc>
        <w:tc>
          <w:tcPr>
            <w:tcW w:w="7720" w:type="dxa"/>
            <w:vAlign w:val="bottom"/>
          </w:tcPr>
          <w:p>
            <w:pPr>
              <w:ind w:left="160"/>
              <w:spacing w:after="0"/>
              <w:rPr>
                <w:sz w:val="20"/>
                <w:szCs w:val="20"/>
                <w:color w:val="auto"/>
              </w:rPr>
            </w:pPr>
            <w:r>
              <w:rPr>
                <w:rFonts w:ascii="Arial" w:cs="Arial" w:eastAsia="Arial" w:hAnsi="Arial"/>
                <w:sz w:val="18"/>
                <w:szCs w:val="18"/>
                <w:color w:val="auto"/>
              </w:rPr>
              <w:t>No Waiver; Cumulative Remedies</w:t>
            </w:r>
          </w:p>
        </w:tc>
        <w:tc>
          <w:tcPr>
            <w:tcW w:w="2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10.08</w:t>
            </w:r>
          </w:p>
        </w:tc>
        <w:tc>
          <w:tcPr>
            <w:tcW w:w="7720" w:type="dxa"/>
            <w:vAlign w:val="bottom"/>
          </w:tcPr>
          <w:p>
            <w:pPr>
              <w:ind w:left="160"/>
              <w:spacing w:after="0"/>
              <w:rPr>
                <w:sz w:val="20"/>
                <w:szCs w:val="20"/>
                <w:color w:val="auto"/>
              </w:rPr>
            </w:pPr>
            <w:r>
              <w:rPr>
                <w:rFonts w:ascii="Arial" w:cs="Arial" w:eastAsia="Arial" w:hAnsi="Arial"/>
                <w:sz w:val="18"/>
                <w:szCs w:val="18"/>
                <w:color w:val="auto"/>
              </w:rPr>
              <w:t>Usury</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10.09</w:t>
            </w:r>
          </w:p>
        </w:tc>
        <w:tc>
          <w:tcPr>
            <w:tcW w:w="77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10.10</w:t>
            </w:r>
          </w:p>
        </w:tc>
        <w:tc>
          <w:tcPr>
            <w:tcW w:w="7720" w:type="dxa"/>
            <w:vAlign w:val="bottom"/>
          </w:tcPr>
          <w:p>
            <w:pPr>
              <w:ind w:left="160"/>
              <w:spacing w:after="0"/>
              <w:rPr>
                <w:sz w:val="20"/>
                <w:szCs w:val="20"/>
                <w:color w:val="auto"/>
              </w:rPr>
            </w:pPr>
            <w:r>
              <w:rPr>
                <w:rFonts w:ascii="Arial" w:cs="Arial" w:eastAsia="Arial" w:hAnsi="Arial"/>
                <w:sz w:val="18"/>
                <w:szCs w:val="18"/>
                <w:color w:val="auto"/>
              </w:rPr>
              <w:t>Integration</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10.11</w:t>
            </w:r>
          </w:p>
        </w:tc>
        <w:tc>
          <w:tcPr>
            <w:tcW w:w="7720" w:type="dxa"/>
            <w:vAlign w:val="bottom"/>
          </w:tcPr>
          <w:p>
            <w:pPr>
              <w:ind w:left="160"/>
              <w:spacing w:after="0"/>
              <w:rPr>
                <w:sz w:val="20"/>
                <w:szCs w:val="20"/>
                <w:color w:val="auto"/>
              </w:rPr>
            </w:pPr>
            <w:r>
              <w:rPr>
                <w:rFonts w:ascii="Arial" w:cs="Arial" w:eastAsia="Arial" w:hAnsi="Arial"/>
                <w:sz w:val="18"/>
                <w:szCs w:val="18"/>
                <w:color w:val="auto"/>
              </w:rPr>
              <w:t>Nature of Lenders’ Obligations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10.12</w:t>
            </w:r>
          </w:p>
        </w:tc>
        <w:tc>
          <w:tcPr>
            <w:tcW w:w="7720" w:type="dxa"/>
            <w:vAlign w:val="bottom"/>
          </w:tcPr>
          <w:p>
            <w:pPr>
              <w:ind w:left="160"/>
              <w:spacing w:after="0"/>
              <w:rPr>
                <w:sz w:val="20"/>
                <w:szCs w:val="20"/>
                <w:color w:val="auto"/>
              </w:rPr>
            </w:pPr>
            <w:r>
              <w:rPr>
                <w:rFonts w:ascii="Arial" w:cs="Arial" w:eastAsia="Arial" w:hAnsi="Arial"/>
                <w:sz w:val="18"/>
                <w:szCs w:val="18"/>
                <w:color w:val="auto"/>
              </w:rPr>
              <w:t>Survival of Representations and Warranties</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10.13</w:t>
            </w:r>
          </w:p>
        </w:tc>
        <w:tc>
          <w:tcPr>
            <w:tcW w:w="7720" w:type="dxa"/>
            <w:vAlign w:val="bottom"/>
          </w:tcPr>
          <w:p>
            <w:pPr>
              <w:ind w:left="160"/>
              <w:spacing w:after="0"/>
              <w:rPr>
                <w:sz w:val="20"/>
                <w:szCs w:val="20"/>
                <w:color w:val="auto"/>
              </w:rPr>
            </w:pPr>
            <w:r>
              <w:rPr>
                <w:rFonts w:ascii="Arial" w:cs="Arial" w:eastAsia="Arial" w:hAnsi="Arial"/>
                <w:sz w:val="18"/>
                <w:szCs w:val="18"/>
                <w:color w:val="auto"/>
              </w:rPr>
              <w:t>Indemnity by Borrower</w:t>
            </w:r>
          </w:p>
        </w:tc>
        <w:tc>
          <w:tcPr>
            <w:tcW w:w="2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10.14</w:t>
            </w:r>
          </w:p>
        </w:tc>
        <w:tc>
          <w:tcPr>
            <w:tcW w:w="7720" w:type="dxa"/>
            <w:vAlign w:val="bottom"/>
          </w:tcPr>
          <w:p>
            <w:pPr>
              <w:ind w:left="160"/>
              <w:spacing w:after="0"/>
              <w:rPr>
                <w:sz w:val="20"/>
                <w:szCs w:val="20"/>
                <w:color w:val="auto"/>
              </w:rPr>
            </w:pPr>
            <w:r>
              <w:rPr>
                <w:rFonts w:ascii="Arial" w:cs="Arial" w:eastAsia="Arial" w:hAnsi="Arial"/>
                <w:sz w:val="18"/>
                <w:szCs w:val="18"/>
                <w:color w:val="auto"/>
              </w:rPr>
              <w:t>Nonliability of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10.15</w:t>
            </w:r>
          </w:p>
        </w:tc>
        <w:tc>
          <w:tcPr>
            <w:tcW w:w="7720" w:type="dxa"/>
            <w:vAlign w:val="bottom"/>
          </w:tcPr>
          <w:p>
            <w:pPr>
              <w:ind w:left="160"/>
              <w:spacing w:after="0"/>
              <w:rPr>
                <w:sz w:val="20"/>
                <w:szCs w:val="20"/>
                <w:color w:val="auto"/>
              </w:rPr>
            </w:pPr>
            <w:r>
              <w:rPr>
                <w:rFonts w:ascii="Arial" w:cs="Arial" w:eastAsia="Arial" w:hAnsi="Arial"/>
                <w:sz w:val="18"/>
                <w:szCs w:val="18"/>
                <w:color w:val="auto"/>
              </w:rPr>
              <w:t>No Third Parties Benefitted</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10.16</w:t>
            </w:r>
          </w:p>
        </w:tc>
        <w:tc>
          <w:tcPr>
            <w:tcW w:w="77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10.17</w:t>
            </w:r>
          </w:p>
        </w:tc>
        <w:tc>
          <w:tcPr>
            <w:tcW w:w="77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10.18</w:t>
            </w:r>
          </w:p>
        </w:tc>
        <w:tc>
          <w:tcPr>
            <w:tcW w:w="772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6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10.19</w:t>
            </w:r>
          </w:p>
        </w:tc>
        <w:tc>
          <w:tcPr>
            <w:tcW w:w="7720" w:type="dxa"/>
            <w:vAlign w:val="bottom"/>
          </w:tcPr>
          <w:p>
            <w:pPr>
              <w:ind w:left="160"/>
              <w:spacing w:after="0"/>
              <w:rPr>
                <w:sz w:val="20"/>
                <w:szCs w:val="20"/>
                <w:color w:val="auto"/>
              </w:rPr>
            </w:pPr>
            <w:r>
              <w:rPr>
                <w:rFonts w:ascii="Arial" w:cs="Arial" w:eastAsia="Arial" w:hAnsi="Arial"/>
                <w:sz w:val="18"/>
                <w:szCs w:val="18"/>
                <w:color w:val="auto"/>
              </w:rPr>
              <w:t>Time of the Essence</w:t>
            </w:r>
          </w:p>
        </w:tc>
        <w:tc>
          <w:tcPr>
            <w:tcW w:w="26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10.20</w:t>
            </w:r>
          </w:p>
        </w:tc>
        <w:tc>
          <w:tcPr>
            <w:tcW w:w="7720" w:type="dxa"/>
            <w:vAlign w:val="bottom"/>
          </w:tcPr>
          <w:p>
            <w:pPr>
              <w:ind w:left="160"/>
              <w:spacing w:after="0"/>
              <w:rPr>
                <w:sz w:val="20"/>
                <w:szCs w:val="20"/>
                <w:color w:val="auto"/>
              </w:rPr>
            </w:pPr>
            <w:r>
              <w:rPr>
                <w:rFonts w:ascii="Arial" w:cs="Arial" w:eastAsia="Arial" w:hAnsi="Arial"/>
                <w:sz w:val="18"/>
                <w:szCs w:val="18"/>
                <w:color w:val="auto"/>
              </w:rPr>
              <w:t>Status of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10.21</w:t>
            </w:r>
          </w:p>
        </w:tc>
        <w:tc>
          <w:tcPr>
            <w:tcW w:w="7720" w:type="dxa"/>
            <w:vAlign w:val="bottom"/>
          </w:tcPr>
          <w:p>
            <w:pPr>
              <w:ind w:left="160"/>
              <w:spacing w:after="0"/>
              <w:rPr>
                <w:sz w:val="20"/>
                <w:szCs w:val="20"/>
                <w:color w:val="auto"/>
              </w:rPr>
            </w:pPr>
            <w:r>
              <w:rPr>
                <w:rFonts w:ascii="Arial" w:cs="Arial" w:eastAsia="Arial" w:hAnsi="Arial"/>
                <w:sz w:val="18"/>
                <w:szCs w:val="18"/>
                <w:color w:val="auto"/>
              </w:rPr>
              <w:t>Removal and Replacement of Lenders</w:t>
            </w:r>
          </w:p>
        </w:tc>
        <w:tc>
          <w:tcPr>
            <w:tcW w:w="2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10.22</w:t>
            </w:r>
          </w:p>
        </w:tc>
        <w:tc>
          <w:tcPr>
            <w:tcW w:w="7720" w:type="dxa"/>
            <w:vAlign w:val="bottom"/>
          </w:tcPr>
          <w:p>
            <w:pPr>
              <w:ind w:left="160"/>
              <w:spacing w:after="0"/>
              <w:rPr>
                <w:sz w:val="20"/>
                <w:szCs w:val="20"/>
                <w:color w:val="auto"/>
              </w:rPr>
            </w:pPr>
            <w:r>
              <w:rPr>
                <w:rFonts w:ascii="Arial" w:cs="Arial" w:eastAsia="Arial" w:hAnsi="Arial"/>
                <w:sz w:val="18"/>
                <w:szCs w:val="18"/>
                <w:color w:val="auto"/>
              </w:rPr>
              <w:t>Governing Law; Submission to Jurisdiction; Waivers</w:t>
            </w:r>
          </w:p>
        </w:tc>
        <w:tc>
          <w:tcPr>
            <w:tcW w:w="26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10.23</w:t>
            </w:r>
          </w:p>
        </w:tc>
        <w:tc>
          <w:tcPr>
            <w:tcW w:w="7720" w:type="dxa"/>
            <w:vAlign w:val="bottom"/>
          </w:tcPr>
          <w:p>
            <w:pPr>
              <w:ind w:left="160"/>
              <w:spacing w:after="0"/>
              <w:rPr>
                <w:sz w:val="20"/>
                <w:szCs w:val="20"/>
                <w:color w:val="auto"/>
              </w:rPr>
            </w:pPr>
            <w:r>
              <w:rPr>
                <w:rFonts w:ascii="Arial" w:cs="Arial" w:eastAsia="Arial" w:hAnsi="Arial"/>
                <w:sz w:val="18"/>
                <w:szCs w:val="18"/>
                <w:color w:val="auto"/>
              </w:rPr>
              <w:t>Waiver of Right to Trial by Jury</w:t>
            </w:r>
          </w:p>
        </w:tc>
        <w:tc>
          <w:tcPr>
            <w:tcW w:w="2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10.24</w:t>
            </w:r>
          </w:p>
        </w:tc>
        <w:tc>
          <w:tcPr>
            <w:tcW w:w="772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2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10.25</w:t>
            </w:r>
          </w:p>
        </w:tc>
        <w:tc>
          <w:tcPr>
            <w:tcW w:w="7720" w:type="dxa"/>
            <w:vAlign w:val="bottom"/>
          </w:tcPr>
          <w:p>
            <w:pPr>
              <w:ind w:left="160"/>
              <w:spacing w:after="0"/>
              <w:rPr>
                <w:sz w:val="20"/>
                <w:szCs w:val="20"/>
                <w:color w:val="auto"/>
              </w:rPr>
            </w:pPr>
            <w:r>
              <w:rPr>
                <w:rFonts w:ascii="Arial" w:cs="Arial" w:eastAsia="Arial" w:hAnsi="Arial"/>
                <w:sz w:val="18"/>
                <w:szCs w:val="18"/>
                <w:color w:val="auto"/>
              </w:rPr>
              <w:t>Judgment Currency</w:t>
            </w:r>
          </w:p>
        </w:tc>
        <w:tc>
          <w:tcPr>
            <w:tcW w:w="2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10.26</w:t>
            </w:r>
          </w:p>
        </w:tc>
        <w:tc>
          <w:tcPr>
            <w:tcW w:w="7720" w:type="dxa"/>
            <w:vAlign w:val="bottom"/>
          </w:tcPr>
          <w:p>
            <w:pPr>
              <w:ind w:left="1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6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65"/>
        </w:trPr>
        <w:tc>
          <w:tcPr>
            <w:tcW w:w="960" w:type="dxa"/>
            <w:vAlign w:val="bottom"/>
          </w:tcPr>
          <w:p>
            <w:pPr>
              <w:spacing w:after="0"/>
              <w:rPr>
                <w:sz w:val="24"/>
                <w:szCs w:val="24"/>
                <w:color w:val="auto"/>
              </w:rPr>
            </w:pPr>
          </w:p>
        </w:tc>
        <w:tc>
          <w:tcPr>
            <w:tcW w:w="7720" w:type="dxa"/>
            <w:vAlign w:val="bottom"/>
          </w:tcPr>
          <w:p>
            <w:pPr>
              <w:ind w:left="4680"/>
              <w:spacing w:after="0"/>
              <w:rPr>
                <w:sz w:val="20"/>
                <w:szCs w:val="20"/>
                <w:color w:val="auto"/>
              </w:rPr>
            </w:pPr>
            <w:r>
              <w:rPr>
                <w:rFonts w:ascii="Arial" w:cs="Arial" w:eastAsia="Arial" w:hAnsi="Arial"/>
                <w:sz w:val="18"/>
                <w:szCs w:val="18"/>
                <w:color w:val="auto"/>
              </w:rPr>
              <w:t>iii</w:t>
            </w:r>
          </w:p>
        </w:tc>
        <w:tc>
          <w:tcPr>
            <w:tcW w:w="2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pacing w:after="0" w:line="117"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23"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Request for Extension of Credit</w:t>
      </w:r>
    </w:p>
    <w:p>
      <w:pPr>
        <w:spacing w:after="0" w:line="9"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E-1</w:t>
      </w:r>
      <w:r>
        <w:rPr>
          <w:rFonts w:ascii="Arial" w:cs="Arial" w:eastAsia="Arial" w:hAnsi="Arial"/>
          <w:sz w:val="16"/>
          <w:szCs w:val="16"/>
          <w:color w:val="auto"/>
        </w:rPr>
        <w:t>Form of New Lender Supplement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E-2</w:t>
      </w:r>
      <w:r>
        <w:rPr>
          <w:rFonts w:ascii="Arial" w:cs="Arial" w:eastAsia="Arial" w:hAnsi="Arial"/>
          <w:sz w:val="16"/>
          <w:szCs w:val="16"/>
          <w:color w:val="auto"/>
        </w:rPr>
        <w:t>Form of Increased Revolving Commitment Activation Notice</w:t>
      </w:r>
    </w:p>
    <w:p>
      <w:pPr>
        <w:spacing w:after="0" w:line="9"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U.S. Tax Compliance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117"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Excluded Indebtedness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2.01</w:t>
      </w:r>
      <w:r>
        <w:rPr>
          <w:rFonts w:ascii="Arial" w:cs="Arial" w:eastAsia="Arial" w:hAnsi="Arial"/>
          <w:sz w:val="16"/>
          <w:szCs w:val="16"/>
          <w:color w:val="auto"/>
        </w:rPr>
        <w:t>Revolving Commitments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2.03</w:t>
      </w:r>
      <w:r>
        <w:rPr>
          <w:rFonts w:ascii="Arial" w:cs="Arial" w:eastAsia="Arial" w:hAnsi="Arial"/>
          <w:sz w:val="16"/>
          <w:szCs w:val="16"/>
          <w:color w:val="auto"/>
        </w:rPr>
        <w:t>Letter of Credit Commitments; Issuers of Existing Letters of Credit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6.08</w:t>
      </w:r>
      <w:r>
        <w:rPr>
          <w:rFonts w:ascii="Arial" w:cs="Arial" w:eastAsia="Arial" w:hAnsi="Arial"/>
          <w:sz w:val="16"/>
          <w:szCs w:val="16"/>
          <w:color w:val="auto"/>
        </w:rPr>
        <w:t>Unrestricted Subsidiaries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10.02</w:t>
      </w:r>
      <w:r>
        <w:rPr>
          <w:rFonts w:ascii="Arial" w:cs="Arial" w:eastAsia="Arial" w:hAnsi="Arial"/>
          <w:sz w:val="16"/>
          <w:szCs w:val="16"/>
          <w:color w:val="auto"/>
        </w:rPr>
        <w:t>Addresses for Notices</w:t>
      </w:r>
    </w:p>
    <w:p>
      <w:pPr>
        <w:spacing w:after="0" w:line="200" w:lineRule="exact"/>
        <w:rPr>
          <w:sz w:val="20"/>
          <w:szCs w:val="20"/>
          <w:color w:val="auto"/>
        </w:rPr>
      </w:pPr>
    </w:p>
    <w:p>
      <w:pPr>
        <w:spacing w:after="0" w:line="308"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74" w:right="1440"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9" w:lineRule="exact"/>
        <w:rPr>
          <w:sz w:val="20"/>
          <w:szCs w:val="20"/>
          <w:color w:val="auto"/>
        </w:rPr>
      </w:pPr>
    </w:p>
    <w:p>
      <w:pPr>
        <w:ind w:right="320" w:firstLine="913"/>
        <w:spacing w:after="0" w:line="297" w:lineRule="auto"/>
        <w:rPr>
          <w:sz w:val="20"/>
          <w:szCs w:val="20"/>
          <w:color w:val="auto"/>
        </w:rPr>
      </w:pPr>
      <w:r>
        <w:rPr>
          <w:rFonts w:ascii="Arial" w:cs="Arial" w:eastAsia="Arial" w:hAnsi="Arial"/>
          <w:sz w:val="16"/>
          <w:szCs w:val="16"/>
          <w:color w:val="auto"/>
        </w:rPr>
        <w:t>This CREDIT AGREEMENT is entered into as of May 26, 2016, by and among COMCAST CORPORATION, a Pennsylvania corporation (“Borrower”), each lender from time to time party hereto (collectively, “Lenders” and individually, a “Lender”), JPMORGAN CHASE BANK, N.A., as Administrative Agent, CITIBANK, N.A., as syndication agent (in such capacity, “Syndication Agent”), and MORGAN STANLEY MUFG LOAN PARTNERS, LLC (acting through Morgan Stanley Senior Funding, Inc. and The Bank of Tokyo-Mitsubishi UFJ, Ltd.), WELLS FARGO BANK, NATIONAL ASSOCIATION and MIZUHO BANK, LTD., as co-documentation agents (in such capacity, “Co-Documentation Agents”).</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WHEREAS, Borrower has requested that the Lenders, the Issuing Lenders and Administrative Agent provide the Revolving Facility (as defined below), and the Lenders, the Issuing Lenders and Administrative Agent are willing to do so on the terms and conditions set forth herein; and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above premises, the parties hereto hereby agree as follows: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8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“Administrative Agent” means JPMorgan Chase Bank, N.A., in its capacity as administrative agent under any of the Loan Documents, or any successor administrative agent permitted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Borrowings, Continuations or Conversions denominated in Canadian Dollars, Euros, Sterling or Yen, Administrative Agent shall be J.P. Morgan Europe Limited.</w:t>
      </w:r>
    </w:p>
    <w:p>
      <w:pPr>
        <w:spacing w:after="0" w:line="166"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“Administrative Agent’s Office” means Administrative Agent’s address and, as appropriate, account as Administrative Agent has designated by written notice to Borrower and Lenders.</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ectPr>
          <w:pgSz w:w="11900" w:h="16838" w:orient="portrait"/>
          <w:cols w:equalWidth="0" w:num="1">
            <w:col w:w="11300"/>
          </w:cols>
          <w:pgMar w:left="240" w:top="270" w:right="359" w:bottom="1440" w:gutter="0" w:footer="0" w:header="0"/>
        </w:sectPr>
      </w:pPr>
    </w:p>
    <w:bookmarkStart w:id="10" w:name="page11"/>
    <w:bookmarkEnd w:id="1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“Agents” means the collective reference to Administrative Agent, Syndication Agent and Co-Documentation Agents.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“Agent Parties” has the meaning set forth in Section 10.02(e)(ii).</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14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“Agreement” means this Credit Agreement, as amended, restated, extended, supplemented or otherwise modified in writing from time to time.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“Agreement Currency” has the meaning set forth in Section 10.25(b).</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“Alternative Currency” means (x) with respect to any Letter of Credit, (a) Euros, (b) Yen, (c) Sterling, (d) Canadian Dollars and (e) any currency other than Dollars, Euros, Yen, Sterling, or Canadian Dollars in which an Issuing Lender is willing to issue a Letter of Credit and (y) with respect to any Loan, (a) Euros, (b) Yen, (c) Sterling, (d) Canadian Dollars and (e) any currency other than Dollars, Euros, Yen, Sterling, or Canadian Dollars in which each Lender has agreed to make Loans.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“Annualized EBITDA” means, at any date of determination, EBITDA for the two (2) fiscal quarter periods then most recently ended times two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“Anti-Corruption Laws”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“Applicable Amount” means the rate per annum, in basis points, set forth under the relevant column heading below based upon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 Ratings: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Pricing</w:t>
            </w:r>
          </w:p>
        </w:tc>
        <w:tc>
          <w:tcPr>
            <w:tcW w:w="2520" w:type="dxa"/>
            <w:vAlign w:val="bottom"/>
          </w:tcPr>
          <w:p>
            <w:pPr>
              <w:spacing w:after="0"/>
              <w:rPr>
                <w:sz w:val="14"/>
                <w:szCs w:val="14"/>
                <w:color w:val="auto"/>
              </w:rPr>
            </w:pPr>
          </w:p>
        </w:tc>
        <w:tc>
          <w:tcPr>
            <w:tcW w:w="116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4"/>
              </w:rPr>
              <w:t>Debt Ratings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1160" w:type="dxa"/>
            <w:vAlign w:val="bottom"/>
          </w:tcPr>
          <w:p>
            <w:pPr>
              <w:spacing w:after="0"/>
              <w:rPr>
                <w:sz w:val="14"/>
                <w:szCs w:val="14"/>
                <w:color w:val="auto"/>
              </w:rPr>
            </w:pP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w w:val="94"/>
              </w:rPr>
              <w:t>Eurodollar Rate/</w:t>
            </w:r>
          </w:p>
        </w:tc>
      </w:tr>
      <w:tr>
        <w:trPr>
          <w:trHeight w:val="185"/>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2520" w:type="dxa"/>
            <w:vAlign w:val="bottom"/>
          </w:tcPr>
          <w:p>
            <w:pPr>
              <w:spacing w:after="0"/>
              <w:rPr>
                <w:sz w:val="16"/>
                <w:szCs w:val="16"/>
                <w:color w:val="auto"/>
              </w:rPr>
            </w:pPr>
          </w:p>
        </w:tc>
        <w:tc>
          <w:tcPr>
            <w:tcW w:w="116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6"/>
              </w:rPr>
              <w:t>S&amp;P/Moody’s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Fee</w:t>
            </w: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Base Rate</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w w:val="94"/>
              </w:rPr>
              <w:t>Letters of Credit</w:t>
            </w:r>
          </w:p>
        </w:tc>
      </w:tr>
      <w:tr>
        <w:trPr>
          <w:trHeight w:val="196"/>
        </w:trPr>
        <w:tc>
          <w:tcPr>
            <w:tcW w:w="20" w:type="dxa"/>
            <w:vAlign w:val="bottom"/>
          </w:tcPr>
          <w:p>
            <w:pPr>
              <w:spacing w:after="0"/>
              <w:rPr>
                <w:sz w:val="17"/>
                <w:szCs w:val="17"/>
                <w:color w:val="auto"/>
              </w:rPr>
            </w:pPr>
          </w:p>
        </w:tc>
        <w:tc>
          <w:tcPr>
            <w:tcW w:w="2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310"/>
              <w:spacing w:after="0" w:line="176" w:lineRule="exact"/>
              <w:rPr>
                <w:sz w:val="20"/>
                <w:szCs w:val="20"/>
                <w:color w:val="auto"/>
              </w:rPr>
            </w:pPr>
            <w:r>
              <w:rPr>
                <w:rFonts w:ascii="Arial" w:cs="Arial" w:eastAsia="Arial" w:hAnsi="Arial"/>
                <w:sz w:val="18"/>
                <w:szCs w:val="18"/>
                <w:color w:val="auto"/>
              </w:rPr>
              <w:t>&gt;A+/A1</w:t>
            </w: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5.0</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0.0</w:t>
            </w:r>
          </w:p>
        </w:tc>
        <w:tc>
          <w:tcPr>
            <w:tcW w:w="1320" w:type="dxa"/>
            <w:vAlign w:val="bottom"/>
            <w:shd w:val="clear" w:color="auto" w:fill="CCEEFF"/>
          </w:tcPr>
          <w:p>
            <w:pPr>
              <w:jc w:val="center"/>
              <w:ind w:left="195"/>
              <w:spacing w:after="0" w:line="176" w:lineRule="exact"/>
              <w:rPr>
                <w:sz w:val="20"/>
                <w:szCs w:val="20"/>
                <w:color w:val="auto"/>
              </w:rPr>
            </w:pPr>
            <w:r>
              <w:rPr>
                <w:rFonts w:ascii="Arial" w:cs="Arial" w:eastAsia="Arial" w:hAnsi="Arial"/>
                <w:sz w:val="18"/>
                <w:szCs w:val="18"/>
                <w:color w:val="auto"/>
                <w:w w:val="91"/>
              </w:rPr>
              <w:t>75.0</w:t>
            </w:r>
          </w:p>
        </w:tc>
      </w:tr>
      <w:tr>
        <w:trPr>
          <w:trHeight w:val="216"/>
        </w:trPr>
        <w:tc>
          <w:tcPr>
            <w:tcW w:w="20" w:type="dxa"/>
            <w:vAlign w:val="bottom"/>
          </w:tcPr>
          <w:p>
            <w:pPr>
              <w:spacing w:after="0"/>
              <w:rPr>
                <w:sz w:val="18"/>
                <w:szCs w:val="18"/>
                <w:color w:val="auto"/>
              </w:rPr>
            </w:pPr>
          </w:p>
        </w:tc>
        <w:tc>
          <w:tcPr>
            <w:tcW w:w="2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2</w:t>
            </w:r>
          </w:p>
        </w:tc>
        <w:tc>
          <w:tcPr>
            <w:tcW w:w="2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CCEEFF"/>
            </w:tcBorders>
          </w:tcPr>
          <w:p>
            <w:pPr>
              <w:jc w:val="center"/>
              <w:ind w:right="430"/>
              <w:spacing w:after="0"/>
              <w:rPr>
                <w:sz w:val="20"/>
                <w:szCs w:val="20"/>
                <w:color w:val="auto"/>
              </w:rPr>
            </w:pPr>
            <w:r>
              <w:rPr>
                <w:rFonts w:ascii="Arial" w:cs="Arial" w:eastAsia="Arial" w:hAnsi="Arial"/>
                <w:sz w:val="18"/>
                <w:szCs w:val="18"/>
                <w:color w:val="auto"/>
              </w:rPr>
              <w:t>A/A2</w:t>
            </w:r>
          </w:p>
        </w:tc>
        <w:tc>
          <w:tcPr>
            <w:tcW w:w="13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7"/>
              </w:rPr>
              <w:t>7.0</w:t>
            </w:r>
          </w:p>
        </w:tc>
        <w:tc>
          <w:tcPr>
            <w:tcW w:w="11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7"/>
              </w:rPr>
              <w:t>0.0</w:t>
            </w:r>
          </w:p>
        </w:tc>
        <w:tc>
          <w:tcPr>
            <w:tcW w:w="1320" w:type="dxa"/>
            <w:vAlign w:val="bottom"/>
            <w:tcBorders>
              <w:top w:val="single" w:sz="8" w:color="CCEEFF"/>
            </w:tcBorders>
          </w:tcPr>
          <w:p>
            <w:pPr>
              <w:jc w:val="center"/>
              <w:ind w:left="195"/>
              <w:spacing w:after="0"/>
              <w:rPr>
                <w:sz w:val="20"/>
                <w:szCs w:val="20"/>
                <w:color w:val="auto"/>
              </w:rPr>
            </w:pPr>
            <w:r>
              <w:rPr>
                <w:rFonts w:ascii="Arial" w:cs="Arial" w:eastAsia="Arial" w:hAnsi="Arial"/>
                <w:sz w:val="18"/>
                <w:szCs w:val="18"/>
                <w:color w:val="auto"/>
                <w:w w:val="91"/>
              </w:rPr>
              <w:t>87.5</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10"/>
              <w:spacing w:after="0"/>
              <w:rPr>
                <w:sz w:val="20"/>
                <w:szCs w:val="20"/>
                <w:color w:val="auto"/>
              </w:rPr>
            </w:pPr>
            <w:r>
              <w:rPr>
                <w:rFonts w:ascii="Arial" w:cs="Arial" w:eastAsia="Arial" w:hAnsi="Arial"/>
                <w:sz w:val="18"/>
                <w:szCs w:val="18"/>
                <w:color w:val="auto"/>
              </w:rPr>
              <w:t>A-/A3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132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8"/>
              </w:rPr>
              <w:t>100.0</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4</w:t>
            </w:r>
          </w:p>
        </w:tc>
        <w:tc>
          <w:tcPr>
            <w:tcW w:w="3680" w:type="dxa"/>
            <w:vAlign w:val="bottom"/>
            <w:gridSpan w:val="5"/>
          </w:tcPr>
          <w:p>
            <w:pPr>
              <w:jc w:val="center"/>
              <w:ind w:left="2170"/>
              <w:spacing w:after="0"/>
              <w:rPr>
                <w:sz w:val="20"/>
                <w:szCs w:val="20"/>
                <w:color w:val="auto"/>
              </w:rPr>
            </w:pPr>
            <w:r>
              <w:rPr>
                <w:rFonts w:ascii="Arial" w:cs="Arial" w:eastAsia="Arial" w:hAnsi="Arial"/>
                <w:sz w:val="18"/>
                <w:szCs w:val="18"/>
                <w:color w:val="auto"/>
                <w:w w:val="96"/>
              </w:rPr>
              <w:t>BBB+/Baa1</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11.0</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12.5</w:t>
            </w:r>
          </w:p>
        </w:tc>
        <w:tc>
          <w:tcPr>
            <w:tcW w:w="1320" w:type="dxa"/>
            <w:vAlign w:val="bottom"/>
          </w:tcPr>
          <w:p>
            <w:pPr>
              <w:jc w:val="center"/>
              <w:ind w:left="195"/>
              <w:spacing w:after="0"/>
              <w:rPr>
                <w:sz w:val="20"/>
                <w:szCs w:val="20"/>
                <w:color w:val="auto"/>
              </w:rPr>
            </w:pPr>
            <w:r>
              <w:rPr>
                <w:rFonts w:ascii="Arial" w:cs="Arial" w:eastAsia="Arial" w:hAnsi="Arial"/>
                <w:sz w:val="18"/>
                <w:szCs w:val="18"/>
                <w:color w:val="auto"/>
                <w:w w:val="88"/>
              </w:rPr>
              <w:t>112.5</w:t>
            </w:r>
          </w:p>
        </w:tc>
      </w:tr>
      <w:tr>
        <w:trPr>
          <w:trHeight w:val="176"/>
        </w:trPr>
        <w:tc>
          <w:tcPr>
            <w:tcW w:w="20" w:type="dxa"/>
            <w:vAlign w:val="bottom"/>
          </w:tcPr>
          <w:p>
            <w:pPr>
              <w:spacing w:after="0"/>
              <w:rPr>
                <w:sz w:val="15"/>
                <w:szCs w:val="15"/>
                <w:color w:val="auto"/>
              </w:rPr>
            </w:pPr>
          </w:p>
        </w:tc>
        <w:tc>
          <w:tcPr>
            <w:tcW w:w="2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3680" w:type="dxa"/>
            <w:vAlign w:val="bottom"/>
            <w:gridSpan w:val="5"/>
            <w:shd w:val="clear" w:color="auto" w:fill="CCEEFF"/>
          </w:tcPr>
          <w:p>
            <w:pPr>
              <w:jc w:val="center"/>
              <w:ind w:left="2170"/>
              <w:spacing w:after="0" w:line="176" w:lineRule="exact"/>
              <w:rPr>
                <w:sz w:val="20"/>
                <w:szCs w:val="20"/>
                <w:color w:val="auto"/>
              </w:rPr>
            </w:pPr>
            <w:r>
              <w:rPr>
                <w:rFonts w:ascii="Arial" w:cs="Arial" w:eastAsia="Arial" w:hAnsi="Arial"/>
                <w:sz w:val="18"/>
                <w:szCs w:val="18"/>
                <w:color w:val="auto"/>
                <w:w w:val="96"/>
              </w:rPr>
              <w:t>&lt;BBB/Baa2</w:t>
            </w: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15.0</w:t>
            </w:r>
          </w:p>
        </w:tc>
        <w:tc>
          <w:tcPr>
            <w:tcW w:w="11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25.0</w:t>
            </w:r>
          </w:p>
        </w:tc>
        <w:tc>
          <w:tcPr>
            <w:tcW w:w="1320" w:type="dxa"/>
            <w:vAlign w:val="bottom"/>
            <w:shd w:val="clear" w:color="auto" w:fill="CCEEFF"/>
          </w:tcPr>
          <w:p>
            <w:pPr>
              <w:jc w:val="center"/>
              <w:ind w:left="195"/>
              <w:spacing w:after="0" w:line="176" w:lineRule="exact"/>
              <w:rPr>
                <w:sz w:val="20"/>
                <w:szCs w:val="20"/>
                <w:color w:val="auto"/>
              </w:rPr>
            </w:pPr>
            <w:r>
              <w:rPr>
                <w:rFonts w:ascii="Arial" w:cs="Arial" w:eastAsia="Arial" w:hAnsi="Arial"/>
                <w:sz w:val="18"/>
                <w:szCs w:val="18"/>
                <w:color w:val="auto"/>
                <w:w w:val="88"/>
              </w:rPr>
              <w:t>125.0</w:t>
            </w:r>
          </w:p>
        </w:tc>
      </w:tr>
      <w:tr>
        <w:trPr>
          <w:trHeight w:val="21"/>
        </w:trPr>
        <w:tc>
          <w:tcPr>
            <w:tcW w:w="20" w:type="dxa"/>
            <w:vAlign w:val="bottom"/>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As used in this definition, “Debt Rating” means, as of any date of determination, the rating as determined by either S&amp;P or Moody’s (collectively, the “Debt Ratings”) of Borrower’s senior unsecured non-credit-enhanced long-term Indebtedness for borrowed money (the “Subject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determining the Applicable Amount, if a Debt Rating is issued by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1" w:name="page12"/>
    <w:bookmarkEnd w:id="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S&amp;P and Moody’s, then the higher of such Debt Ratings shall apply (with Pricing Level 1 being the highest and Pricing Level 5 being the lowest), unless there is a split in Debt Ratings of more than one level, in which case the level that is one level lower than the higher Debt Rating shall apply. The Debt Ratings shall be determined from the most recent public announcement of any Debt Ratings or changes thereto.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 If and for so long as either S&amp;P or Moody’s (but not both) has ceased to rate the Subject Debt, then</w:t>
      </w:r>
    </w:p>
    <w:p>
      <w:pPr>
        <w:spacing w:after="0" w:line="3" w:lineRule="exact"/>
        <w:rPr>
          <w:sz w:val="20"/>
          <w:szCs w:val="20"/>
          <w:color w:val="auto"/>
        </w:rPr>
      </w:pPr>
    </w:p>
    <w:p>
      <w:pPr>
        <w:ind w:right="180" w:firstLine="8"/>
        <w:spacing w:after="0" w:line="270"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such rating agency has ceased to issue debt ratings generally, or if Borrower has used commercially reasonable efforts to maintain ratings from both S&amp;P and Moody’s, the Debt Rating shall be deemed to be the Remaining Debt Rating and (y) otherwise, the Debt Rating shall be deemed to be one Pricing Level below the Remaining Debt Rating. If and for so long as both S&amp;P and Moody’s have ceased to rate the Subject Debt, then (x) if S&amp;P and Moody’s have ceased to issue debt ratings generally, the Debt Rating shall be the Debt Rating most recently in effect prior to such event and (y) otherwise, the Debt Rating will be the Debt Rating at Pricing Level 5. For the purpose of the foregoing, “Remaining Debt Rating” means, at any time that one of S&amp;P or Moody’s, but not both, is rating the Subject Debt, the rating assigned by such rating agency from time to time.</w:t>
      </w:r>
    </w:p>
    <w:p>
      <w:pPr>
        <w:spacing w:after="0" w:line="179"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“Applicable Payment Date” means, (a) as to any Eurodollar Rate Loan, the last day of the relevant Interest Period, any date that such Loan is prepaid or Converted in whole or in part and the maturity date of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Eurodollar Rate Loan 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Loan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“Applicable Time” means New York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“Assignment and Assumption” means an Assignment and Assumption substantially in the form of Exhibit D or, to the extent applicable, an agreement (in form and substance reasonably acceptable to Borrower) incorporating an Assignment and Assumption by reference pursuant to a Platform as to which Administrative Agent and the parties to the Assignment and Assumption are participants.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“Attorney Costs” means the reasonable and documented fees and disbursements of a law firm or other external counsel.</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2" w:name="page13"/>
    <w:bookmarkEnd w:id="12"/>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5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“Bail-In Action”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“Base Rate” means for any day a fluctuating rate per annum equal to the highest of (a) the Federal Funds Rate in effect for such day plus 1/2 of 1%, (b) 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and (c) the Eurodollar Rate that would be calculated as of such day (or, if such day is not a Business Day, as of the next preceding Business Day) in respect of a proposed Eurodollar Loan with a one month Interest Period plus 1%. Any change in such rate announced by JPMorgan Chase shall take effect at the opening of business on the day specified in the public announcement of such change.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 Rate Loan” means a Loan made hereunder that bears interest based upon the Base Rate.</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 of the Securities and Exchange Commission thereunder as in effect on the date hereof) of which any of the foregoing is a member.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“Business Day”, when used in connection with (i) any Eurodollar Rate Loan (or Base Rate Loan the rate of which is based on the Eurodollar Rate), shall also exclude any day on which banks are not open for dealings in Dollar, Euro or Sterling deposits in the London interbank market, (ii) any Loan denominated in Euros shall also exclude any day on which (x) commercial banks in London are authorized or required by law to remain closed or (y) TARGET is authorized or required by law to remain closed, (iii) any Loan denominated in Sterling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also exclude any day on which commercial banks in London are authorized or required by law to remain closed, (iv) any Loan denominated in Yen shall also exclude any day on which commercial banks in Tokyo, Japan are authorized or required by law to remain closed and (v) any Loan denominated in Canadian Dollars shall also exclude any day on which commercial banks in Toronto, Canada are authorized or required by law to remain closed.</w:t>
      </w:r>
    </w:p>
    <w:p>
      <w:pPr>
        <w:spacing w:after="0" w:line="14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“Cable Subsidiary” means a Subsidiary of Borrower (a) that operates a cable communications business or (b) whose sole purpose is to directly or indirectly own or hold an investment in another Person that operates a cable communications business.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“Canadian Dollar” and “C$” means lawful money of Canada.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“CDOR”: in relation to any Loan denominated in Canadian Dollars:</w:t>
      </w:r>
    </w:p>
    <w:p>
      <w:pPr>
        <w:spacing w:after="0" w:line="117" w:lineRule="exact"/>
        <w:rPr>
          <w:sz w:val="20"/>
          <w:szCs w:val="20"/>
          <w:color w:val="auto"/>
        </w:rPr>
      </w:pPr>
    </w:p>
    <w:p>
      <w:pPr>
        <w:ind w:left="460" w:right="680" w:firstLine="443"/>
        <w:spacing w:after="0" w:line="277" w:lineRule="auto"/>
        <w:tabs>
          <w:tab w:leader="none" w:pos="11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applicable Screen Rate as of the applicable Requisite Time and for a period equal in length to the Interest Period of the applicable Borrowing, Continuation or Conversion;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the applicable Interest Period is an Impacted Interest Period, the rate per annum equal to the Interpolated Rate.</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“Change of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50% of the aggregate ordinary voting power represented by the issued and outstanding Equity Interests of Borrower; or (b) the occupation of a majority of the seats (other than vacant seats) on the board of directors of Borrower by Persons who were not directors of Borrower on the date of this Agreement or nominated or appointed by the board of directors of Borrower (or by the Nominating Committee of such board).</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“Co-Documentation Agents” has the meaning set forth in the introductory paragraph hereto.</w:t>
      </w:r>
    </w:p>
    <w:p>
      <w:pPr>
        <w:spacing w:after="0" w:line="225"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“Communications” means, collectively, any notice, demand, communication, information, document or other material provided by or on behalf of any Loan Party pursuant to any Loan Document or the transactions contemplated therein which is distributed by Administrative Agent, any Lender or any Issuing Lender by means of electronic communications pursuant to Section 10.02(e), including through an Electronic System.</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“Competitive Bid” means an offer by a Lender to make a Competitive Loan in accordance with Section 2.04.</w:t>
      </w:r>
    </w:p>
    <w:p>
      <w:pPr>
        <w:spacing w:after="0" w:line="225" w:lineRule="exact"/>
        <w:rPr>
          <w:sz w:val="20"/>
          <w:szCs w:val="20"/>
          <w:color w:val="auto"/>
        </w:rPr>
      </w:pPr>
    </w:p>
    <w:p>
      <w:pPr>
        <w:jc w:val="both"/>
        <w:ind w:right="140" w:firstLine="913"/>
        <w:spacing w:after="0" w:line="277" w:lineRule="auto"/>
        <w:rPr>
          <w:sz w:val="20"/>
          <w:szCs w:val="20"/>
          <w:color w:val="auto"/>
        </w:rPr>
      </w:pPr>
      <w:r>
        <w:rPr>
          <w:rFonts w:ascii="Arial" w:cs="Arial" w:eastAsia="Arial" w:hAnsi="Arial"/>
          <w:sz w:val="18"/>
          <w:szCs w:val="18"/>
          <w:color w:val="auto"/>
        </w:rPr>
        <w:t>“Competitive Bid Rate” means, with respect to any Competitive Bid, the Margin or the Fixed Rate, as applicable, offered by the Lender making such Competitive Bid.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“Competitive Bid Request” means a request by Borrower for Competitive Bids in accordance with Section 2.04.</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“Competitive Borrowing” means a Competitive Loan or group of Competitive Loans of the same type made on the same date and as to which a single Interest Period is in effect.</w:t>
      </w:r>
    </w:p>
    <w:p>
      <w:pPr>
        <w:spacing w:after="0" w:line="170" w:lineRule="exact"/>
        <w:rPr>
          <w:sz w:val="20"/>
          <w:szCs w:val="20"/>
          <w:color w:val="auto"/>
        </w:rPr>
      </w:pPr>
    </w:p>
    <w:p>
      <w:pPr>
        <w:jc w:val="right"/>
        <w:ind w:right="5720"/>
        <w:spacing w:after="0"/>
        <w:rPr>
          <w:sz w:val="20"/>
          <w:szCs w:val="20"/>
          <w:color w:val="auto"/>
        </w:rPr>
      </w:pPr>
      <w:r>
        <w:rPr>
          <w:rFonts w:ascii="Arial" w:cs="Arial" w:eastAsia="Arial" w:hAnsi="Arial"/>
          <w:sz w:val="18"/>
          <w:szCs w:val="18"/>
          <w:color w:val="auto"/>
        </w:rPr>
        <w:t>“Competitive Loan” means a Loan made pursuant to Section 2.04.</w:t>
      </w:r>
    </w:p>
    <w:p>
      <w:pPr>
        <w:spacing w:after="0" w:line="158"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 w:name="page15"/>
    <w:bookmarkEnd w:id="1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Certificate” means a certificate substantially in the form of Exhibit C, properly completed and signed by a Responsible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“Consolidated Net Tangible Assets” means, at any time, total assets minus (a) all franchise rights, goodwill, and other intangible assets, net of accumulated amortization and (b) all current liabilities (other than current portion of long-term debt), in each case appearing on the consolidated balance sheet of Borrower and its consolidated Subsidiaries most recently delivered (prior to such time) pursuant to Section 4.01(d)(i) or Section 6.01(a) (as applicable).</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for borrowed money of Borrower and its Restricted Subsidiaries and Guaranty Obligations of Borrower and its Restricted Subsidiaries in respect of Indebtedness for borrowed money, determined on a consolidated basis in accordance with GAAP, but excluding, to the extent constituting Indebtedness for borrowed money or Guaranty Obligations in respect of Indebtedness for borrowed money,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70"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“Control” or “Controlled” means the possession, directly or indirectly, of the power to direct or cause the direction of the management or policies of a Person, whether through the ability to exercise voting power, by contract or otherwise.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“Declining Lender” has the meaning set forth in Section 2.01(e).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“Default Rate” means an interest rate equal (i) in the case of overdue principal of any Loan, 2% per annum plus the rate otherwise applicable to such Loan as provided in Section 2.09(a) or (ii) in the case of any other overdue amount, 2% per annum plus the rate applicable to Base Rate Loans, in each case to the fullest extent permitted by applicable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5" w:name="page16"/>
    <w:bookmarkEnd w:id="15"/>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“Defaulting Lender” means any Lender that has (a) failed to fund its portion of any Borrowing, or any portion of its participation in any Letter of Credit, within three Business Days of the date on which it shall have been required to fund the same (or, in the case of any Borrowing on the Effective Date, on the Effective Date), (b) notified Borrower, Administrative Agent, any Issuing Lender or any other Lender in writing that it does not intend to comply with any of its funding obligations under this Agreement or has made a public statement to the effect that it does not intend to comply with its funding obligations under this Agreement or generally under agreements in which it commits to extend credit, (c) failed, within three Business Days after written request by Administrative Agent (which request shall, in any event, be made promptly upon request by Borrower), to confirm that it will comply with the terms of this Agreement relating to its obligations to fund prospective Loans and participations in then outstanding Letters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Lender shall cease to be a Defaulting Lender under this clause (c) upon receipt of such confirmation by Administrative Agent, (d) otherwise failed to pay over to Administrative Agent or any other Lender any other amount required to be paid by it hereunder within three Business Days of the date when due, unless the subject of a good faith dispute, (e)(i) been (or has a parent company, including any intermediate parent company, that has been) adjudicated as, or determined by any Governmental Authority having regulatory authority over such Person or its assets to be, insolvent or (ii)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including any intermediate parent company, that has become the subject of a Bail-in Action or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Bail-in Action or bankruptcy proceeding or appointment, unless in the case of any Lender referred to in this clause (e) Borrower, Administrative Agent and each Issuing Lender shall be satisfied that such Lender intends, and has all approvals required to enable it, to continue to perform its obligations as a Lender hereunder or (f) has otherwise become a “defaulting” lender generally in credit agreements to which it is a party (as reasonably determined by Administrative Agent in consultation with Borrower). For the avoidance of doubt, a Lender shall not be deemed to be a Defaulting Lender solely by virtue of the ownership or acquisition of any Equity Interest in such Lender or its parent by a Governmental Authority.</w:t>
      </w:r>
    </w:p>
    <w:p>
      <w:pPr>
        <w:spacing w:after="0" w:line="18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“Dollar Amount” means, at any time, for any amount, (i) if denominated in Dollars, the amount thereof and (ii) if denominated in an Alternative Currency, the amount thereof converted to Dollars in accordance with Section 2.15.</w:t>
      </w:r>
    </w:p>
    <w:p>
      <w:pPr>
        <w:spacing w:after="0" w:line="170"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“EBITDA” means, with respect to any Person or any income generating assets, for any period, an amount equal to (a) the operating income of such Person or generated by such assets calculated in accordance with GAAP adjusted to exclude gains and losses from unusual or extraordinary items, plus</w:t>
      </w:r>
    </w:p>
    <w:p>
      <w:pPr>
        <w:ind w:left="5660" w:right="4140" w:hanging="5652"/>
        <w:spacing w:after="0" w:line="433" w:lineRule="auto"/>
        <w:tabs>
          <w:tab w:leader="none" w:pos="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amortization and other non-cash charges to operating income, in each case for such 7</w:t>
      </w:r>
    </w:p>
    <w:p>
      <w:pPr>
        <w:sectPr>
          <w:pgSz w:w="11900" w:h="16838" w:orient="portrait"/>
          <w:cols w:equalWidth="0" w:num="1">
            <w:col w:w="11380"/>
          </w:cols>
          <w:pgMar w:left="240" w:top="274" w:right="279" w:bottom="1440" w:gutter="0" w:footer="0" w:header="0"/>
        </w:sectPr>
      </w:pPr>
    </w:p>
    <w:bookmarkStart w:id="16" w:name="page17"/>
    <w:bookmarkEnd w:id="1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minus (c) any cash payments made during such period in respect of any non-cash charges to operating income accrued during a prior period and added back in determining EBITDA during such prior period pursuant to clause (b) above, plus (d) corporate overhead expenses incurred by Borrower in an aggregate amount not to exceed $100,000,000 for any fiscal year of Borrower.</w:t>
      </w:r>
    </w:p>
    <w:p>
      <w:pPr>
        <w:spacing w:after="0" w:line="18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70"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“EEA Member Country” means any of the member states of the European Union, Iceland, Liechtenstein, and Norway.</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“Effective Date” means the date upon which all the conditions precedent in Section 4.01 have been satisfied or waived, which date is May 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“Electronic System” means any electronic system, including e-mail, e-fax, Intralinks</w:t>
      </w:r>
      <w:r>
        <w:rPr>
          <w:rFonts w:ascii="Arial" w:cs="Arial" w:eastAsia="Arial" w:hAnsi="Arial"/>
          <w:sz w:val="15"/>
          <w:szCs w:val="15"/>
          <w:color w:val="auto"/>
        </w:rPr>
        <w:t>®,</w:t>
      </w:r>
      <w:r>
        <w:rPr>
          <w:rFonts w:ascii="Arial" w:cs="Arial" w:eastAsia="Arial" w:hAnsi="Arial"/>
          <w:sz w:val="18"/>
          <w:szCs w:val="18"/>
          <w:color w:val="auto"/>
        </w:rPr>
        <w:t xml:space="preserve"> ClearPar</w:t>
      </w:r>
      <w:r>
        <w:rPr>
          <w:rFonts w:ascii="Arial" w:cs="Arial" w:eastAsia="Arial" w:hAnsi="Arial"/>
          <w:sz w:val="15"/>
          <w:szCs w:val="15"/>
          <w:color w:val="auto"/>
        </w:rPr>
        <w:t>®</w:t>
      </w:r>
      <w:r>
        <w:rPr>
          <w:rFonts w:ascii="Arial" w:cs="Arial" w:eastAsia="Arial" w:hAnsi="Arial"/>
          <w:sz w:val="18"/>
          <w:szCs w:val="18"/>
          <w:color w:val="auto"/>
        </w:rPr>
        <w:t>, Debt Domain, Syndtrak and any other Internet or extranet-based site, whether such electronic system is owned, operated or hosted by Administrative Agent or any other Person, providing for access to data protected by passcodes or other security system.</w:t>
      </w:r>
    </w:p>
    <w:p>
      <w:pPr>
        <w:spacing w:after="0" w:line="18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or (vii) any other Person approved by Administrative Agent and Borrower.</w:t>
      </w:r>
    </w:p>
    <w:p>
      <w:pPr>
        <w:spacing w:after="0" w:line="17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“ERISA” means the Employee Retirement Income Security Act of 1974 and any regulations issued pursuant thereto,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7" w:name="page18"/>
    <w:bookmarkEnd w:id="17"/>
    <w:p>
      <w:pPr>
        <w:ind w:right="52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“ERISA Affiliate” means any person that for purposes of Title I or Title IV of ERISA or Section 412 of the Code would be deemed at any relevant time to be a “single employer” with Borrower under Section 414(b), (c), (m) or (o) of the Code or Section 4001 of ERISA.</w:t>
      </w:r>
    </w:p>
    <w:p>
      <w:pPr>
        <w:spacing w:after="0" w:line="14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“ERISA Event” means (a) any “reportable event,” as defined in Section 4043 of ERISA or the regulations issued thereunder with respect to a Plan (other than an event for which the 30-day notice period is waived); (b) the failure of Borrower or any ERISA Affiliate to make by its due date a required installment under Section 430(j) of the Code with respect to any Plan or any failure by any Plan to satisfy the minimum funding standards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the occurrence of any event or condition which might constitute grounds under ERISA for the termination of, or the appointment of a trustee to administer, any Plan or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Borrower or any ERISA Affiliate of any notice, or the receipt by any Multiemployer Plan from Borrower or any ERISA Affiliate of any notice, concerning the imposition of withdrawal liability or a determination that a Multiemployer Plan is, or is expected to be, insolvent (within the meaning of Title IV of ERISA), in “endangered” or “critical” status (within the meaning of Section 432 of the Code or Section 305 of ERISA), or terminated (within the meaning of Section 4041 of ERISA).</w:t>
      </w:r>
    </w:p>
    <w:p>
      <w:pPr>
        <w:spacing w:after="0" w:line="18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“EU Bail-In Legislation Schedule” means the EU Bail-In Legislation Schedule published by the Loan Market Association (or any successor Person), as in effect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“EURIBOR”: in relation to any Loan denominated in Euros:</w:t>
      </w:r>
    </w:p>
    <w:p>
      <w:pPr>
        <w:spacing w:after="0" w:line="117" w:lineRule="exact"/>
        <w:rPr>
          <w:sz w:val="20"/>
          <w:szCs w:val="20"/>
          <w:color w:val="auto"/>
        </w:rPr>
      </w:pPr>
    </w:p>
    <w:p>
      <w:pPr>
        <w:ind w:left="460" w:right="640" w:firstLine="443"/>
        <w:spacing w:after="0" w:line="277" w:lineRule="auto"/>
        <w:tabs>
          <w:tab w:leader="none" w:pos="11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applicable Screen Rate as of the applicable Requisite Time and for a period equal in length to the Interest Period of the applicable Borrowing, Continuation or Conversion;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the applicable Interest Period is an Impacted Interest Period, the rate per annum equal to the Interpolated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 and “€” means lawful money of the European Union.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Base Rate” has the meaning set forth in the definition of Eurodollar Rate.</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“Eurodollar Rate” means for any Interest Period with respect to any Eurodollar Rate Loan, a rate per annum determined by Administrative Agent pursuant to the following formula:</w:t>
      </w:r>
    </w:p>
    <w:p>
      <w:pPr>
        <w:spacing w:after="0" w:line="197"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Eurodollar Rate =</w:t>
      </w:r>
      <w:r>
        <w:rPr>
          <w:sz w:val="20"/>
          <w:szCs w:val="20"/>
          <w:color w:val="auto"/>
        </w:rPr>
        <w:tab/>
      </w:r>
      <w:r>
        <w:rPr>
          <w:rFonts w:ascii="Arial" w:cs="Arial" w:eastAsia="Arial" w:hAnsi="Arial"/>
          <w:sz w:val="16"/>
          <w:szCs w:val="16"/>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14605</wp:posOffset>
            </wp:positionV>
            <wp:extent cx="2830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1.00 - Eurodollar Reserve Percentage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Base Rate” means, for such Interest Period:</w:t>
      </w:r>
    </w:p>
    <w:p>
      <w:pPr>
        <w:spacing w:after="0" w:line="117" w:lineRule="exact"/>
        <w:rPr>
          <w:sz w:val="20"/>
          <w:szCs w:val="20"/>
          <w:color w:val="auto"/>
        </w:rPr>
      </w:pPr>
    </w:p>
    <w:p>
      <w:pPr>
        <w:ind w:left="460" w:right="640" w:firstLine="443"/>
        <w:spacing w:after="0" w:line="277" w:lineRule="auto"/>
        <w:tabs>
          <w:tab w:leader="none" w:pos="11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applicable Screen Rate as of the applicable Requisite Time and for a period equal in length to the Interest Period of the applicable Borrowing, Continuation or Conversion,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8" w:name="page19"/>
    <w:bookmarkEnd w:id="1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in the event the applicable Interest Period is an Impacted Interest Period, the rate per annum equal to the Interpolated Rate.</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“Eurodollar Rate Loan” means a Loan bearing interest based on the Eurodollar Rate. For the avoidance of doubt, each Loan denominated in a currency other than Dollars shall be a Eurodollar Rate Loan.</w:t>
      </w:r>
    </w:p>
    <w:p>
      <w:pPr>
        <w:spacing w:after="0" w:line="17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 United States office of any Lender to United States residents). The Eurodollar Rate for each outstanding Eurodollar Rate Loan shall be adjusted automatically as of the effective date of any change in the Eurodollar Reserve Percentage.</w:t>
      </w:r>
    </w:p>
    <w:p>
      <w:pPr>
        <w:spacing w:after="0" w:line="178"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The determination of the Eurodollar Reserve Percentage and the Eurodollar Base Rate by Administrative Agent shall be conclusive in the absence of manifest error.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“Eurodollar Reserve Percentage” has the meaning set forth in the definition of Eurodollar Rate.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“Exchange Rate” means on any day with respect to any currency other than Dollars, the rate at which such currency may be exchanged into Dollars,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upon by Administrative Agent and Borrower, or, in the absence of such agreement, such Exchange Rate shall instead be the arithmetic average of the spot rates of exchange of Administrative Agent in the market where its foreign currency exchange operations in respect of such currency are then being conducted, at or about 10:00 a.m. (New York City time) on such date for the purchase of Dollars for delivery two (2)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at any time of any such determination, for any reason, no such spot rate is being quoted, Administrative Agent may use any reasonable method it deems appropriate to determine such rate, and such determination shall be conclusive absent manifest error.</w:t>
      </w:r>
    </w:p>
    <w:p>
      <w:pPr>
        <w:spacing w:after="0" w:line="166"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“Existing Credit Agreement” means the Credit Agreement, dated as of June 6, 2012, among Comcast Corporation, Comcast Cable Communications, LLC, the lenders parties thereto, JPMorgan Chase Bank, N.A., as administrative agent and issuing lender, Citibank, N.A., as syndication agent, and Morgan Stanley MUFG Loan Partners, LLC and Wells Fargo Bank, National Association, as co-documentation agents.</w:t>
      </w:r>
    </w:p>
    <w:p>
      <w:pPr>
        <w:spacing w:after="0" w:line="166"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“Existing Letters of Credit” means the letters of credit that have been issued prior to the Effective Date pursuant to the Existing Credit Agreement or that certain continuing agreement for standby letters of credit dated as of December 2, 2011 between Borrower and JPMorgan Chase Bank, N.A. and that are outstanding on the Effective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“Extended Revolving Termination Date” has the meaning set forth in Section 2.01(e).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“Extending Lender” has the meaning set forth in Section 2.01(e).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“Extension Effectiveness Date” has the meaning set forth in Section 2.01(e).</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81" w:lineRule="exact"/>
        <w:rPr>
          <w:sz w:val="20"/>
          <w:szCs w:val="20"/>
          <w:color w:val="auto"/>
        </w:rPr>
      </w:pPr>
    </w:p>
    <w:p>
      <w:pPr>
        <w:ind w:right="480" w:firstLine="913"/>
        <w:spacing w:after="0" w:line="259" w:lineRule="auto"/>
        <w:rPr>
          <w:sz w:val="20"/>
          <w:szCs w:val="20"/>
          <w:color w:val="auto"/>
        </w:rPr>
      </w:pPr>
      <w:r>
        <w:rPr>
          <w:rFonts w:ascii="Arial" w:cs="Arial" w:eastAsia="Arial" w:hAnsi="Arial"/>
          <w:sz w:val="18"/>
          <w:szCs w:val="18"/>
          <w:color w:val="auto"/>
        </w:rPr>
        <w:t>“FATCA”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law, regulation, rule, promulgation, or official agreement implementing an official intergovernmental agreement with respect to such Sections.</w:t>
      </w:r>
    </w:p>
    <w:p>
      <w:pPr>
        <w:spacing w:after="0" w:line="187"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“Federal Funds Rate”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If the Federal Funds Rate shall be less than zero, such rate shall be deemed to be zero for purposes of this Agreement.</w:t>
      </w:r>
    </w:p>
    <w:p>
      <w:pPr>
        <w:spacing w:after="0" w:line="18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“Fixed Rate” means, with respect to any Competitive Loan (other than a Competitive Loan that is a Eurodollar Rate Loan), the fixed rate of interest per annum specified by the Lender making such Competitive Loan in its related Competitive Bid.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“Fixed Rate Loan” means a Competitive Loan bearing interest at a Fixed Rate.</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“Governmental Authority” means (a) any international, foreign, federal, state, county or municipal government, or political subdivision thereof,</w:t>
      </w:r>
    </w:p>
    <w:p>
      <w:pPr>
        <w:spacing w:after="0" w:line="46" w:lineRule="exact"/>
        <w:rPr>
          <w:sz w:val="20"/>
          <w:szCs w:val="20"/>
          <w:color w:val="auto"/>
        </w:rPr>
      </w:pPr>
    </w:p>
    <w:p>
      <w:pPr>
        <w:ind w:right="18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“Guarantee Agreement” means the Guarantee Agreement to be executed and delivered by each Guarantor, substantially in the form of Exhibit A.</w:t>
      </w:r>
    </w:p>
    <w:p>
      <w:pPr>
        <w:spacing w:after="0" w:line="248"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“Guarantors” means Comcast Cable Communications, LLC, NBCUniversal Media, LLC and each Restricted Subsidiary that becomes a party to the Guarantee Agreement pursuant to Section 6.10 (in each case to the extent not released as contemplated by this Agreement).</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20" w:name="page21"/>
    <w:bookmarkEnd w:id="20"/>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payment of such Indebtedness or to maintain working capital, equity capital or other financial statement condition of such other Person so as to enable such other Person to pay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17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“Impacted Interest Period” means any Interest Period for which the applicable Screen Rate does not appear on such page or service or such page or service shall cease to be available or shall otherwise not be available.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“Increased Revolving Commitment Activation Notice” means a notice substantially in the form of Exhibit E-2.</w:t>
      </w:r>
    </w:p>
    <w:p>
      <w:pPr>
        <w:spacing w:after="0" w:line="225"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“Increased Revolving Commitment Closing Date” means any Business Day designated as such in an Increased Revolving Commitment Activation Notice.</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 (f) all Guaranty Obligations of such Person with respect to Indebtedness of others, (g) all capital lease obligations of such Person,</w:t>
      </w:r>
    </w:p>
    <w:p>
      <w:pPr>
        <w:spacing w:after="0" w:line="2" w:lineRule="exact"/>
        <w:rPr>
          <w:sz w:val="20"/>
          <w:szCs w:val="20"/>
          <w:color w:val="auto"/>
        </w:rPr>
      </w:pPr>
    </w:p>
    <w:p>
      <w:pPr>
        <w:ind w:firstLine="8"/>
        <w:spacing w:after="0" w:line="281"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all Attributable Indebtedness under Sale-Leaseback Transactions under which such Person is the lessee and (i) all obligations of such Person as an account party in respect of outstanding letters of credit (whether or not drawn) and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Indebtedness shall not include</w:t>
      </w:r>
    </w:p>
    <w:p>
      <w:pPr>
        <w:spacing w:after="0" w:line="1" w:lineRule="exact"/>
        <w:rPr>
          <w:rFonts w:ascii="Arial" w:cs="Arial" w:eastAsia="Arial" w:hAnsi="Arial"/>
          <w:sz w:val="16"/>
          <w:szCs w:val="16"/>
          <w:color w:val="auto"/>
        </w:rPr>
      </w:pPr>
    </w:p>
    <w:p>
      <w:pPr>
        <w:ind w:right="20" w:firstLine="8"/>
        <w:spacing w:after="0" w:line="271" w:lineRule="auto"/>
        <w:tabs>
          <w:tab w:leader="none" w:pos="2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trade accounts payable arising in the ordinary course of business and (ii) deferred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amount of any Indebtedness described in clause (e) above shall be the lesser of the amount of the Indebtedness or the fair market value of the property securing such Indebtedness.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“Indemnitees” has the meaning set forth in Section 10.13.</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w:t>
      </w:r>
    </w:p>
    <w:p>
      <w:pPr>
        <w:spacing w:after="0" w:line="46" w:lineRule="exact"/>
        <w:rPr>
          <w:sz w:val="20"/>
          <w:szCs w:val="20"/>
          <w:color w:val="auto"/>
        </w:rPr>
      </w:pPr>
    </w:p>
    <w:p>
      <w:pPr>
        <w:ind w:right="160" w:firstLine="8"/>
        <w:spacing w:after="0" w:line="290" w:lineRule="auto"/>
        <w:tabs>
          <w:tab w:leader="none" w:pos="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1" w:name="page22"/>
    <w:bookmarkEnd w:id="21"/>
    <w:p>
      <w:pPr>
        <w:ind w:right="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Period” means (a) for each Eurodollar Rate Loan, (i) initially, the period commencing on the date such Eurodollar Rate Loan is disbursed or Continued as, or Converted into, such Eurodollar Rate Loan and (ii) thereafter, the period commencing on the last day of the preceding Interest Period, and ending, in each case, on the earlier of (A) the scheduled maturity date of such Loan, or (B) one, two, three, six, or, if agreed to by each Lender, 12 months or periods less than one month, thereafter and (b) with respect to any Borrowing of Fixed Rate Loans, the period (which shall not be less than seven days or more than 360 days) commencing on the date of such Borrowing and ending on the date specified in the applicable Competitive Bid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5" w:lineRule="exact"/>
        <w:rPr>
          <w:sz w:val="20"/>
          <w:szCs w:val="20"/>
          <w:color w:val="auto"/>
        </w:rPr>
      </w:pPr>
    </w:p>
    <w:p>
      <w:pPr>
        <w:ind w:left="460" w:firstLine="443"/>
        <w:spacing w:after="0" w:line="308" w:lineRule="auto"/>
        <w:tabs>
          <w:tab w:leader="none" w:pos="1113"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38" w:lineRule="exact"/>
        <w:rPr>
          <w:rFonts w:ascii="Arial" w:cs="Arial" w:eastAsia="Arial" w:hAnsi="Arial"/>
          <w:sz w:val="17"/>
          <w:szCs w:val="17"/>
          <w:color w:val="auto"/>
        </w:rPr>
      </w:pPr>
    </w:p>
    <w:p>
      <w:pPr>
        <w:ind w:left="460" w:right="20" w:firstLine="443"/>
        <w:spacing w:after="0" w:line="264" w:lineRule="auto"/>
        <w:tabs>
          <w:tab w:leader="none" w:pos="11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220" w:hanging="317"/>
        <w:spacing w:after="0"/>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Administrative Agent otherwise consents, there may not be more than ten (10) Interest Periods for Eurodollar Rate Loans in effect at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any time.</w:t>
      </w:r>
    </w:p>
    <w:p>
      <w:pPr>
        <w:spacing w:after="0" w:line="21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“Interpolated Rate” means, at any time, for any Interest Period, the rate per annum determined by Administrative Agent (which determination shall be conclusive and binding absent manifest error) to be equal to the rate which results from interpolating on a linear basis between: (a) the Screen Rate for the longest period (for which that Screen Rate is available for the applicable currency) which is less than the relevant Impacted Interest Period and (b) the Screen Rate for the shortest period (for which that Screen Rate is available for the applicable currency) which exceeds the relevant Impacted Interest Period, each as of the applicable Requisite Time. When determining the rate for a period which is less than the shortest period for which the Screen Rate is available, the Screen Rate for purposes of clause (a) above shall be deemed to be the overnight rate for dollars determined by Administrative Agent from such service as Administrative Agent may reasonably select. If any Interpolated Rate shall be less than zero, such rate shall be deemed to be zero for purposes of this Agreement.</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“IRS” means the United States Internal Revenue Service.</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“Issuing Lender” means each Lender with a Letter of Credit Commitment and, only as to the Existing Letters of Credit, each financial institution listed as an issuer of an Existing Letter of Credit on Schedule 2.03 in its capacity as an issuer of such Letters of Credit hereunder, and any other Lender that may agree with Borrower to issue Letters of Credit hereunder, or any successor issuing lender hereunder. Any Lender that becomes an Issuing Lender after the Effective Date agrees to give Administrative Agent prompt notice thereof.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“JPMorgan Chase” means JPMorgan Chase Bank, N.A.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“Judgment Currency” has the meaning set forth in Section 10.25(b).</w:t>
      </w:r>
    </w:p>
    <w:p>
      <w:pPr>
        <w:spacing w:after="0" w:line="225" w:lineRule="exact"/>
        <w:rPr>
          <w:sz w:val="20"/>
          <w:szCs w:val="20"/>
          <w:color w:val="auto"/>
        </w:rPr>
      </w:pPr>
    </w:p>
    <w:p>
      <w:pPr>
        <w:ind w:right="560" w:firstLine="913"/>
        <w:spacing w:after="0" w:line="264"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 w:name="page23"/>
    <w:bookmarkEnd w:id="22"/>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means each lender from time to time party hereto and, as the context requires, each Issuing Lender, each New Lender and each New Extending Lender, and, subject to the terms and conditions of this Agreement, their respective successors and assigns (but not any purchaser of a participation hereunder unless otherwise a party to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“Lender Party” means any Agent, any Issuing Lender or any Lender.</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means any letter of credit issued or deemed to be issued hereunder, including the Existing Letters of Credit.</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“Letter of Credit Action” means the issuance, supplement, amendment, renewal, extension, modification or other action relating to a Letter of Credit hereunder.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Application” means an application for a Letter of Credit Action from time to time in use by an Issuing Lender.</w:t>
      </w:r>
    </w:p>
    <w:p>
      <w:pPr>
        <w:spacing w:after="0" w:line="225"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“Letter of Credit Cash Collateral Account” means a blocked deposit account at JPMorgan Chase in which Borrower hereby grants a security interest to Administrative Agent, for the benefit of the Lenders and the Issuing Lenders (in each case with respect to each such Person’s interest in the applicable Letter of Credit), as security for Letter of Credit Usage and with respect to which Borrower agrees to execute and deliver from time to time such documentation as Administrative Agent may reasonably request to further assure and confirm such security interest.</w:t>
      </w:r>
    </w:p>
    <w:p>
      <w:pPr>
        <w:spacing w:after="0" w:line="17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“Letter of Credit Commitment” means, for each Issuing Lender, the amount set forth under the heading “Letter of Credit Commitment” opposite such Lender’s name on Schedule 2.03 as such Schedule may be modified from time to time, and as such amount may be reduced or adjusted from time to time in accordance with the terms of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“Letter of Credit Expiration Date” means the date that is five Business Days prior to the Revolving Termination Date.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Loans and (b) $1,000,000,000, as such amount may be reduced from time to time in accordance with the terms of this Agreement.</w:t>
      </w:r>
    </w:p>
    <w:p>
      <w:pPr>
        <w:spacing w:after="0" w:line="181"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“Letter of Credit Usage” means, as of any date of determination, the aggregate undrawn face or available Dollar Amount of outstanding Letters of Credit plus the aggregate Dollar Amount of all drawings under the Letters of Credit not reimbursed by Borrower or converted into Revolving Loans.</w:t>
      </w:r>
    </w:p>
    <w:p>
      <w:pPr>
        <w:spacing w:after="0" w:line="124" w:lineRule="exact"/>
        <w:rPr>
          <w:sz w:val="20"/>
          <w:szCs w:val="20"/>
          <w:color w:val="auto"/>
        </w:rPr>
      </w:pPr>
    </w:p>
    <w:p>
      <w:pPr>
        <w:ind w:right="900" w:firstLine="913"/>
        <w:spacing w:after="0" w:line="291" w:lineRule="auto"/>
        <w:rPr>
          <w:sz w:val="20"/>
          <w:szCs w:val="20"/>
          <w:color w:val="auto"/>
        </w:rPr>
      </w:pPr>
      <w:r>
        <w:rPr>
          <w:rFonts w:ascii="Arial" w:cs="Arial" w:eastAsia="Arial" w:hAnsi="Arial"/>
          <w:sz w:val="16"/>
          <w:szCs w:val="16"/>
          <w:color w:val="auto"/>
        </w:rPr>
        <w:t xml:space="preserve">“Leverage Ratio” means, at any date of determination, the ratio of (a) Consolidated Total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up to $1,000,000,000 of unrestricted cash and cash equivalents on the balance sheet of Borrower and its Restricted Subsidiaries on or as of such date to</w:t>
      </w:r>
    </w:p>
    <w:p>
      <w:pPr>
        <w:ind w:left="5620" w:right="4640" w:hanging="5612"/>
        <w:spacing w:after="0" w:line="473" w:lineRule="auto"/>
        <w:tabs>
          <w:tab w:leader="none" w:pos="2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Annualized EBITDA of Borrower and its Restricted Subsidiaries, on a consolidated basis. 14</w:t>
      </w:r>
    </w:p>
    <w:p>
      <w:pPr>
        <w:sectPr>
          <w:pgSz w:w="11900" w:h="16838" w:orient="portrait"/>
          <w:cols w:equalWidth="0" w:num="1">
            <w:col w:w="11380"/>
          </w:cols>
          <w:pgMar w:left="240" w:top="274" w:right="279" w:bottom="1440" w:gutter="0" w:footer="0" w:header="0"/>
        </w:sectPr>
      </w:pPr>
    </w:p>
    <w:bookmarkStart w:id="23" w:name="page24"/>
    <w:bookmarkEnd w:id="23"/>
    <w:p>
      <w:pPr>
        <w:ind w:right="10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Liens shall not include ordinary and customary contractual set off rights.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 means any advance made by any Lender to Borrower as provided in Section 2 (collectively, the “Loans”).</w:t>
      </w:r>
    </w:p>
    <w:p>
      <w:pPr>
        <w:spacing w:after="0" w:line="225"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225"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“Margin” means, with respect to any Competitive Loan bearing interest at a rate based on the Eurodollar Rate, the marginal rate of interest, if any, to be added to or subtracted from the Eurodollar Rate to determine the rate of interest applicable to such Loan, as specified by the Lender making such Loan in its related Competitive Bid.</w:t>
      </w:r>
    </w:p>
    <w:p>
      <w:pPr>
        <w:spacing w:after="0" w:line="181"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6"/>
          <w:szCs w:val="16"/>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Acquisition Cash Flow Value” is an amount equal to (a) the Annualized EBITDA of the assets comprising the Subject Acquisition less</w:t>
      </w:r>
    </w:p>
    <w:p>
      <w:pPr>
        <w:spacing w:after="0" w:line="2" w:lineRule="exact"/>
        <w:rPr>
          <w:sz w:val="20"/>
          <w:szCs w:val="20"/>
          <w:color w:val="auto"/>
        </w:rPr>
      </w:pPr>
    </w:p>
    <w:p>
      <w:pPr>
        <w:ind w:right="36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Annualized EBITDA of any assets disposed of by Borrower or any Restricted Subsidiary (other than to Borrower or any Restricted Subsidiary) in connection with the Subject Acquisition.</w:t>
      </w:r>
    </w:p>
    <w:p>
      <w:pPr>
        <w:spacing w:after="0" w:line="184" w:lineRule="exact"/>
        <w:rPr>
          <w:sz w:val="20"/>
          <w:szCs w:val="20"/>
          <w:color w:val="auto"/>
        </w:rPr>
      </w:pPr>
    </w:p>
    <w:p>
      <w:pPr>
        <w:jc w:val="both"/>
        <w:ind w:right="220" w:firstLine="913"/>
        <w:spacing w:after="0" w:line="259" w:lineRule="auto"/>
        <w:rPr>
          <w:sz w:val="20"/>
          <w:szCs w:val="20"/>
          <w:color w:val="auto"/>
        </w:rPr>
      </w:pPr>
      <w:r>
        <w:rPr>
          <w:rFonts w:ascii="Arial" w:cs="Arial" w:eastAsia="Arial" w:hAnsi="Arial"/>
          <w:sz w:val="18"/>
          <w:szCs w:val="18"/>
          <w:color w:val="auto"/>
        </w:rPr>
        <w:t>“Material Adverse Effect” means any set of circumstances or events which (a) has or would reasonably be expected to have a material adverse effect upon the validity or enforceability against Borrower or any Guarantor that is a Significant Subsidiary of any Loan Document or (b) has had or would reasonably be expected to have a material adverse effect on the ability of Borrower and Guarantors, taken as a whole, to perform their payment obligations under any Loan Document.</w:t>
      </w:r>
    </w:p>
    <w:p>
      <w:pPr>
        <w:spacing w:after="0" w:line="187" w:lineRule="exact"/>
        <w:rPr>
          <w:sz w:val="20"/>
          <w:szCs w:val="20"/>
          <w:color w:val="auto"/>
        </w:rPr>
      </w:pPr>
    </w:p>
    <w:p>
      <w:pPr>
        <w:jc w:val="both"/>
        <w:ind w:right="240" w:firstLine="913"/>
        <w:spacing w:after="0" w:line="277" w:lineRule="auto"/>
        <w:rPr>
          <w:sz w:val="20"/>
          <w:szCs w:val="20"/>
          <w:color w:val="auto"/>
        </w:rPr>
      </w:pPr>
      <w:r>
        <w:rPr>
          <w:rFonts w:ascii="Arial" w:cs="Arial" w:eastAsia="Arial" w:hAnsi="Arial"/>
          <w:sz w:val="18"/>
          <w:szCs w:val="18"/>
          <w:color w:val="auto"/>
        </w:rPr>
        <w:t>“Material Debt” means Indebtedness for borrowed money incurred or issued by Borrower in an aggregate principal amount equal to or greater than $500,000,000.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“Material Disposition” means any Disposition (the “Subject Disposition”) (i) made at a time when the Leverage Ratio is in excess of 4.5 to 1.0 or</w:t>
      </w:r>
    </w:p>
    <w:p>
      <w:pPr>
        <w:spacing w:after="0" w:line="46" w:lineRule="exact"/>
        <w:rPr>
          <w:sz w:val="20"/>
          <w:szCs w:val="20"/>
          <w:color w:val="auto"/>
        </w:rPr>
      </w:pPr>
    </w:p>
    <w:p>
      <w:pPr>
        <w:ind w:right="40" w:firstLine="8"/>
        <w:spacing w:after="0" w:line="253"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4" w:name="page25"/>
    <w:bookmarkEnd w:id="24"/>
    <w:p>
      <w:pPr>
        <w:ind w:right="3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“Minimum Amount” means, with respect to each of the following actions, the minimum amount and any multiples in excess thereof set forth opposite such action: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Type of Action</w:t>
            </w:r>
          </w:p>
        </w:tc>
        <w:tc>
          <w:tcPr>
            <w:tcW w:w="5380" w:type="dxa"/>
            <w:vAlign w:val="bottom"/>
          </w:tcPr>
          <w:p>
            <w:pPr>
              <w:spacing w:after="0"/>
              <w:rPr>
                <w:sz w:val="16"/>
                <w:szCs w:val="16"/>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Minimum Amount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0"/>
              </w:rPr>
              <w:t>Multiples in excess thereof</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Borrowing or prepayment of, or Conversion into, Base Rate Loans</w:t>
            </w:r>
          </w:p>
        </w:tc>
        <w:tc>
          <w:tcPr>
            <w:tcW w:w="2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$10,000,000</w:t>
            </w:r>
          </w:p>
        </w:tc>
        <w:tc>
          <w:tcPr>
            <w:tcW w:w="1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$1,000,000</w:t>
            </w:r>
          </w:p>
        </w:tc>
      </w:tr>
      <w:tr>
        <w:trPr>
          <w:trHeight w:val="216"/>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$10,000,000</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$1,000,000</w:t>
            </w:r>
          </w:p>
        </w:tc>
      </w:tr>
      <w:tr>
        <w:trPr>
          <w:trHeight w:val="202"/>
        </w:trPr>
        <w:tc>
          <w:tcPr>
            <w:tcW w:w="92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and, in the case of Loans</w:t>
            </w:r>
          </w:p>
        </w:tc>
        <w:tc>
          <w:tcPr>
            <w:tcW w:w="2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and, in the case of Loans</w:t>
            </w:r>
          </w:p>
        </w:tc>
      </w:tr>
      <w:tr>
        <w:trPr>
          <w:trHeight w:val="216"/>
        </w:trPr>
        <w:tc>
          <w:tcPr>
            <w:tcW w:w="9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denominated in a currency other</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denominated in a currency other</w:t>
            </w:r>
          </w:p>
        </w:tc>
      </w:tr>
      <w:tr>
        <w:trPr>
          <w:trHeight w:val="230"/>
        </w:trPr>
        <w:tc>
          <w:tcPr>
            <w:tcW w:w="920" w:type="dxa"/>
            <w:vAlign w:val="bottom"/>
            <w:shd w:val="clear" w:color="auto" w:fill="CCEEFF"/>
          </w:tcPr>
          <w:p>
            <w:pPr>
              <w:spacing w:after="0"/>
              <w:rPr>
                <w:sz w:val="20"/>
                <w:szCs w:val="20"/>
                <w:color w:val="auto"/>
              </w:rPr>
            </w:pPr>
          </w:p>
        </w:tc>
        <w:tc>
          <w:tcPr>
            <w:tcW w:w="538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than Dollars, as applicable:</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than Dollars, as applicable:</w:t>
            </w:r>
          </w:p>
        </w:tc>
      </w:tr>
      <w:tr>
        <w:trPr>
          <w:trHeight w:val="216"/>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C$10,000,000</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C$1,000,000</w:t>
            </w:r>
          </w:p>
        </w:tc>
      </w:tr>
      <w:tr>
        <w:trPr>
          <w:trHeight w:val="216"/>
        </w:trPr>
        <w:tc>
          <w:tcPr>
            <w:tcW w:w="9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€10,000,000</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€1,000,000</w:t>
            </w:r>
          </w:p>
        </w:tc>
      </w:tr>
      <w:tr>
        <w:trPr>
          <w:trHeight w:val="216"/>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£10,000,000</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£1,000,000</w:t>
            </w:r>
          </w:p>
        </w:tc>
      </w:tr>
      <w:tr>
        <w:trPr>
          <w:trHeight w:val="202"/>
        </w:trPr>
        <w:tc>
          <w:tcPr>
            <w:tcW w:w="6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Borrowing, prepayment or Continuation of, or Conversion into, Eurodollar Rate</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r>
      <w:tr>
        <w:trPr>
          <w:trHeight w:val="230"/>
        </w:trPr>
        <w:tc>
          <w:tcPr>
            <w:tcW w:w="6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¥1,000,000,000</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¥100,000,000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Borrowing of Competitive Loans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$10,000,000</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$1,000,000</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 of Credit Action</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Reduction in Revolving Commitments</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$25,000,000</w:t>
            </w: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$5,000,000</w:t>
            </w:r>
          </w:p>
        </w:tc>
      </w:tr>
      <w:tr>
        <w:trPr>
          <w:trHeight w:val="216"/>
        </w:trPr>
        <w:tc>
          <w:tcPr>
            <w:tcW w:w="9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$5,000,000</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02"/>
        </w:trPr>
        <w:tc>
          <w:tcPr>
            <w:tcW w:w="9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6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and, in the case of Loans</w:t>
            </w:r>
          </w:p>
        </w:tc>
        <w:tc>
          <w:tcPr>
            <w:tcW w:w="25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denominated in a currency other</w:t>
            </w:r>
          </w:p>
        </w:tc>
        <w:tc>
          <w:tcPr>
            <w:tcW w:w="2500" w:type="dxa"/>
            <w:vAlign w:val="bottom"/>
          </w:tcPr>
          <w:p>
            <w:pPr>
              <w:spacing w:after="0"/>
              <w:rPr>
                <w:sz w:val="18"/>
                <w:szCs w:val="18"/>
                <w:color w:val="auto"/>
              </w:rPr>
            </w:pPr>
          </w:p>
        </w:tc>
      </w:tr>
      <w:tr>
        <w:trPr>
          <w:trHeight w:val="237"/>
        </w:trPr>
        <w:tc>
          <w:tcPr>
            <w:tcW w:w="9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than Dollars, as applicable:</w:t>
            </w:r>
          </w:p>
        </w:tc>
        <w:tc>
          <w:tcPr>
            <w:tcW w:w="2500" w:type="dxa"/>
            <w:vAlign w:val="bottom"/>
          </w:tcPr>
          <w:p>
            <w:pPr>
              <w:spacing w:after="0"/>
              <w:rPr>
                <w:sz w:val="20"/>
                <w:szCs w:val="20"/>
                <w:color w:val="auto"/>
              </w:rPr>
            </w:pPr>
          </w:p>
        </w:tc>
      </w:tr>
      <w:tr>
        <w:trPr>
          <w:trHeight w:val="223"/>
        </w:trPr>
        <w:tc>
          <w:tcPr>
            <w:tcW w:w="920" w:type="dxa"/>
            <w:vAlign w:val="bottom"/>
            <w:shd w:val="clear" w:color="auto" w:fill="CCEEFF"/>
          </w:tcPr>
          <w:p>
            <w:pPr>
              <w:spacing w:after="0"/>
              <w:rPr>
                <w:sz w:val="19"/>
                <w:szCs w:val="19"/>
                <w:color w:val="auto"/>
              </w:rPr>
            </w:pPr>
          </w:p>
        </w:tc>
        <w:tc>
          <w:tcPr>
            <w:tcW w:w="538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C$5,000,000</w:t>
            </w:r>
          </w:p>
        </w:tc>
        <w:tc>
          <w:tcPr>
            <w:tcW w:w="2500" w:type="dxa"/>
            <w:vAlign w:val="bottom"/>
            <w:shd w:val="clear" w:color="auto" w:fill="CCEEFF"/>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€5,000,000</w:t>
            </w:r>
          </w:p>
        </w:tc>
        <w:tc>
          <w:tcPr>
            <w:tcW w:w="25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£5,000,000</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Assignments</w:t>
            </w: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¥500,000,000</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Extending Lender” has the meaning set forth in Section 2.01(e).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Lender” has the meaning set forth in Section 2.01(c).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Lender Supplement” has the meaning set forth in Section 2.01(c).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“Non-Excluded Taxes” has the meaning set forth in Section 3.01(a).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Date” has the meaning set forth in Section 2.01(e).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“NYFRB” means the Federal Reserve Bank of New York.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5" w:name="page26"/>
    <w:bookmarkEnd w:id="25"/>
    <w:p>
      <w:pPr>
        <w:jc w:val="both"/>
        <w:ind w:right="32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means all advances to, and debts, liabilities, and payment obligations of, Borrower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Borrower.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Taxes” has the meaning set forth in Section 3.01(b).</w:t>
      </w:r>
    </w:p>
    <w:p>
      <w:pPr>
        <w:spacing w:after="0" w:line="225"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“Participant Register” has the meaning set forth in Section 10.04(d).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“Platform” means Debt Domain, Intralinks, Syndtrak or a substantially similar electronic transmission system.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“Reference Statements” means the financial statements described in Section 4.01(d).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“Refund Repayment Requirement” has the meaning set forth in Section 3.01(e).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“Register” has the meaning set forth in Section 2.07(b).</w:t>
      </w:r>
    </w:p>
    <w:p>
      <w:pPr>
        <w:spacing w:after="0" w:line="22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Borrower and delivered by Requisite Notice and (c) with respect to a Borrowing of Competitive Loans, a Competitive Bid Request, duly completed and signed by a Responsible Officer of Borrower and delivered by Requisite Notice.</w:t>
      </w:r>
    </w:p>
    <w:p>
      <w:pPr>
        <w:spacing w:after="0" w:line="154"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“Required Lenders” means, as of any date of determination, Lenders (excluding any Lender that is a Defaulting Lender, until all matters that caused such Lender to be a Defaulting Lender have been remedied) holding more than 50% of: (a) the combined Revolving Commitments (excluding the Revolving Commitment of any Lender that is a Defaulting Lender, until all matters that caused such Lender to be a Defaulting Lender have been remedied) then in effect and (b) if the Revolving Commitments have then been terminated and there are Outstanding Revolving Obligations, the Outstanding Revolving Obligations.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6" w:name="page27"/>
    <w:bookmarkEnd w:id="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“Requisite Notice” means a notice delivered in accordance with Section 10.02.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Type of Action</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Applicable Time</w:t>
            </w:r>
          </w:p>
        </w:tc>
        <w:tc>
          <w:tcPr>
            <w:tcW w:w="4560" w:type="dxa"/>
            <w:vAlign w:val="bottom"/>
          </w:tcPr>
          <w:p>
            <w:pPr>
              <w:ind w:left="1840"/>
              <w:spacing w:after="0"/>
              <w:rPr>
                <w:sz w:val="20"/>
                <w:szCs w:val="20"/>
                <w:color w:val="auto"/>
              </w:rPr>
            </w:pPr>
            <w:r>
              <w:rPr>
                <w:rFonts w:ascii="Arial" w:cs="Arial" w:eastAsia="Arial" w:hAnsi="Arial"/>
                <w:sz w:val="14"/>
                <w:szCs w:val="14"/>
                <w:b w:val="1"/>
                <w:bCs w:val="1"/>
                <w:color w:val="auto"/>
              </w:rPr>
              <w:t>Date of Action</w:t>
            </w:r>
          </w:p>
        </w:tc>
        <w:tc>
          <w:tcPr>
            <w:tcW w:w="0" w:type="dxa"/>
            <w:vAlign w:val="bottom"/>
          </w:tcPr>
          <w:p>
            <w:pPr>
              <w:spacing w:after="0"/>
              <w:rPr>
                <w:sz w:val="1"/>
                <w:szCs w:val="1"/>
                <w:color w:val="auto"/>
              </w:rPr>
            </w:pPr>
          </w:p>
        </w:tc>
      </w:tr>
      <w:tr>
        <w:trPr>
          <w:trHeight w:val="175"/>
        </w:trPr>
        <w:tc>
          <w:tcPr>
            <w:tcW w:w="9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Delivery of</w:t>
            </w:r>
          </w:p>
        </w:tc>
        <w:tc>
          <w:tcPr>
            <w:tcW w:w="4120" w:type="dxa"/>
            <w:vAlign w:val="bottom"/>
          </w:tcPr>
          <w:p>
            <w:pPr>
              <w:spacing w:after="0" w:line="176" w:lineRule="exact"/>
              <w:rPr>
                <w:sz w:val="20"/>
                <w:szCs w:val="20"/>
                <w:color w:val="auto"/>
              </w:rPr>
            </w:pPr>
            <w:r>
              <w:rPr>
                <w:rFonts w:ascii="Arial" w:cs="Arial" w:eastAsia="Arial" w:hAnsi="Arial"/>
                <w:sz w:val="18"/>
                <w:szCs w:val="18"/>
                <w:color w:val="auto"/>
              </w:rPr>
              <w:t>Request for Extension of Credit for, or notice for, or</w:t>
            </w:r>
          </w:p>
        </w:tc>
        <w:tc>
          <w:tcPr>
            <w:tcW w:w="1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determination of any Screen Rate related to:</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Borrowing or prepayment of Base Rate Loans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11:00 a.m.</w:t>
            </w:r>
          </w:p>
        </w:tc>
        <w:tc>
          <w:tcPr>
            <w:tcW w:w="4560" w:type="dxa"/>
            <w:vAlign w:val="bottom"/>
          </w:tcPr>
          <w:p>
            <w:pPr>
              <w:spacing w:after="0"/>
              <w:rPr>
                <w:sz w:val="20"/>
                <w:szCs w:val="20"/>
                <w:color w:val="auto"/>
              </w:rPr>
            </w:pPr>
            <w:r>
              <w:rPr>
                <w:rFonts w:ascii="Arial" w:cs="Arial" w:eastAsia="Arial" w:hAnsi="Arial"/>
                <w:sz w:val="18"/>
                <w:szCs w:val="18"/>
                <w:color w:val="auto"/>
                <w:w w:val="92"/>
              </w:rPr>
              <w:t>Same Business Day as such Loans Borrowing or prepayment</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Conversion into Base Rate Loans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11:00 a.m.</w:t>
            </w:r>
          </w:p>
        </w:tc>
        <w:tc>
          <w:tcPr>
            <w:tcW w:w="4560" w:type="dxa"/>
            <w:vAlign w:val="bottom"/>
          </w:tcPr>
          <w:p>
            <w:pPr>
              <w:spacing w:after="0"/>
              <w:rPr>
                <w:sz w:val="20"/>
                <w:szCs w:val="20"/>
                <w:color w:val="auto"/>
              </w:rPr>
            </w:pPr>
            <w:r>
              <w:rPr>
                <w:rFonts w:ascii="Arial" w:cs="Arial" w:eastAsia="Arial" w:hAnsi="Arial"/>
                <w:sz w:val="18"/>
                <w:szCs w:val="18"/>
                <w:color w:val="auto"/>
              </w:rPr>
              <w:t>Same Business Day as such Conversion</w:t>
            </w:r>
          </w:p>
        </w:tc>
        <w:tc>
          <w:tcPr>
            <w:tcW w:w="0" w:type="dxa"/>
            <w:vAlign w:val="bottom"/>
          </w:tcPr>
          <w:p>
            <w:pPr>
              <w:spacing w:after="0"/>
              <w:rPr>
                <w:sz w:val="1"/>
                <w:szCs w:val="1"/>
                <w:color w:val="auto"/>
              </w:rPr>
            </w:pP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rPr>
              <w:t>Borrowing, prepayment or Continuation of, or Conversion into,</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10:00 a.m.</w:t>
            </w:r>
          </w:p>
        </w:tc>
        <w:tc>
          <w:tcPr>
            <w:tcW w:w="4560" w:type="dxa"/>
            <w:vAlign w:val="bottom"/>
          </w:tcPr>
          <w:p>
            <w:pPr>
              <w:spacing w:after="0"/>
              <w:rPr>
                <w:sz w:val="20"/>
                <w:szCs w:val="20"/>
                <w:color w:val="auto"/>
              </w:rPr>
            </w:pPr>
            <w:r>
              <w:rPr>
                <w:rFonts w:ascii="Arial" w:cs="Arial" w:eastAsia="Arial" w:hAnsi="Arial"/>
                <w:sz w:val="18"/>
                <w:szCs w:val="18"/>
                <w:color w:val="auto"/>
              </w:rPr>
              <w:t>3 Business Days prior to such prepayment, Borrowing,</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Eurodollar Rate Loans (other than Competitive Loans)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Continuation or Conversion</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denominated in Canadian Dollars, and CDOR</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w w:val="90"/>
              </w:rPr>
              <w:t>Determination of a Screen Rate at 11:30 a.m. 2 Business Days</w:t>
            </w: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prior to the requested Borrowing, Continuation or Conversion</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Borrowing, prepayment or Continuation of, or Conversion into,</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11:00 a.m.</w:t>
            </w:r>
          </w:p>
        </w:tc>
        <w:tc>
          <w:tcPr>
            <w:tcW w:w="4560" w:type="dxa"/>
            <w:vAlign w:val="bottom"/>
          </w:tcPr>
          <w:p>
            <w:pPr>
              <w:spacing w:after="0"/>
              <w:rPr>
                <w:sz w:val="20"/>
                <w:szCs w:val="20"/>
                <w:color w:val="auto"/>
              </w:rPr>
            </w:pPr>
            <w:r>
              <w:rPr>
                <w:rFonts w:ascii="Arial" w:cs="Arial" w:eastAsia="Arial" w:hAnsi="Arial"/>
                <w:sz w:val="18"/>
                <w:szCs w:val="18"/>
                <w:color w:val="auto"/>
              </w:rPr>
              <w:t>3 Business Days prior to such prepayment, Borrowing,</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Eurodollar Rate Loans (other than Competitive Loans)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Continuation or Conversion</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denominated in Dollars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w w:val="90"/>
              </w:rPr>
              <w:t>Determination of a Screen Rate at 11:00 a.m. (London Time) 2</w:t>
            </w: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Business Days prior to the requested Borrowing, Continuation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or Conversion</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Borrowing, prepayment or Continuation of, or Conversion into,</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10:00 a.m.</w:t>
            </w:r>
          </w:p>
        </w:tc>
        <w:tc>
          <w:tcPr>
            <w:tcW w:w="4560" w:type="dxa"/>
            <w:vAlign w:val="bottom"/>
          </w:tcPr>
          <w:p>
            <w:pPr>
              <w:spacing w:after="0"/>
              <w:rPr>
                <w:sz w:val="20"/>
                <w:szCs w:val="20"/>
                <w:color w:val="auto"/>
              </w:rPr>
            </w:pPr>
            <w:r>
              <w:rPr>
                <w:rFonts w:ascii="Arial" w:cs="Arial" w:eastAsia="Arial" w:hAnsi="Arial"/>
                <w:sz w:val="18"/>
                <w:szCs w:val="18"/>
                <w:color w:val="auto"/>
              </w:rPr>
              <w:t>3 Business Days prior to such prepayment, Borrowing,</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Eurodollar Rate Loans (other than Competitive Loans)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Continuation or Conversion</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denominated in Euros, and EURIBOR</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w w:val="94"/>
              </w:rPr>
              <w:t>Determination of a Screen Rate 11:00 a.m. (London Time) 2</w:t>
            </w: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6860"/>
        <w:spacing w:after="0"/>
        <w:rPr>
          <w:sz w:val="20"/>
          <w:szCs w:val="20"/>
          <w:color w:val="auto"/>
        </w:rPr>
      </w:pPr>
      <w:r>
        <w:rPr>
          <w:rFonts w:ascii="Arial" w:cs="Arial" w:eastAsia="Arial" w:hAnsi="Arial"/>
          <w:sz w:val="16"/>
          <w:szCs w:val="16"/>
          <w:color w:val="auto"/>
        </w:rPr>
        <w:t>Business Days prior to the requested Borrowing, Continuation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 Conversion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1"/>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Type of Action</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Applicable Time</w:t>
            </w:r>
          </w:p>
        </w:tc>
        <w:tc>
          <w:tcPr>
            <w:tcW w:w="100" w:type="dxa"/>
            <w:vAlign w:val="bottom"/>
          </w:tcPr>
          <w:p>
            <w:pPr>
              <w:spacing w:after="0"/>
              <w:rPr>
                <w:sz w:val="16"/>
                <w:szCs w:val="16"/>
                <w:color w:val="auto"/>
              </w:rPr>
            </w:pPr>
          </w:p>
        </w:tc>
        <w:tc>
          <w:tcPr>
            <w:tcW w:w="4460" w:type="dxa"/>
            <w:vAlign w:val="bottom"/>
          </w:tcPr>
          <w:p>
            <w:pPr>
              <w:ind w:left="1740"/>
              <w:spacing w:after="0"/>
              <w:rPr>
                <w:sz w:val="20"/>
                <w:szCs w:val="20"/>
                <w:color w:val="auto"/>
              </w:rPr>
            </w:pPr>
            <w:r>
              <w:rPr>
                <w:rFonts w:ascii="Arial" w:cs="Arial" w:eastAsia="Arial" w:hAnsi="Arial"/>
                <w:sz w:val="14"/>
                <w:szCs w:val="14"/>
                <w:b w:val="1"/>
                <w:bCs w:val="1"/>
                <w:color w:val="auto"/>
              </w:rPr>
              <w:t>Date of Action</w:t>
            </w:r>
          </w:p>
        </w:tc>
        <w:tc>
          <w:tcPr>
            <w:tcW w:w="0" w:type="dxa"/>
            <w:vAlign w:val="bottom"/>
          </w:tcPr>
          <w:p>
            <w:pPr>
              <w:spacing w:after="0"/>
              <w:rPr>
                <w:sz w:val="1"/>
                <w:szCs w:val="1"/>
                <w:color w:val="auto"/>
              </w:rPr>
            </w:pPr>
          </w:p>
        </w:tc>
      </w:tr>
      <w:tr>
        <w:trPr>
          <w:trHeight w:val="175"/>
        </w:trPr>
        <w:tc>
          <w:tcPr>
            <w:tcW w:w="9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Borrowing,</w:t>
            </w:r>
          </w:p>
        </w:tc>
        <w:tc>
          <w:tcPr>
            <w:tcW w:w="4120" w:type="dxa"/>
            <w:vAlign w:val="bottom"/>
          </w:tcPr>
          <w:p>
            <w:pPr>
              <w:spacing w:after="0" w:line="176" w:lineRule="exact"/>
              <w:rPr>
                <w:sz w:val="20"/>
                <w:szCs w:val="20"/>
                <w:color w:val="auto"/>
              </w:rPr>
            </w:pPr>
            <w:r>
              <w:rPr>
                <w:rFonts w:ascii="Arial" w:cs="Arial" w:eastAsia="Arial" w:hAnsi="Arial"/>
                <w:sz w:val="18"/>
                <w:szCs w:val="18"/>
                <w:color w:val="auto"/>
              </w:rPr>
              <w:t>prepayment or Continuation of, or Conversion into,</w:t>
            </w:r>
          </w:p>
        </w:tc>
        <w:tc>
          <w:tcPr>
            <w:tcW w:w="16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9"/>
              </w:rPr>
              <w:t>10:00 a.m.</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9"/>
              </w:rPr>
              <w:t>3</w:t>
            </w:r>
          </w:p>
        </w:tc>
        <w:tc>
          <w:tcPr>
            <w:tcW w:w="4460" w:type="dxa"/>
            <w:vAlign w:val="bottom"/>
            <w:tcBorders>
              <w:top w:val="single" w:sz="8" w:color="auto"/>
            </w:tcBorders>
          </w:tcPr>
          <w:p>
            <w:pPr>
              <w:ind w:left="40"/>
              <w:spacing w:after="0" w:line="176" w:lineRule="exact"/>
              <w:rPr>
                <w:sz w:val="20"/>
                <w:szCs w:val="20"/>
                <w:color w:val="auto"/>
              </w:rPr>
            </w:pPr>
            <w:r>
              <w:rPr>
                <w:rFonts w:ascii="Arial" w:cs="Arial" w:eastAsia="Arial" w:hAnsi="Arial"/>
                <w:sz w:val="18"/>
                <w:szCs w:val="18"/>
                <w:color w:val="auto"/>
              </w:rPr>
              <w:t>Business Days prior to such prepayment, Borrowing,</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Eurodollar Rate Loans (other than Competitive Loans)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Continuation or Conversion</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denominated in Sterling</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vMerge w:val="restart"/>
          </w:tcPr>
          <w:p>
            <w:pPr>
              <w:spacing w:after="0"/>
              <w:rPr>
                <w:sz w:val="20"/>
                <w:szCs w:val="20"/>
                <w:color w:val="auto"/>
              </w:rPr>
            </w:pPr>
            <w:r>
              <w:rPr>
                <w:rFonts w:ascii="Arial" w:cs="Arial" w:eastAsia="Arial" w:hAnsi="Arial"/>
                <w:sz w:val="18"/>
                <w:szCs w:val="18"/>
                <w:color w:val="auto"/>
                <w:w w:val="92"/>
              </w:rPr>
              <w:t>Determination of a Screen Rate 11:00 a.m. (London Time) on</w:t>
            </w: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the first Business Day of such requested Borrowing,</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Continuation or Conversion</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Borrowing, prepayment or Continuation of, or Conversion into,</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10:00 a.m.</w:t>
            </w:r>
          </w:p>
        </w:tc>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4460" w:type="dxa"/>
            <w:vAlign w:val="bottom"/>
          </w:tcPr>
          <w:p>
            <w:pPr>
              <w:ind w:left="40"/>
              <w:spacing w:after="0"/>
              <w:rPr>
                <w:sz w:val="20"/>
                <w:szCs w:val="20"/>
                <w:color w:val="auto"/>
              </w:rPr>
            </w:pPr>
            <w:r>
              <w:rPr>
                <w:rFonts w:ascii="Arial" w:cs="Arial" w:eastAsia="Arial" w:hAnsi="Arial"/>
                <w:sz w:val="18"/>
                <w:szCs w:val="18"/>
                <w:color w:val="auto"/>
              </w:rPr>
              <w:t>Business Days prior to such prepayment, Borrowing,</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Eurodollar Rate Loans (other than Competitive Loans)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Continuation or Conversion</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denominated in Yen</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vMerge w:val="restart"/>
          </w:tcPr>
          <w:p>
            <w:pPr>
              <w:spacing w:after="0"/>
              <w:rPr>
                <w:sz w:val="20"/>
                <w:szCs w:val="20"/>
                <w:color w:val="auto"/>
              </w:rPr>
            </w:pPr>
            <w:r>
              <w:rPr>
                <w:rFonts w:ascii="Arial" w:cs="Arial" w:eastAsia="Arial" w:hAnsi="Arial"/>
                <w:sz w:val="18"/>
                <w:szCs w:val="18"/>
                <w:color w:val="auto"/>
                <w:w w:val="94"/>
              </w:rPr>
              <w:t>Determination of a Screen Rate 11:00 a.m. (London Time) 2</w:t>
            </w: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2"/>
              </w:rPr>
              <w:t>Business Days prior to the requested Borrowing, Continuation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or Conversion</w:t>
            </w:r>
          </w:p>
        </w:tc>
        <w:tc>
          <w:tcPr>
            <w:tcW w:w="0" w:type="dxa"/>
            <w:vAlign w:val="bottom"/>
          </w:tcPr>
          <w:p>
            <w:pPr>
              <w:spacing w:after="0"/>
              <w:rPr>
                <w:sz w:val="1"/>
                <w:szCs w:val="1"/>
                <w:color w:val="auto"/>
              </w:rPr>
            </w:pPr>
          </w:p>
        </w:tc>
      </w:tr>
      <w:tr>
        <w:trPr>
          <w:trHeight w:val="323"/>
        </w:trPr>
        <w:tc>
          <w:tcPr>
            <w:tcW w:w="5040" w:type="dxa"/>
            <w:vAlign w:val="bottom"/>
            <w:gridSpan w:val="2"/>
          </w:tcPr>
          <w:p>
            <w:pPr>
              <w:spacing w:after="0"/>
              <w:rPr>
                <w:sz w:val="20"/>
                <w:szCs w:val="20"/>
                <w:color w:val="auto"/>
              </w:rPr>
            </w:pPr>
            <w:r>
              <w:rPr>
                <w:rFonts w:ascii="Arial" w:cs="Arial" w:eastAsia="Arial" w:hAnsi="Arial"/>
                <w:sz w:val="18"/>
                <w:szCs w:val="18"/>
                <w:color w:val="auto"/>
              </w:rPr>
              <w:t>Letter of Credit Action</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11:00 a.m.</w:t>
            </w:r>
          </w:p>
        </w:tc>
        <w:tc>
          <w:tcPr>
            <w:tcW w:w="100" w:type="dxa"/>
            <w:vAlign w:val="bottom"/>
          </w:tcPr>
          <w:p>
            <w:pPr>
              <w:spacing w:after="0"/>
              <w:rPr>
                <w:sz w:val="20"/>
                <w:szCs w:val="20"/>
                <w:color w:val="auto"/>
              </w:rPr>
            </w:pPr>
            <w:r>
              <w:rPr>
                <w:rFonts w:ascii="Arial" w:cs="Arial" w:eastAsia="Arial" w:hAnsi="Arial"/>
                <w:sz w:val="18"/>
                <w:szCs w:val="18"/>
                <w:color w:val="auto"/>
                <w:w w:val="79"/>
              </w:rPr>
              <w:t>2</w:t>
            </w:r>
          </w:p>
        </w:tc>
        <w:tc>
          <w:tcPr>
            <w:tcW w:w="4460" w:type="dxa"/>
            <w:vAlign w:val="bottom"/>
          </w:tcPr>
          <w:p>
            <w:pPr>
              <w:ind w:left="40"/>
              <w:spacing w:after="0"/>
              <w:rPr>
                <w:sz w:val="20"/>
                <w:szCs w:val="20"/>
                <w:color w:val="auto"/>
              </w:rPr>
            </w:pPr>
            <w:r>
              <w:rPr>
                <w:rFonts w:ascii="Arial" w:cs="Arial" w:eastAsia="Arial" w:hAnsi="Arial"/>
                <w:sz w:val="18"/>
                <w:szCs w:val="18"/>
                <w:color w:val="auto"/>
                <w:w w:val="91"/>
              </w:rPr>
              <w:t>Business Days prior to such action (or such lesser time as is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acceptable to an Issuing Lender)</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w w:val="98"/>
              </w:rPr>
              <w:t>Voluntary reduction in or termination of Revolving Commitments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11:00 a.m.</w:t>
            </w:r>
          </w:p>
        </w:tc>
        <w:tc>
          <w:tcPr>
            <w:tcW w:w="100" w:type="dxa"/>
            <w:vAlign w:val="bottom"/>
          </w:tcPr>
          <w:p>
            <w:pPr>
              <w:spacing w:after="0"/>
              <w:rPr>
                <w:sz w:val="20"/>
                <w:szCs w:val="20"/>
                <w:color w:val="auto"/>
              </w:rPr>
            </w:pPr>
            <w:r>
              <w:rPr>
                <w:rFonts w:ascii="Arial" w:cs="Arial" w:eastAsia="Arial" w:hAnsi="Arial"/>
                <w:sz w:val="18"/>
                <w:szCs w:val="18"/>
                <w:color w:val="auto"/>
                <w:w w:val="79"/>
              </w:rPr>
              <w:t>3</w:t>
            </w:r>
          </w:p>
        </w:tc>
        <w:tc>
          <w:tcPr>
            <w:tcW w:w="4460" w:type="dxa"/>
            <w:vAlign w:val="bottom"/>
          </w:tcPr>
          <w:p>
            <w:pPr>
              <w:ind w:left="40"/>
              <w:spacing w:after="0"/>
              <w:rPr>
                <w:sz w:val="20"/>
                <w:szCs w:val="20"/>
                <w:color w:val="auto"/>
              </w:rPr>
            </w:pPr>
            <w:r>
              <w:rPr>
                <w:rFonts w:ascii="Arial" w:cs="Arial" w:eastAsia="Arial" w:hAnsi="Arial"/>
                <w:sz w:val="18"/>
                <w:szCs w:val="18"/>
                <w:color w:val="auto"/>
              </w:rPr>
              <w:t>Business Days prior to such reduction or termination</w:t>
            </w:r>
          </w:p>
        </w:tc>
        <w:tc>
          <w:tcPr>
            <w:tcW w:w="0" w:type="dxa"/>
            <w:vAlign w:val="bottom"/>
          </w:tcPr>
          <w:p>
            <w:pPr>
              <w:spacing w:after="0"/>
              <w:rPr>
                <w:sz w:val="1"/>
                <w:szCs w:val="1"/>
                <w:color w:val="auto"/>
              </w:rPr>
            </w:pPr>
          </w:p>
        </w:tc>
      </w:tr>
      <w:tr>
        <w:trPr>
          <w:trHeight w:val="310"/>
        </w:trPr>
        <w:tc>
          <w:tcPr>
            <w:tcW w:w="5040" w:type="dxa"/>
            <w:vAlign w:val="bottom"/>
            <w:gridSpan w:val="2"/>
          </w:tcPr>
          <w:p>
            <w:pPr>
              <w:spacing w:after="0"/>
              <w:rPr>
                <w:sz w:val="20"/>
                <w:szCs w:val="20"/>
                <w:color w:val="auto"/>
              </w:rPr>
            </w:pPr>
            <w:r>
              <w:rPr>
                <w:rFonts w:ascii="Arial" w:cs="Arial" w:eastAsia="Arial" w:hAnsi="Arial"/>
                <w:sz w:val="18"/>
                <w:szCs w:val="18"/>
                <w:color w:val="auto"/>
                <w:w w:val="97"/>
              </w:rPr>
              <w:t>Payments by Lenders or Borrower to Administrative Agent (other</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1:00 p.m.</w:t>
            </w:r>
          </w:p>
        </w:tc>
        <w:tc>
          <w:tcPr>
            <w:tcW w:w="4560" w:type="dxa"/>
            <w:vAlign w:val="bottom"/>
            <w:gridSpan w:val="2"/>
          </w:tcPr>
          <w:p>
            <w:pPr>
              <w:spacing w:after="0"/>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w w:val="97"/>
              </w:rPr>
              <w:t>than Payments by Lenders to Administrative Agent of Base Rate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w w:val="95"/>
              </w:rPr>
              <w:t>Payments by Lenders to Administrative Agent of Base Rate Loans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2.00 p.m.</w:t>
            </w:r>
          </w:p>
        </w:tc>
        <w:tc>
          <w:tcPr>
            <w:tcW w:w="4560" w:type="dxa"/>
            <w:vAlign w:val="bottom"/>
            <w:gridSpan w:val="2"/>
          </w:tcPr>
          <w:p>
            <w:pPr>
              <w:spacing w:after="0"/>
              <w:rPr>
                <w:sz w:val="20"/>
                <w:szCs w:val="20"/>
                <w:color w:val="auto"/>
              </w:rPr>
            </w:pPr>
            <w:r>
              <w:rPr>
                <w:rFonts w:ascii="Arial" w:cs="Arial" w:eastAsia="Arial" w:hAnsi="Arial"/>
                <w:sz w:val="18"/>
                <w:szCs w:val="18"/>
                <w:color w:val="auto"/>
              </w:rPr>
              <w:t>On the date payment is due</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rPr>
              <w:t>Borrowing of Fixed Rate Loans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11:00 a.m.</w:t>
            </w: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4460" w:type="dxa"/>
            <w:vAlign w:val="bottom"/>
          </w:tcPr>
          <w:p>
            <w:pPr>
              <w:ind w:left="40"/>
              <w:spacing w:after="0"/>
              <w:rPr>
                <w:sz w:val="20"/>
                <w:szCs w:val="20"/>
                <w:color w:val="auto"/>
              </w:rPr>
            </w:pPr>
            <w:r>
              <w:rPr>
                <w:rFonts w:ascii="Arial" w:cs="Arial" w:eastAsia="Arial" w:hAnsi="Arial"/>
                <w:sz w:val="18"/>
                <w:szCs w:val="18"/>
                <w:color w:val="auto"/>
              </w:rPr>
              <w:t>Business Days prior to such Borrowing</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0"/>
                <w:szCs w:val="20"/>
                <w:color w:val="auto"/>
              </w:rPr>
            </w:pPr>
            <w:r>
              <w:rPr>
                <w:rFonts w:ascii="Arial" w:cs="Arial" w:eastAsia="Arial" w:hAnsi="Arial"/>
                <w:sz w:val="18"/>
                <w:szCs w:val="18"/>
                <w:color w:val="auto"/>
                <w:w w:val="99"/>
              </w:rPr>
              <w:t>Borrowing of Competitive Loans that are Eurodollar Rate Loans</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11:00 a.m.</w:t>
            </w:r>
          </w:p>
        </w:tc>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4460" w:type="dxa"/>
            <w:vAlign w:val="bottom"/>
          </w:tcPr>
          <w:p>
            <w:pPr>
              <w:ind w:left="40"/>
              <w:spacing w:after="0"/>
              <w:rPr>
                <w:sz w:val="20"/>
                <w:szCs w:val="20"/>
                <w:color w:val="auto"/>
              </w:rPr>
            </w:pPr>
            <w:r>
              <w:rPr>
                <w:rFonts w:ascii="Arial" w:cs="Arial" w:eastAsia="Arial" w:hAnsi="Arial"/>
                <w:sz w:val="18"/>
                <w:szCs w:val="18"/>
                <w:color w:val="auto"/>
              </w:rPr>
              <w:t>Business Days prior to such Borrowing</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80" w:firstLine="913"/>
        <w:spacing w:after="0" w:line="259"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5" w:right="239" w:bottom="1440" w:gutter="0" w:footer="0" w:header="0"/>
        </w:sectPr>
      </w:pPr>
    </w:p>
    <w:bookmarkStart w:id="28" w:name="page29"/>
    <w:bookmarkEnd w:id="28"/>
    <w:p>
      <w:pPr>
        <w:ind w:right="14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Commitment” means, for each Lender, the amount set forth under the heading “Revolving Commitment” opposite such Lender’s name on Schedule 2.01 or in the Assignment and Assumption or New Lender Supplement pursuant to which such Lender became a party to this Agreement, as such amount may be reduced or adjusted from time to time in accordance with the terms of this Agreement (collectively, the “combined Revolving Commitments”). As of the Effective Date, the amount of the Revolving Commitments of all Lenders is $7,000,000,000.</w:t>
      </w:r>
    </w:p>
    <w:p>
      <w:pPr>
        <w:spacing w:after="0" w:line="17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“Revolving Commitment Period” means the period from and including the Effective Date to the Revolving Termination Date, the Extended Revolving Termination Date or the Second Extended Revolving Termination Date, as applicable.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“Revolving Facility” means the Revolving Commitments and the Extensions of Credit made thereunder.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“Revolving Loans” has the meaning set forth in Section 2.01.</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“Revolving Termination Date” means (a) the fifth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Revolving Commitments, if any, that are extended pursuant to Section 2.01(e), the Revolving Termination Date shall mean the Extended Revolving Termination Date or the Second Extended Revolving Termination Date, as applicable, or (b) such earlier date upon which the combined Revolving Commitments may be terminated in accordance with the terms of this Agreement.</w:t>
      </w:r>
    </w:p>
    <w:p>
      <w:pPr>
        <w:spacing w:after="0" w:line="18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“S&amp;P” means Standard &amp; Poor’s Ratings Services, a division of S&amp;P Global,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8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81"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“Sanctions” means all economic or financial sanctions or trade embargoes imposed, administered or enforced from time to time by (a) the U.S. government, including those administered by the Office of Foreign Assets Control of the U.S. Department of the Treasury (“OFAC”) or the U.S. Department of State, (b) the United Nations Security Council, the European Union or Her Majesty’s Treasury of the United Kingdom.</w:t>
      </w:r>
    </w:p>
    <w:p>
      <w:pPr>
        <w:spacing w:after="0" w:line="166"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“Sanctioned Country” means, at any time, a country, region or territory which is itself the subject or target of any Sanctions (at the time of this Agreement, Crimea, Cuba, Iran, North Korea, Sudan and Syria).</w:t>
      </w:r>
    </w:p>
    <w:p>
      <w:pPr>
        <w:spacing w:after="0" w:line="170"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“Sanctioned Person” means, at any time, (a) any Person listed in any Sanctions-related list of designated Persons maintained by the Office of Foreign Assets Control of the U.S. Department of the Treasury, the U.S. Department of State, or by the United Nations Security Council, the European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Union, or Her Majesty’s Treasury of the United Kingdom (b) any Person located, organized or resident in a Sanctioned Country (except any U.S. Person with a location in a Sanctioned Country pursuant to an OFAC license), or (c) any Person owned fifty percent or more or Controlled by any Person or Persons described in clause (a) or (b).</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“Screen Rate” means:</w:t>
      </w:r>
    </w:p>
    <w:p>
      <w:pPr>
        <w:spacing w:after="0" w:line="117" w:lineRule="exact"/>
        <w:rPr>
          <w:sz w:val="20"/>
          <w:szCs w:val="20"/>
          <w:color w:val="auto"/>
        </w:rPr>
      </w:pPr>
    </w:p>
    <w:p>
      <w:pPr>
        <w:ind w:left="460" w:firstLine="443"/>
        <w:spacing w:after="0" w:line="273" w:lineRule="auto"/>
        <w:tabs>
          <w:tab w:leader="none" w:pos="1143"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relation to CDOR, with respect to any Interest Period, (i) the annual rate of interest determined with reference to the arithmetic average of the discount rate quotations of all institutions listed for Canadian Dollar-denominated bankers’ acceptances with a tenor equal to such Interest Period displayed and identified as such on the CDOR page of the Reuters screen (or on any successor or substitute page on such screen or service that displays such rate, or on the appropriate page of such other information service that publishes such rate as shall be selected by Administrative Agent from time to time in its reasonable discretion) as of the applicable Requisite Time for such Interest Period (as adjusted by Administrative Agent after the Requisite Time to reflect any error in the posted rate of interest or in the posted average annual rate of interest);</w:t>
      </w:r>
    </w:p>
    <w:p>
      <w:pPr>
        <w:spacing w:after="0" w:line="70" w:lineRule="exact"/>
        <w:rPr>
          <w:rFonts w:ascii="Arial" w:cs="Arial" w:eastAsia="Arial" w:hAnsi="Arial"/>
          <w:sz w:val="17"/>
          <w:szCs w:val="17"/>
          <w:color w:val="auto"/>
        </w:rPr>
      </w:pPr>
    </w:p>
    <w:p>
      <w:pPr>
        <w:ind w:left="460" w:right="100" w:firstLine="443"/>
        <w:spacing w:after="0" w:line="297" w:lineRule="auto"/>
        <w:tabs>
          <w:tab w:leader="none" w:pos="115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relation to EURIBOR, the euro interbank offered rate administered by the Banking Federation of the European Union (or any other Person which takes over the administration of that rate) for the relevant period displayed on page EURIBOR01 of the Reuters screen (or any replacement Reuters page which displays that rate, or, in the event such rate does not appear on a Reuters page or screen, on any successor or substitute page on such screen that displays such rate, or on the appropriate page of such other information service that publishes such rate from time to time as selected by Administrative Agent in its reasonable discretion) as of the applicable Requisite Time for such Interest Period; and</w:t>
      </w:r>
    </w:p>
    <w:p>
      <w:pPr>
        <w:spacing w:after="0" w:line="50" w:lineRule="exact"/>
        <w:rPr>
          <w:rFonts w:ascii="Arial" w:cs="Arial" w:eastAsia="Arial" w:hAnsi="Arial"/>
          <w:sz w:val="16"/>
          <w:szCs w:val="16"/>
          <w:color w:val="auto"/>
        </w:rPr>
      </w:pPr>
    </w:p>
    <w:p>
      <w:pPr>
        <w:ind w:left="460" w:right="60" w:firstLine="443"/>
        <w:spacing w:after="0" w:line="255"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relation to any Borrowing, Continuation or Conversion of a Loan denominated in Dollars, Sterling or Yen, the London interbank offered rate as administered by the ICE Benchmark Administration Limited (or any other person which takes over the administration of that rate) for the applicable currency as appearing on the Reuters Screen LIBOR01 Page or Reuters Screen LIBOR02 Page (or, in the event such rate does not appear on a Reuters page or screen, on any successor or substitute page on such screen that displays such rate, or on the appropriate page of such other information service that publishes such rate from time to time as selected by Administrative Agent in its reasonable discretion for deposits in the applicable currency) (for delivery on the first day of such Interest Period) with a term equivalent to such Interest Period as of the applicable Requisite Time for such Interest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any Screen Rate shall be less than zero, such Screen Rate shall be deemed to be zero for purposes of this Agreement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“Second Extended Revolving Termination Date” has the meaning set forth in Section 2.01(e).</w:t>
      </w:r>
    </w:p>
    <w:p>
      <w:pPr>
        <w:spacing w:after="0" w:line="225"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“Significant Subsidiary” means (i) for so long as each shall remain a Guarantor hereunder, Comcast Cable Communications, LLC and NBCUniversal Media, LLC and (ii) any other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0" w:name="page31"/>
    <w:bookmarkEnd w:id="3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“Sterling” and “£” means lawful money of the United Kingdom.</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“TARGET” means the Trans-European Automated Real-time Gross settlement Express Transfer system.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“Threshold Amount” means $500,000,000.</w:t>
      </w:r>
    </w:p>
    <w:p>
      <w:pPr>
        <w:spacing w:after="0" w:line="225"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“type” of Loan means (a) as to any Revolving Loan, its nature as a Base Rate Loan or a Eurodollar Rate Loan and (b) as to any Competitive Loan, its nature as a Eurodollar Rate Loan or a Fixed Rate Loan.</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6.08. Until so designated, each Subsidiary of Borrower shall be a Restricted Subsidiary.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 Tax Compliance Certificate” has the meaning set forth in Section 10.20(a).</w:t>
      </w:r>
    </w:p>
    <w:p>
      <w:pPr>
        <w:spacing w:after="0" w:line="225"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“Write-Down and Conversion Powers”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“Yen” and “¥” means lawful money of Japan.</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Use of Certain Terms</w:t>
      </w:r>
      <w:r>
        <w:rPr>
          <w:rFonts w:ascii="Arial" w:cs="Arial" w:eastAsia="Arial" w:hAnsi="Arial"/>
          <w:sz w:val="18"/>
          <w:szCs w:val="18"/>
          <w:color w:val="auto"/>
        </w:rPr>
        <w:t>.</w:t>
      </w:r>
    </w:p>
    <w:p>
      <w:pPr>
        <w:spacing w:after="0" w:line="117" w:lineRule="exact"/>
        <w:rPr>
          <w:sz w:val="20"/>
          <w:szCs w:val="20"/>
          <w:color w:val="auto"/>
        </w:rPr>
      </w:pPr>
    </w:p>
    <w:p>
      <w:pPr>
        <w:ind w:right="520" w:firstLine="921"/>
        <w:spacing w:after="0" w:line="277" w:lineRule="auto"/>
        <w:tabs>
          <w:tab w:leader="none" w:pos="11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 include one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another.</w:t>
      </w:r>
    </w:p>
    <w:p>
      <w:pPr>
        <w:spacing w:after="0" w:line="210" w:lineRule="exact"/>
        <w:rPr>
          <w:rFonts w:ascii="Arial" w:cs="Arial" w:eastAsia="Arial" w:hAnsi="Arial"/>
          <w:sz w:val="16"/>
          <w:szCs w:val="16"/>
          <w:color w:val="auto"/>
        </w:rPr>
      </w:pPr>
    </w:p>
    <w:p>
      <w:pPr>
        <w:ind w:right="520" w:firstLine="921"/>
        <w:spacing w:after="0" w:line="312" w:lineRule="auto"/>
        <w:tabs>
          <w:tab w:leader="none" w:pos="11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1" w:name="page32"/>
    <w:bookmarkEnd w:id="31"/>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xml:space="preserve">.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Borrower notifies Administrative Agent that Borrower requests an amendment to any provision hereof to eliminate the effect of any change occurring after the Effective Date in GAAP or in the application thereof on the operation of such provision, then</w:t>
      </w:r>
    </w:p>
    <w:p>
      <w:pPr>
        <w:spacing w:after="0" w:line="2" w:lineRule="exact"/>
        <w:rPr>
          <w:sz w:val="20"/>
          <w:szCs w:val="20"/>
          <w:color w:val="auto"/>
        </w:rPr>
      </w:pPr>
    </w:p>
    <w:p>
      <w:pPr>
        <w:ind w:right="180" w:firstLine="8"/>
        <w:spacing w:after="0" w:line="290"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regardless of whether such any such notice is given before or after such change in GAAP or the application thereof, then such provision shall be interpreted on the basis of GAAP as in effect and applied immediately before such change shall have become effective until such notice shall have been withdrawn or such provision amended in accordance herewith and (b) Administrative Agent and Borrower shall negotiate in good faith to determine such adjustments and amendments to the applicable terms and definitions as to make them consistent with the intent hereof, and promptly upon Borrower and Administrative Agent reaching such agreement, Administrative Agent shall notify Lenders of such adjustments and amendments, which shall be conclusive and effective as amendments hereunder, unless Required Lenders object to such adjustments within 30 days of receipt of notice.</w:t>
      </w:r>
    </w:p>
    <w:p>
      <w:pPr>
        <w:spacing w:after="0" w:line="164"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 Without limiting the foregoing, for purposes of determining compliance with any provision of this Agreement and any related definitions, the determination of whether a lease is to be treated as an operating lease or capital lease shall be made without giving effect to any change in GAAP that becomes effective on or after the date hereof that would require operating leases to be treated similarly to capital leases, including as a result of the implementation of proposed ASU Topic 840, or any successor or similar proposal.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 (or any other Financial Accounting Standard having a similar result or effect) to value any Indebtedness or other liabilities of Borrower or any Subsidiary at “fair value”, as defined therein.</w:t>
      </w:r>
    </w:p>
    <w:p>
      <w:pPr>
        <w:spacing w:after="0" w:line="18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 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18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181"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2" w:name="page33"/>
    <w:bookmarkEnd w:id="32"/>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1.07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the purposes of calculating Annualized EBITDA of Borrower and its Restricted Subsidiaries, on a consolidated basis, for any period (a “Test Period”), (i) if at any time from the period commencing on the first day of such Test Period and ending on the last day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Test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Test Period any Person that subsequently became a Restricted Subsidiary or was merged with or into Borrower or any Restricted Subsidiary since the beginning of such Test Period shall have entered into any Material Disposition or Material Acquisition that would have required an adjustment pursuant to clause (i) or (ii) above if made by Borrower or a Restricted Subsidiary during such Test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REVOLVING COMMITMENTS AND EXTENSIONS OF CREDIT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Amount and Terms of Revolving Commitments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55"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this Agreement, during the Revolving Commitment Period, each Lender severally agrees to make, Convert and Continue revolving credit loans (“Revolving Loans”) in Dollars or any Alternative Currency in such amounts as Borrower may from time to time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the Dollar Amount of the Outstanding Revolving Obligations of each Lender shall not exceed such Lender’s Revolving Commitment at any time, (ii) the Dollar Amount of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Borrower may borrow, Convert, Continue, prepay and reborrow Revolving Loans as set forth herein without premium or penalty.</w:t>
      </w:r>
    </w:p>
    <w:p>
      <w:pPr>
        <w:spacing w:after="0" w:line="189" w:lineRule="exact"/>
        <w:rPr>
          <w:rFonts w:ascii="Arial" w:cs="Arial" w:eastAsia="Arial" w:hAnsi="Arial"/>
          <w:sz w:val="18"/>
          <w:szCs w:val="18"/>
          <w:color w:val="auto"/>
        </w:rPr>
      </w:pPr>
    </w:p>
    <w:p>
      <w:pPr>
        <w:ind w:right="60" w:firstLine="921"/>
        <w:spacing w:after="0" w:line="302" w:lineRule="auto"/>
        <w:tabs>
          <w:tab w:leader="none" w:pos="11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any time after the Effective Date, Borrower and any one or more Lenders (including any New Lender) may agree that such Lender or Lenders shall make or increase the amount of their Revolving Commitments by executing and delivering to Administrative Agent an Increased Revolving Commitment Activation Notice specifying the amount of such increase or new Revolving Commitment and the applicable Increased Revolving Commitment Closing Date. Notwithstanding the foregoing, (i) at no time may the combined Revolving Commitments exceed $10,000,000,000, (ii)</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3" w:name="page34"/>
    <w:bookmarkEnd w:id="3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Commitments may not be made or increased after the occurrence of a Default or Event of Default that is continuing, including after giving effect to the incremental Revolving Commitments in question, and (iii) any increase effected pursuant to this Section 2.01(b) shall be in a minimum amount of at least $25,000,000. No Lender shall have any obligation to participate in any increase described in this Section 2.01(b) unless it agrees to do so in its sole discretion.</w:t>
      </w:r>
    </w:p>
    <w:p>
      <w:pPr>
        <w:spacing w:after="0" w:line="187" w:lineRule="exact"/>
        <w:rPr>
          <w:sz w:val="20"/>
          <w:szCs w:val="20"/>
          <w:color w:val="auto"/>
        </w:rPr>
      </w:pPr>
    </w:p>
    <w:p>
      <w:pPr>
        <w:ind w:firstLine="921"/>
        <w:spacing w:after="0" w:line="276" w:lineRule="auto"/>
        <w:tabs>
          <w:tab w:leader="none" w:pos="1158"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additional bank or financial institution (each, a “</w:t>
      </w:r>
      <w:r>
        <w:rPr>
          <w:rFonts w:ascii="Arial" w:cs="Arial" w:eastAsia="Arial" w:hAnsi="Arial"/>
          <w:sz w:val="17"/>
          <w:szCs w:val="17"/>
          <w:u w:val="single" w:color="auto"/>
          <w:color w:val="auto"/>
        </w:rPr>
        <w:t>New Lender</w:t>
      </w:r>
      <w:r>
        <w:rPr>
          <w:rFonts w:ascii="Arial" w:cs="Arial" w:eastAsia="Arial" w:hAnsi="Arial"/>
          <w:sz w:val="17"/>
          <w:szCs w:val="17"/>
          <w:color w:val="auto"/>
        </w:rPr>
        <w:t>”) that, in the case of an institution that is not an Affiliate of a then-existing Lender, with the consent of Administrative Agent and each Issuing Lender (which consent, in each case, shall not be unreasonably withheld), elects to become a “Lender” under this Agreement in connection with an increase described in Section 2.01(b) shall execute a New Lender Supplement (each, a “</w:t>
      </w:r>
      <w:r>
        <w:rPr>
          <w:rFonts w:ascii="Arial" w:cs="Arial" w:eastAsia="Arial" w:hAnsi="Arial"/>
          <w:sz w:val="17"/>
          <w:szCs w:val="17"/>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 Supplement</w:t>
      </w:r>
      <w:r>
        <w:rPr>
          <w:rFonts w:ascii="Arial" w:cs="Arial" w:eastAsia="Arial" w:hAnsi="Arial"/>
          <w:sz w:val="17"/>
          <w:szCs w:val="17"/>
          <w:color w:val="auto"/>
        </w:rPr>
        <w:t>”), substantially in the form of Exhibit E-1, whereupon such bank or financial institution shall become a Lender for all purposes and to the same extent as if originally a party hereto and shall be bound by and entitled to the benefits of this Agreement.</w:t>
      </w:r>
    </w:p>
    <w:p>
      <w:pPr>
        <w:spacing w:after="0" w:line="172" w:lineRule="exact"/>
        <w:rPr>
          <w:rFonts w:ascii="Arial" w:cs="Arial" w:eastAsia="Arial" w:hAnsi="Arial"/>
          <w:sz w:val="17"/>
          <w:szCs w:val="17"/>
          <w:color w:val="auto"/>
        </w:rPr>
      </w:pPr>
    </w:p>
    <w:p>
      <w:pPr>
        <w:ind w:right="100" w:firstLine="921"/>
        <w:spacing w:after="0" w:line="257"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each Increased Revolving Commitment Closing Date on which there are Revolving Loans outstanding, each Lender (including any New Lender) that has made or increased its Revolving Commitment shall make a Revolving Loan, the proceeds of which will be used to prepay the Revolving Loans of other Lenders, so that, after giving effect thereto, the resulting Revolving Loans outstanding are allocated among the Lenders on a pro rata basis based on the respective Revolving Percentages of the Lenders after giving effect to the increase of Revolving Commitments pursuant to Section 2.01(b) on such Increased Revolving Commitment Closing Date.</w:t>
      </w:r>
    </w:p>
    <w:p>
      <w:pPr>
        <w:spacing w:after="0" w:line="188" w:lineRule="exact"/>
        <w:rPr>
          <w:rFonts w:ascii="Arial" w:cs="Arial" w:eastAsia="Arial" w:hAnsi="Arial"/>
          <w:sz w:val="18"/>
          <w:szCs w:val="18"/>
          <w:color w:val="auto"/>
        </w:rPr>
      </w:pPr>
    </w:p>
    <w:p>
      <w:pPr>
        <w:ind w:right="360" w:firstLine="921"/>
        <w:spacing w:after="0" w:line="288" w:lineRule="auto"/>
        <w:tabs>
          <w:tab w:leader="none" w:pos="1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Borrower shall repay (i) all outstanding Revolving Loans made to it and all amounts funded by the Lenders as cash collateral pursuant to Section 2.03(d) on the Revolving Termination Date, the Extended Revolving Termination Date or the Second Extended Revolving Termination Date, as applicable, and (ii) the then unpaid principal amount of each Competitive Loan made to it on the last day of the Interest Period applicable to such Loan.</w:t>
      </w:r>
    </w:p>
    <w:p>
      <w:pPr>
        <w:ind w:right="6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Borrower may request that the Revolving Commitments and Letter of Credit Commitments be extended for additional one-year periods by providing written notice to Administrative Agent (“Notice Date”) not more than two times prior to the Revolving Termination Date or the Extended Revolving Termination Date, as applicable. If a Lender or a New Lender agrees, in its individual and sole discretion, to extend its Revolving Commitments and/or Letter of Credit Commitments (such Lender or New Lender, an “Extending Lender” or “New Extending Lender”, as the case may be), it will notify Administrative Agent in writing of its decision to do so and the maximum amount of Revolving Commitments and, if applicable, Letter of Credit Commitments it agrees to so extend no later than 30 days after the applicable Notice Date, which notice shall be irrevocable. Administrative Agent will notify Borrower, in writing, of the Lenders’ decisions no later than 35 days after the applicable Notice Date (“Extension Effectiveness Date”). As of the Extension Effectiveness Date, the Extending Lenders’ and the New Extending Lenders’ Revolving Commitments and Letter of Credit Commitments will be extended for an additional year from the Revolving Termination Date (the “Extended Revolving Termination Date”) or the Extended Revolving Termination Date (the “Second Extended Revolving Termination Date”),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more than 50% of the aggregate Revolving Commitments outstanding on the applicable Extension Effectiveness Date are extended or otherwise committed to by Extending Lenders and any New Extending Lenders (ii) no Default or Event of Default shall have occurred and be continuing on the applicable Extension Effectiveness Date after giving effect to the requested extension and (iii) the remaining tenor of Revolving Commitments of any Extending Lender and any New Extending Lender shall not exceed five years from the applicable Extension Effectiveness Date after giving effect to the requested extension. No Lender shall be required to consent to any such extension request, and any Lender that declines or does not respond in writing to Borrower’s request for commitment renewal (a “</w:t>
      </w:r>
      <w:r>
        <w:rPr>
          <w:rFonts w:ascii="Arial" w:cs="Arial" w:eastAsia="Arial" w:hAnsi="Arial"/>
          <w:sz w:val="16"/>
          <w:szCs w:val="16"/>
          <w:u w:val="single" w:color="auto"/>
          <w:color w:val="auto"/>
        </w:rPr>
        <w:t>Declining Lender</w:t>
      </w:r>
      <w:r>
        <w:rPr>
          <w:rFonts w:ascii="Arial" w:cs="Arial" w:eastAsia="Arial" w:hAnsi="Arial"/>
          <w:sz w:val="16"/>
          <w:szCs w:val="16"/>
          <w:color w:val="auto"/>
        </w:rPr>
        <w:t>”) will have its Revolving Commitments and Letter of Credit Commitment terminated on the then-existing Revolving Termination</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4" w:name="page35"/>
    <w:bookmarkEnd w:id="34"/>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or Extended Revolving Termination Date, as applicable (without regard to any renewals by other Lenders). Borrower will have the right to remove or replace any Declining Lenders in accordance with Section 10.21.</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Procedure for Revolving Loan Borrowings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7"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Borrower may irrevocably request a Borrowing of Revolving Loans on any Business Day in a Minimum Amount therefor by delivering a Request for Extension of Credit therefor by Requisite Notice to Administrative Agent not later than the Requisite Time therefor. All Borrowings denominated in Dollars shall constitute Base Rate Loans unless properly and timely otherwise designated as set forth in the prior sentence. All Borrowings denominated in any Alternative Currency shall constitute Eurodollar Base Rate Loans. Each Competitive Loan shall be made in accordance with the procedures set forth in Section 2.04.</w:t>
      </w:r>
    </w:p>
    <w:p>
      <w:pPr>
        <w:spacing w:after="0" w:line="188" w:lineRule="exact"/>
        <w:rPr>
          <w:rFonts w:ascii="Arial" w:cs="Arial" w:eastAsia="Arial" w:hAnsi="Arial"/>
          <w:sz w:val="18"/>
          <w:szCs w:val="18"/>
          <w:color w:val="auto"/>
        </w:rPr>
      </w:pPr>
    </w:p>
    <w:p>
      <w:pPr>
        <w:ind w:firstLine="921"/>
        <w:spacing w:after="0" w:line="25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Following receipt of a Request for Extension of Credit, Administrative Agent shall promptly notify each Lender by Requisite Notice of its Revolving Percentage thereof. Each Lender (subject to clause (d) below) shall make the funds for its Revolving Loan available to Administrative Agent in the requested currency at Administrative Agent’s Office not later than the Requisite Time therefor on the Business Day specified in such Request for Extension of Credit. Upon satisfaction of the applicable conditions set forth in Section 4.02, all funds so received shall be made available to Borrower in like funds received.</w:t>
      </w:r>
    </w:p>
    <w:p>
      <w:pPr>
        <w:spacing w:after="0" w:line="188" w:lineRule="exact"/>
        <w:rPr>
          <w:rFonts w:ascii="Arial" w:cs="Arial" w:eastAsia="Arial" w:hAnsi="Arial"/>
          <w:sz w:val="18"/>
          <w:szCs w:val="18"/>
          <w:color w:val="auto"/>
        </w:rPr>
      </w:pPr>
    </w:p>
    <w:p>
      <w:pPr>
        <w:jc w:val="both"/>
        <w:ind w:right="20" w:firstLine="921"/>
        <w:spacing w:after="0" w:line="259"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 Borrower shall have the right to replace any Lender which fails to make a Revolving Loan when obligated to do so in accordance with Section 10.21.</w:t>
      </w:r>
    </w:p>
    <w:p>
      <w:pPr>
        <w:spacing w:after="0" w:line="186" w:lineRule="exact"/>
        <w:rPr>
          <w:rFonts w:ascii="Arial" w:cs="Arial" w:eastAsia="Arial" w:hAnsi="Arial"/>
          <w:sz w:val="18"/>
          <w:szCs w:val="18"/>
          <w:color w:val="auto"/>
        </w:rPr>
      </w:pPr>
    </w:p>
    <w:p>
      <w:pPr>
        <w:jc w:val="both"/>
        <w:ind w:right="120" w:firstLine="921"/>
        <w:spacing w:after="0" w:line="279" w:lineRule="auto"/>
        <w:tabs>
          <w:tab w:leader="none" w:pos="11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Each Lender may, at its option, make any Loan available to Borrower by causing any foreign or domestic branch or Affiliate of such Lender to make such Loan; provided that any exercise of such option shall not affect the obligation of Borrower to repay such Loan in accordance with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0" w:lineRule="auto"/>
        <w:tabs>
          <w:tab w:leader="none" w:pos="11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in this Agreement, during the period from and including the Effective Date to, but not including the Letter of Credit Expiration Date, each Issuing Lender shall take such Letter of Credit Actions denominated in Dollars or any Alternative Currency as Borrower may from time to time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Outstanding Revolving Obligations of each Lender shall not exceed such Lender’s Revolving Commitment at any time, (ii) the Outstanding Revolving Obligations of all Lenders plus the aggregate principal amount of all outstanding Competitive Loans shall not exceed the combined Revolving Commitments at any time, (iii) the Letter of Credit Usage shall not exceed the Letter of Credit Sublimit at any time and (iv) the Letter of Credit Usage in respect of Letters of Credit issued by each Issuing Lender shall not exceed the Letter of Credit Commitment of such Issuing Lender at any time. All Existing Letters of Credit shall be deemed to be Letters of Credit issued hereunder on the Effective Date for the account of Borrower, and the participations therein created pursuant to the Existing Credit Agreement shall be superseded by participations created by Section 2.03(b) hereof. Subject to subsection (f) below and unless consented to by the applicable Issuing Lender and Administrative Agent, and except for any Existing Letter of Credit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5" w:name="page36"/>
    <w:bookmarkEnd w:id="3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which expires more than 12 months after the date of its issuance or last renewal, no Letter of Credit may expire more than 12 months after the date of its issuance or last renewal;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subject to clause (y), no Letter of Credit shall expire after the Business Day which is at least five days prior to the Revolving Termination Date (as it may be extended) and (y) a Letter of Credit may expire up to the date that is one year after the Revolving Termination Date (as it may be extended) with the consent of the Issuing Lender in respect thereof (which consent shall not be unreasonably withheld) so long as Borrower shall, at least 15 days prior to the Revolving Termination Date (as it may be extended) (or for any Letters of Credit issued after such date, the date of issuance) deposit cash in the Dollar Amount equal to the Letter of Credit Usage applicable to it in a Letter of Credit Cash Collateral Account. In the event that any Lender’s Commitment terminates prior to an extended Revolving Termination Date as contemplated by Section 2.01(e),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if and to the extent necessary to permit such redetermination of participations in Letters of Credit within the limits of the Commitments which are not terminated, prepay on such date all or a portion of the outstanding Revolving Loans, and such redetermination and termination of participations in outstanding Letters of Credit shall be conditioned upon their having done so. If any Letter of Credit Usage remains or is expected to remain outstanding on the Revolving Termination Date (as it may be extended), Borrower shall, at least 15 days prior to the Revolving Termination Date (as it may be extended), deposit cash in an amount equal to the Letter of Credit Usage applicable to it in a Letter of Credit Cash Collateral Account.</w:t>
      </w:r>
    </w:p>
    <w:p>
      <w:pPr>
        <w:spacing w:after="0" w:line="172" w:lineRule="exact"/>
        <w:rPr>
          <w:sz w:val="20"/>
          <w:szCs w:val="20"/>
          <w:color w:val="auto"/>
        </w:rPr>
      </w:pPr>
    </w:p>
    <w:p>
      <w:pPr>
        <w:ind w:right="200" w:firstLine="921"/>
        <w:spacing w:after="0" w:line="286" w:lineRule="auto"/>
        <w:tabs>
          <w:tab w:leader="none" w:pos="11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Borrower may irrevocably request a Letter of Credit Action in a Minimum Amount therefor (or, if such Letter of Credit Action is in respect of a Letter of Credit denominated in an Alternative Currency, a Dollar Amount which is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4.02(b) and (c) are applicable to such Letter of Credit Action, constitute a representation and warranty by Borrower that the conditions set forth in Sections</w:t>
      </w:r>
    </w:p>
    <w:p>
      <w:pPr>
        <w:spacing w:after="0" w:line="32"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4.02(b) and (c)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Dollar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 Notwithstanding anything herein to the contrary, Morgan Stanley Bank, N.A. as an Issuing Lender, shall only be obligated to issue standby Letters of Credit, and shall only be obligated to do so upon at least 3 Business Days’ prior written notice (or such shorter period of time as Morgan Stanley Bank, N.A. shall approve in its sole discretion).</w:t>
      </w:r>
    </w:p>
    <w:p>
      <w:pPr>
        <w:spacing w:after="0" w:line="170" w:lineRule="exact"/>
        <w:rPr>
          <w:rFonts w:ascii="Arial" w:cs="Arial" w:eastAsia="Arial" w:hAnsi="Arial"/>
          <w:sz w:val="16"/>
          <w:szCs w:val="16"/>
          <w:color w:val="auto"/>
        </w:rPr>
      </w:pPr>
    </w:p>
    <w:p>
      <w:pPr>
        <w:jc w:val="both"/>
        <w:ind w:right="100" w:firstLine="921"/>
        <w:spacing w:after="0" w:line="259" w:lineRule="auto"/>
        <w:tabs>
          <w:tab w:leader="none" w:pos="11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Borrower shall reimburse each Issuing Lender through Administrative Agent for any payment that such Issuing Lender makes under a Letter of Credit within one Business Day following demand by Administrative Agent or such Issuing Lender in Dollars or in the applicable Alternative Currency in which such payment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conditions precedent set forth in Section 4.02 can be satisfied (except for the giving of a Request for Extension of Credit), Borrower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6" w:name="page37"/>
    <w:bookmarkEnd w:id="3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request a Borrowing of Base Rate Loans in the Dollar Amount necessary to reimburse such Issuing Lender for such payment pursuant to Section 2.02 (without regard to the Minimum Amount requirements thereof). If Borrower’s reimbursement of, or obligation to reimburse, any amounts in any Alternative Currency would subject Administrative Agent, the applicable Issuing Lender or any Lender to any stamp duty, ad valorem charge or similar tax that would not be payable if such reimbursement were made or required to be made in Dollars, Borrower shall pay the amount of any such tax requested by Administrative Agent, the relevant Issuing Lender or Lender. If Borrower fails to make such payment when due, then if such payment relates to a Letter of Credit denominated in an Alternative Currency, automatically and with no further action required, Borrower’s obligation to reimburse the applicable payment by the applicable Issuing Lender shall be permanently converted into an obligation to reimburse the Dollar Amount of such payment.</w:t>
      </w:r>
    </w:p>
    <w:p>
      <w:pPr>
        <w:spacing w:after="0" w:line="167" w:lineRule="exact"/>
        <w:rPr>
          <w:sz w:val="20"/>
          <w:szCs w:val="20"/>
          <w:color w:val="auto"/>
        </w:rPr>
      </w:pPr>
    </w:p>
    <w:p>
      <w:pPr>
        <w:ind w:firstLine="921"/>
        <w:spacing w:after="0" w:line="268" w:lineRule="auto"/>
        <w:tabs>
          <w:tab w:leader="none" w:pos="1168"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Upon any drawing under a Letter of Credit, the applicable Issuing Lender shall notify Administrative Agent and Borrower. If Borrower fails to timely make the payment required pursuant to subsection (c) above or to provide cash collateral as required in subsection (a) above, such Issuing Lender shall notify Administrative Agent of such fact and the Dollar Amount of such unreimbursed payment or required cash collateral, as applicable. Administrative Agent shall promptly notify each Lender of its Revolving Percentage of such Dollar Amount by Requisite Notice. Each Lender shall make funds in an amount equal to its Revolving Percentage of such Dollar Amount available to Administrative Agent at Administrative Agent’s Office not later than the Requisite Time therefor on the Business Day specified by Administrative Agent. Administrative Agent shall remit the funds so received to such Issuing Lender in the case of reimbursement of a Letter of Credit drawing or to Administrative Agent for deposit in a Letter of Credit Cash Collateral Account, as applicable. The obligation of each Lender to so reimburse such Issuing Lender and fund such Letter of Credit Cash Collateral Account shall be absolute and unconditional and shall not be affected by the occurrence of a Default or Event of Default or any other occurrence or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Borrower to reimburse each Issuing Lender for the amount of any payment made by such Issuing Lender under any Letter of Credit, together with interest as provided herein, or to provide cash collateral.</w:t>
      </w:r>
    </w:p>
    <w:p>
      <w:pPr>
        <w:spacing w:after="0" w:line="187" w:lineRule="exact"/>
        <w:rPr>
          <w:rFonts w:ascii="Arial" w:cs="Arial" w:eastAsia="Arial" w:hAnsi="Arial"/>
          <w:sz w:val="17"/>
          <w:szCs w:val="17"/>
          <w:color w:val="auto"/>
        </w:rPr>
      </w:pPr>
    </w:p>
    <w:p>
      <w:pPr>
        <w:ind w:right="20" w:firstLine="921"/>
        <w:spacing w:after="0" w:line="291" w:lineRule="auto"/>
        <w:tabs>
          <w:tab w:leader="none" w:pos="1158"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 conditions precedent set forth in Section 4.02 can be satisfied (except for the giving of a Request for Extension of Credit) on any date Borrower is obligated to, but fails to, reimburse an Issuing Lender for a drawing under a Letter of Credit or to provide cash collateral as required in subsection</w:t>
      </w:r>
    </w:p>
    <w:p>
      <w:pPr>
        <w:ind w:right="60" w:firstLine="8"/>
        <w:spacing w:after="0" w:line="287"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above, the funding by Lenders pursuant to subsection (d) above shall be deemed to be a Borrowing of Base Rate Loans (without regard to the Minimum Amount therefor). If the conditions precedent set forth in Section 4.02 (except for the giving of a Request for Extension of Credit) cannot be satisfied on the date Borrower is obligated to, but fails to, reimburse an Issuing Lender for a drawing under a Letter of Credit or to provide cash collateral in respect of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Borrower in respect of such payment or obligation to provide cash collateral and shall share, in accordance with that pro rata participation, in any payment made by Borrower with respect to such claim. Any amounts made available by a Lender under its participation shall be payable by Borrower upon demand of Administrative Agent (or, if earlier, on the Revolving Termination Date, the Extended Revolving Termination Date or the Second Extended Revolving Termination Date, as applicable), and shall bear interest at a rate per annum equal to the Default Rate.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7" w:name="page38"/>
    <w:bookmarkEnd w:id="37"/>
    <w:p>
      <w:pPr>
        <w:ind w:left="-20" w:right="20" w:firstLine="921"/>
        <w:spacing w:after="0" w:line="270" w:lineRule="auto"/>
        <w:tabs>
          <w:tab w:leader="none" w:pos="1118"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Borrower, Administrative Agent and Lenders shall be deemed to have authorized (but may not require) such Issuing Lender to permit the renewal of such evergreen Letter of Credit at any time to a date not later than five Business Days prior to the Revolving Termination Date (as it may be extended) or such later date as may be permitted pursuant to clause (y) of the second proviso of Section 2.03(a).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81" w:lineRule="exact"/>
        <w:rPr>
          <w:rFonts w:ascii="Arial" w:cs="Arial" w:eastAsia="Arial" w:hAnsi="Arial"/>
          <w:sz w:val="17"/>
          <w:szCs w:val="17"/>
          <w:color w:val="auto"/>
        </w:rPr>
      </w:pPr>
    </w:p>
    <w:p>
      <w:pPr>
        <w:ind w:left="-20" w:right="160" w:firstLine="921"/>
        <w:spacing w:after="0" w:line="264" w:lineRule="auto"/>
        <w:tabs>
          <w:tab w:leader="none" w:pos="11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of Borrower to pay to each Issuing Lender the amount of any payment made by such Issuing Lender under any Letter of Credit shall be absolute, unconditional, and irrevocable. Without limiting the foregoing, Borrower’s obligations shall not be affected by any of the following circumstances:</w:t>
      </w:r>
    </w:p>
    <w:p>
      <w:pPr>
        <w:spacing w:after="0" w:line="73" w:lineRule="exact"/>
        <w:rPr>
          <w:rFonts w:ascii="Arial" w:cs="Arial" w:eastAsia="Arial" w:hAnsi="Arial"/>
          <w:sz w:val="18"/>
          <w:szCs w:val="18"/>
          <w:color w:val="auto"/>
        </w:rPr>
      </w:pPr>
    </w:p>
    <w:p>
      <w:pPr>
        <w:ind w:left="1540" w:hanging="219"/>
        <w:spacing w:after="0"/>
        <w:tabs>
          <w:tab w:leader="none" w:pos="15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agreement or instrument relating thereto;</w:t>
      </w:r>
    </w:p>
    <w:p>
      <w:pPr>
        <w:spacing w:after="0" w:line="128" w:lineRule="exact"/>
        <w:rPr>
          <w:rFonts w:ascii="Arial" w:cs="Arial" w:eastAsia="Arial" w:hAnsi="Arial"/>
          <w:sz w:val="17"/>
          <w:szCs w:val="17"/>
          <w:color w:val="auto"/>
        </w:rPr>
      </w:pPr>
    </w:p>
    <w:p>
      <w:pPr>
        <w:ind w:left="900" w:right="660" w:firstLine="421"/>
        <w:spacing w:after="0" w:line="277" w:lineRule="auto"/>
        <w:tabs>
          <w:tab w:leader="none" w:pos="158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62" w:lineRule="exact"/>
        <w:rPr>
          <w:rFonts w:ascii="Arial" w:cs="Arial" w:eastAsia="Arial" w:hAnsi="Arial"/>
          <w:sz w:val="18"/>
          <w:szCs w:val="18"/>
          <w:color w:val="auto"/>
        </w:rPr>
      </w:pPr>
    </w:p>
    <w:p>
      <w:pPr>
        <w:ind w:left="900" w:right="180" w:firstLine="421"/>
        <w:spacing w:after="0" w:line="259" w:lineRule="auto"/>
        <w:tabs>
          <w:tab w:leader="none" w:pos="163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78" w:lineRule="exact"/>
        <w:rPr>
          <w:rFonts w:ascii="Arial" w:cs="Arial" w:eastAsia="Arial" w:hAnsi="Arial"/>
          <w:sz w:val="18"/>
          <w:szCs w:val="18"/>
          <w:color w:val="auto"/>
        </w:rPr>
      </w:pPr>
    </w:p>
    <w:p>
      <w:pPr>
        <w:ind w:left="900" w:right="120" w:firstLine="421"/>
        <w:spacing w:after="0" w:line="264" w:lineRule="auto"/>
        <w:tabs>
          <w:tab w:leader="none" w:pos="16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73" w:lineRule="exact"/>
        <w:rPr>
          <w:rFonts w:ascii="Arial" w:cs="Arial" w:eastAsia="Arial" w:hAnsi="Arial"/>
          <w:sz w:val="18"/>
          <w:szCs w:val="18"/>
          <w:color w:val="auto"/>
        </w:rPr>
      </w:pPr>
    </w:p>
    <w:p>
      <w:pPr>
        <w:ind w:left="900" w:firstLine="421"/>
        <w:spacing w:after="0" w:line="257" w:lineRule="auto"/>
        <w:tabs>
          <w:tab w:leader="none" w:pos="15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80" w:lineRule="exact"/>
        <w:rPr>
          <w:rFonts w:ascii="Arial" w:cs="Arial" w:eastAsia="Arial" w:hAnsi="Arial"/>
          <w:sz w:val="18"/>
          <w:szCs w:val="18"/>
          <w:color w:val="auto"/>
        </w:rPr>
      </w:pPr>
    </w:p>
    <w:p>
      <w:pPr>
        <w:ind w:left="900" w:right="500" w:firstLine="421"/>
        <w:spacing w:after="0" w:line="277" w:lineRule="auto"/>
        <w:tabs>
          <w:tab w:leader="none" w:pos="162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such Letter of Credit not caused by such Issuing Lender, or any delay or interruption in any such message;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274" w:right="239" w:bottom="1440" w:gutter="0" w:footer="0" w:header="0"/>
        </w:sectPr>
      </w:pPr>
    </w:p>
    <w:bookmarkStart w:id="38" w:name="page39"/>
    <w:bookmarkEnd w:id="38"/>
    <w:p>
      <w:pPr>
        <w:ind w:left="1700" w:hanging="359"/>
        <w:spacing w:after="0"/>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error, neglect or default of any correspondent of such Issuing Lender in connection with such Letter of Credit;</w:t>
      </w:r>
    </w:p>
    <w:p>
      <w:pPr>
        <w:spacing w:after="0" w:line="117" w:lineRule="exact"/>
        <w:rPr>
          <w:rFonts w:ascii="Arial" w:cs="Arial" w:eastAsia="Arial" w:hAnsi="Arial"/>
          <w:sz w:val="18"/>
          <w:szCs w:val="18"/>
          <w:color w:val="auto"/>
        </w:rPr>
      </w:pPr>
    </w:p>
    <w:p>
      <w:pPr>
        <w:ind w:left="920" w:right="300" w:firstLine="421"/>
        <w:spacing w:after="0" w:line="277" w:lineRule="auto"/>
        <w:tabs>
          <w:tab w:leader="none" w:pos="17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consequence arising from acts of God, wars, insurrections, civil unrest, disturbances, labor disputes, emergency conditions or other causes beyond the control of such Issuing Lender;</w:t>
      </w:r>
    </w:p>
    <w:p>
      <w:pPr>
        <w:spacing w:after="0" w:line="62" w:lineRule="exact"/>
        <w:rPr>
          <w:rFonts w:ascii="Arial" w:cs="Arial" w:eastAsia="Arial" w:hAnsi="Arial"/>
          <w:sz w:val="18"/>
          <w:szCs w:val="18"/>
          <w:color w:val="auto"/>
        </w:rPr>
      </w:pPr>
    </w:p>
    <w:p>
      <w:pPr>
        <w:ind w:left="920" w:right="180" w:firstLine="421"/>
        <w:spacing w:after="0" w:line="264" w:lineRule="auto"/>
        <w:tabs>
          <w:tab w:leader="none" w:pos="16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circumstances whatsoever where such Issuing Lender has acted in good faith.</w:t>
      </w:r>
    </w:p>
    <w:p>
      <w:pPr>
        <w:spacing w:after="0" w:line="225"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In addition, Borrower will promptly examine a copy of each Letter of Credit and amendments thereto delivered to it and, in the event of any claim of noncompliance with Borrower’s instructions or other irregularity, Borrower will immediately notify the applicable Issuing Lender in writing. Borrower shall be conclusively deemed to have waived any such claim against such Issuing Lender and its correspondents unless such notice is given as aforesaid.</w:t>
      </w:r>
    </w:p>
    <w:p>
      <w:pPr>
        <w:spacing w:after="0" w:line="187" w:lineRule="exact"/>
        <w:rPr>
          <w:sz w:val="20"/>
          <w:szCs w:val="20"/>
          <w:color w:val="auto"/>
        </w:rPr>
      </w:pPr>
    </w:p>
    <w:p>
      <w:pPr>
        <w:ind w:firstLine="921"/>
        <w:spacing w:after="0" w:line="268" w:lineRule="auto"/>
        <w:tabs>
          <w:tab w:leader="none" w:pos="11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Each Lender and 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Borrower hereby assumes all risks of the acts or omissions of any beneficiary or transferee relative to any Issuing Lender, any Lender or any Administrative Agent-Related Person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assumption is not intended to, and shall not, preclude 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 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3" w:lineRule="exact"/>
        <w:rPr>
          <w:rFonts w:ascii="Arial" w:cs="Arial" w:eastAsia="Arial" w:hAnsi="Arial"/>
          <w:sz w:val="17"/>
          <w:szCs w:val="17"/>
          <w:color w:val="auto"/>
        </w:rPr>
      </w:pPr>
    </w:p>
    <w:p>
      <w:pPr>
        <w:ind w:right="160" w:firstLine="921"/>
        <w:spacing w:after="0" w:line="302" w:lineRule="auto"/>
        <w:tabs>
          <w:tab w:leader="none" w:pos="11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Unless otherwise expressly agreed by the applicable Issuing Lender and 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9" w:name="page40"/>
    <w:bookmarkEnd w:id="39"/>
    <w:p>
      <w:pPr>
        <w:ind w:right="80" w:firstLine="921"/>
        <w:spacing w:after="0" w:line="293" w:lineRule="auto"/>
        <w:tabs>
          <w:tab w:leader="none" w:pos="1128"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shall pay to Administrative Agent on each Applicable Payment Date in arrears, for the account of each Lender in accordance with its Revolving Percentage, a Letter of Credit fee in Dollars at a rate equal to the Applicable Amount times the actual daily maximum Dollar Amount available to be drawn under each Letter of Credit requested by 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Dollar Amount shall be computed and multiplied by the Applicable Amount separately for each period during such quarter that such Applicable Amount was in effect.</w:t>
      </w:r>
    </w:p>
    <w:p>
      <w:pPr>
        <w:spacing w:after="0" w:line="164" w:lineRule="exact"/>
        <w:rPr>
          <w:rFonts w:ascii="Arial" w:cs="Arial" w:eastAsia="Arial" w:hAnsi="Arial"/>
          <w:sz w:val="16"/>
          <w:szCs w:val="16"/>
          <w:color w:val="auto"/>
        </w:rPr>
      </w:pPr>
    </w:p>
    <w:p>
      <w:pPr>
        <w:ind w:right="20" w:firstLine="921"/>
        <w:spacing w:after="0" w:line="257"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Borrower shall pay directly to each Issuing Lender, for its sole account, a fronting fee for each Letter of Credit requested by Borrower in such amount and at such times as may be set forth in a separate letter agreement between Borrower and such Issuing Lender. In addition, 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Borrower for which such charges are customarily made. Such fees and charges are nonrefundable.</w:t>
      </w:r>
    </w:p>
    <w:p>
      <w:pPr>
        <w:spacing w:after="0" w:line="188" w:lineRule="exact"/>
        <w:rPr>
          <w:rFonts w:ascii="Arial" w:cs="Arial" w:eastAsia="Arial" w:hAnsi="Arial"/>
          <w:sz w:val="18"/>
          <w:szCs w:val="18"/>
          <w:color w:val="auto"/>
        </w:rPr>
      </w:pPr>
    </w:p>
    <w:p>
      <w:pPr>
        <w:ind w:right="260" w:firstLine="921"/>
        <w:spacing w:after="0" w:line="259" w:lineRule="auto"/>
        <w:tabs>
          <w:tab w:leader="none" w:pos="11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86" w:lineRule="exact"/>
        <w:rPr>
          <w:rFonts w:ascii="Arial" w:cs="Arial" w:eastAsia="Arial" w:hAnsi="Arial"/>
          <w:sz w:val="18"/>
          <w:szCs w:val="18"/>
          <w:color w:val="auto"/>
        </w:rPr>
      </w:pPr>
    </w:p>
    <w:p>
      <w:pPr>
        <w:ind w:firstLine="921"/>
        <w:spacing w:after="0" w:line="279" w:lineRule="auto"/>
        <w:tabs>
          <w:tab w:leader="none" w:pos="121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Each Issuing Lender may, at its option, issue any Letter of Credit and make any funds available in connection with any Letter of Credit by causing any foreign or domestic branch or Affiliate of such Issuing Lender to take such action; provided that any exercise of such option shall not affect any obligation of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Borrower shall not be required to pay a greater amount under the increased costs provisions (including yield protection and taxes) of Section 3 hereof than it would have paid in the absence of the exercise of such option.</w:t>
      </w:r>
    </w:p>
    <w:p>
      <w:pPr>
        <w:spacing w:after="0" w:line="17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u w:val="single" w:color="auto"/>
          <w:color w:val="auto"/>
        </w:rPr>
        <w:t>Competitive Bid Procedure</w:t>
      </w:r>
      <w:r>
        <w:rPr>
          <w:rFonts w:ascii="Arial" w:cs="Arial" w:eastAsia="Arial" w:hAnsi="Arial"/>
          <w:sz w:val="17"/>
          <w:szCs w:val="17"/>
          <w:color w:val="auto"/>
        </w:rPr>
        <w:t xml:space="preserve">. (a) Subject to the terms and conditions set forth herein, during the period from and including the Effective Date to, but not including, the Revolving Termination Date (as it may be extended), Borrower may request Competitive Bids and may (but shall not have any obligation to) accept Competitive Bids and borrow Competitive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Outstanding Revolving Obligations of all Lenders plus the aggregate principal amount of outstanding Competitive Loans at any time shall not exceed the combined Revolving Commitments. To request Competitive Bids, Borrower shall notify Administrative Agent of such request by telephone not later than the Requisite Time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 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70" w:lineRule="exact"/>
        <w:rPr>
          <w:sz w:val="20"/>
          <w:szCs w:val="20"/>
          <w:color w:val="auto"/>
        </w:rPr>
      </w:pPr>
    </w:p>
    <w:p>
      <w:pPr>
        <w:ind w:left="1560" w:hanging="219"/>
        <w:spacing w:after="0"/>
        <w:tabs>
          <w:tab w:leader="none" w:pos="1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0" w:name="page41"/>
    <w:bookmarkEnd w:id="40"/>
    <w:p>
      <w:pPr>
        <w:ind w:left="920" w:right="240" w:firstLine="421"/>
        <w:spacing w:after="0" w:line="308" w:lineRule="auto"/>
        <w:tabs>
          <w:tab w:leader="none" w:pos="1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such Borrowing is to be a Borrowing of Eurodollar Rate Loans or of Fixed Rate Loans (it being understood and agreed that each Borrowing of Competitive Loans shall be comprised entirely of Eurodollar Rate Loans or Fixed Rate Loans); and</w:t>
      </w:r>
    </w:p>
    <w:p>
      <w:pPr>
        <w:spacing w:after="0" w:line="38" w:lineRule="exact"/>
        <w:rPr>
          <w:rFonts w:ascii="Arial" w:cs="Arial" w:eastAsia="Arial" w:hAnsi="Arial"/>
          <w:sz w:val="17"/>
          <w:szCs w:val="17"/>
          <w:color w:val="auto"/>
        </w:rPr>
      </w:pPr>
    </w:p>
    <w:p>
      <w:pPr>
        <w:ind w:left="1640" w:hanging="299"/>
        <w:spacing w:after="0"/>
        <w:tabs>
          <w:tab w:leader="none" w:pos="1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Interest Period to be applicable to such Borrowing, which shall be a period contemplated by the definition of the term “Interest</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170" w:lineRule="exact"/>
        <w:rPr>
          <w:sz w:val="20"/>
          <w:szCs w:val="20"/>
          <w:color w:val="auto"/>
        </w:rPr>
      </w:pPr>
    </w:p>
    <w:p>
      <w:pPr>
        <w:ind w:firstLine="921"/>
        <w:spacing w:after="0" w:line="270" w:lineRule="auto"/>
        <w:tabs>
          <w:tab w:leader="none" w:pos="11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Lender may (but shall not have any obligation to) make one or more Competitive Bids to Borrower in response to a Competitive Bid Request. Each Competitive Bid by a Lender must be in a form approved by Administrative Agent and must be received by Administrative Agent by telecopy, in the case of a Competitive Borrowing of Eurodollar Rate Loans, not later than 9:30 a.m., New York City time, three Business Days before the proposed date of such Competitive Borrowing, and in the case of a Borrowing of Fixed Rate Loans,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177" w:lineRule="exact"/>
        <w:rPr>
          <w:rFonts w:ascii="Arial" w:cs="Arial" w:eastAsia="Arial" w:hAnsi="Arial"/>
          <w:sz w:val="17"/>
          <w:szCs w:val="17"/>
          <w:color w:val="auto"/>
        </w:rPr>
      </w:pPr>
    </w:p>
    <w:p>
      <w:pPr>
        <w:ind w:right="320" w:firstLine="921"/>
        <w:spacing w:after="0" w:line="277" w:lineRule="auto"/>
        <w:tabs>
          <w:tab w:leader="none" w:pos="11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Administrative Agent shall promptly notify Borrower by telecopy of the Competitive Bid Rate and the principal amount specified in each Competitive Bid and the identity of the Lender that shall have made such Competitive Bid.</w:t>
      </w:r>
    </w:p>
    <w:p>
      <w:pPr>
        <w:spacing w:after="0" w:line="170" w:lineRule="exact"/>
        <w:rPr>
          <w:rFonts w:ascii="Arial" w:cs="Arial" w:eastAsia="Arial" w:hAnsi="Arial"/>
          <w:sz w:val="18"/>
          <w:szCs w:val="18"/>
          <w:color w:val="auto"/>
        </w:rPr>
      </w:pPr>
    </w:p>
    <w:p>
      <w:pPr>
        <w:ind w:right="40" w:firstLine="921"/>
        <w:spacing w:after="0" w:line="268" w:lineRule="auto"/>
        <w:tabs>
          <w:tab w:leader="none" w:pos="11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Subject only to the provisions of this paragraph, Borrower may accept or reject any Competitive Bid. Borrower shall notify Administrative Agent by telephone, confirmed by telecopy in a form approved by Administrative Agent, whether and to what extent it has decided to accept or reject each Competitive Bid, in the case of a Competitive Borrowing of Eurodollar Rate Loans, not later than 10:30 a.m., New York City time, three Business Days before the date of the proposed Competitive Borrowing, and in the case of a Borrowing of Fixed Rate Loans, not later than 10:30 a.m., New York City time, on the proposed date of the Competitive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failure of Borrower to give such notice shall be deemed to be a rejection of each Competitive Bid, (ii) Borrower shall not accept a Competitive Bid made at a particular Competitive Bid Rate if Borrower rejects a Competitive Bid made at a lower Competitive Bid Rate with respect to the same Competitive Bid Request, (iii) the aggregate amount of the Competitive Bids accepted by Borrower shall not exceed the aggregate amount of the requested Competitive Borrowing specified in the related Competitive Bid Request, (iv) to the extent necessary to comply with clause (iii) above, Borrower may accept Competitive Bids at the same Competitive Bid Rate in part, which acceptance, in the case of multiple Competitive Bids at such Competitive Bid Rate, shall be made pro rata in accordance with the amount of each such Competitive Bid, and (v) except pursuant to clause (iv) above, no Competitive Bid shall be accepted for a Competitive Loan unless such Competitive Loan is in a minimum principal amount of $5,000,000 and an integral multiple of $1,000,000;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 Competitive Loan must be in an amount less than $5,000,000 because of the provisions of clause (iv) above, such Competitive Loan may be for a minimum of $1,000,000 or any integral multiple thereof, and in calculating the pro rata allocation of acceptances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41" w:name="page42"/>
    <w:bookmarkEnd w:id="41"/>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multiple Competitive Bids at a particular Competitive Bid Rate pursuant to clause (iv) the amounts shall be rounded to integral multiples of $1,000,000 in a manner determined by Borrower. A notice given by Borrower pursuant to this paragraph shall be irrevocable.</w:t>
      </w:r>
    </w:p>
    <w:p>
      <w:pPr>
        <w:spacing w:after="0" w:line="170" w:lineRule="exact"/>
        <w:rPr>
          <w:sz w:val="20"/>
          <w:szCs w:val="20"/>
          <w:color w:val="auto"/>
        </w:rPr>
      </w:pPr>
    </w:p>
    <w:p>
      <w:pPr>
        <w:ind w:firstLine="921"/>
        <w:spacing w:after="0" w:line="264"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81" w:lineRule="exact"/>
        <w:rPr>
          <w:rFonts w:ascii="Arial" w:cs="Arial" w:eastAsia="Arial" w:hAnsi="Arial"/>
          <w:sz w:val="18"/>
          <w:szCs w:val="18"/>
          <w:color w:val="auto"/>
        </w:rPr>
      </w:pPr>
    </w:p>
    <w:p>
      <w:pPr>
        <w:ind w:right="260" w:firstLine="921"/>
        <w:spacing w:after="0" w:line="264" w:lineRule="auto"/>
        <w:tabs>
          <w:tab w:leader="none" w:pos="11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Administrative Agent shall elect to submit a Competitive Bid in its capacity as a Lender, it shall submit such Competitive Bid directly to Borrower at least one quarter of an hour earlier than the time by which the other Lenders are required to submit their Competitive Bids to Administrative Agent pursuant to paragraph (b) of this Section.</w:t>
      </w:r>
    </w:p>
    <w:p>
      <w:pPr>
        <w:spacing w:after="0" w:line="18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Reduction or Termination of Revolving Commitments</w:t>
      </w:r>
      <w:r>
        <w:rPr>
          <w:rFonts w:ascii="Arial" w:cs="Arial" w:eastAsia="Arial" w:hAnsi="Arial"/>
          <w:sz w:val="18"/>
          <w:szCs w:val="18"/>
          <w:color w:val="auto"/>
        </w:rPr>
        <w:t xml:space="preserve">. Upon Requisite Notice to Administrative Agent not later than the Requisite Time therefor, Borrower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amount of such reduction.</w:t>
      </w: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17" w:lineRule="exact"/>
        <w:rPr>
          <w:sz w:val="20"/>
          <w:szCs w:val="20"/>
          <w:color w:val="auto"/>
        </w:rPr>
      </w:pPr>
    </w:p>
    <w:p>
      <w:pPr>
        <w:jc w:val="both"/>
        <w:ind w:right="20" w:firstLine="921"/>
        <w:spacing w:after="0" w:line="257" w:lineRule="auto"/>
        <w:tabs>
          <w:tab w:leader="none" w:pos="11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Upon Requisite Notice to Administrative Agent not later than the Requisite Time therefor, Borrower may at any time 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 may not prepay any Competitive Loan without the prior written consent of the Lender thereof. Administrative Agent will promptly notify each relevant Lender thereof and of such Lender’s percentage of such prepayment. Any prepayment of a Eurodollar Rate Loan shall be accompanied by all accrued interest thereon, together with the costs set forth in Section 3.05.</w:t>
      </w:r>
    </w:p>
    <w:p>
      <w:pPr>
        <w:spacing w:after="0" w:line="188" w:lineRule="exact"/>
        <w:rPr>
          <w:rFonts w:ascii="Arial" w:cs="Arial" w:eastAsia="Arial" w:hAnsi="Arial"/>
          <w:sz w:val="18"/>
          <w:szCs w:val="18"/>
          <w:color w:val="auto"/>
        </w:rPr>
      </w:pPr>
    </w:p>
    <w:p>
      <w:pPr>
        <w:ind w:right="100" w:firstLine="921"/>
        <w:spacing w:after="0" w:line="259" w:lineRule="auto"/>
        <w:tabs>
          <w:tab w:leader="none" w:pos="11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for any reason (other than a result of currency fluctuation, which prepayment requirement shall be governed by Section 2.15) the Dollar Amount of the Outstanding Revolving Obligations of all Lenders plus the aggregate principal amount of outstanding Competitive Loans at any time exceeds the combined Revolving Commitments from time to time in effect, Borrower shall immediately prepay Revolving Loans and/or deposit cash in a Letter of Credit Cash Collateral Account in an aggregate amount equal to such excess.</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Documentation of Loans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9" w:lineRule="auto"/>
        <w:tabs>
          <w:tab w:leader="none" w:pos="11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Borrower to pay any amount owing with respect to the Obligations.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2" w:name="page43"/>
    <w:bookmarkEnd w:id="42"/>
    <w:p>
      <w:pPr>
        <w:ind w:firstLine="921"/>
        <w:spacing w:after="0" w:line="276" w:lineRule="auto"/>
        <w:tabs>
          <w:tab w:leader="none" w:pos="1168"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Borrower or any Lender at any reasonable time and from time to time upon reasonable prior notice. Administrative Agent shall maintain the Register, acting, solely for this administrative purpose only, as a non-fiduciary agent for Borrower (it being acknowledged and agreed that Administrative Agent and each Administrative Agent-Related Person, in such capacity, shall constitute Indemnitees under Section 10.13).</w:t>
      </w:r>
    </w:p>
    <w:p>
      <w:pPr>
        <w:spacing w:after="0" w:line="172" w:lineRule="exact"/>
        <w:rPr>
          <w:rFonts w:ascii="Arial" w:cs="Arial" w:eastAsia="Arial" w:hAnsi="Arial"/>
          <w:sz w:val="17"/>
          <w:szCs w:val="17"/>
          <w:color w:val="auto"/>
        </w:rPr>
      </w:pPr>
    </w:p>
    <w:p>
      <w:pPr>
        <w:ind w:right="40" w:firstLine="921"/>
        <w:spacing w:after="0" w:line="259" w:lineRule="auto"/>
        <w:tabs>
          <w:tab w:leader="none" w:pos="11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Administrative Agent shall record in the Register the Revolving Commitment and Extensions of Credit from time to time of each Lender, and each repayment or prepayment in respect thereof. Any recordation shall be conclusive and binding on Borrower and each Lender,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any such recordation, or any error in such recordation, shall not affect any Lender’s Revolving Commitment or Outstanding Revolving Obligations or outstanding Competitive Loans.</w:t>
      </w:r>
    </w:p>
    <w:p>
      <w:pPr>
        <w:spacing w:after="0" w:line="186" w:lineRule="exact"/>
        <w:rPr>
          <w:rFonts w:ascii="Arial" w:cs="Arial" w:eastAsia="Arial" w:hAnsi="Arial"/>
          <w:sz w:val="18"/>
          <w:szCs w:val="18"/>
          <w:color w:val="auto"/>
        </w:rPr>
      </w:pPr>
    </w:p>
    <w:p>
      <w:pPr>
        <w:ind w:right="120" w:firstLine="921"/>
        <w:spacing w:after="0" w:line="302" w:lineRule="auto"/>
        <w:tabs>
          <w:tab w:leader="none" w:pos="116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Each Lender shall record on its internal loan accounts or records (and may record on the Note(s) held by such Lender) the amount of each Extension of Credit made by it and each payment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make any such recordation, or any error in such recordation, shall not affect any Lender’s Revolving Commitment or Outstanding Revolving Obligations or outstanding Competitive Loans; and provided, further, that in the event of any inconsistency between the Register and any Lender’s records, the recordations in the Register shall govern, absent manifest error.</w:t>
      </w:r>
    </w:p>
    <w:p>
      <w:pPr>
        <w:spacing w:after="0" w:line="154" w:lineRule="exact"/>
        <w:rPr>
          <w:rFonts w:ascii="Arial" w:cs="Arial" w:eastAsia="Arial" w:hAnsi="Arial"/>
          <w:sz w:val="16"/>
          <w:szCs w:val="16"/>
          <w:color w:val="auto"/>
        </w:rPr>
      </w:pPr>
    </w:p>
    <w:p>
      <w:pPr>
        <w:ind w:right="20" w:firstLine="921"/>
        <w:spacing w:after="0" w:line="271" w:lineRule="auto"/>
        <w:tabs>
          <w:tab w:leader="none" w:pos="115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Borrower, Administrative Agent and Lenders shall deem and treat the Persons listed as Lenders in the Register as the holders of the corresponding Revolving Commitments and Extensions of Credit listed therein for all purposes hereof, and no assignment or transfer of any such Revolving Commitment or Extensions of Credit shall be effective, in each case, unless and until an Assignment and Assumption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Revolving Commitments or Outstanding Revolving Obligations or outstanding Competitive Loans.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Continuation and Conversion Option</w:t>
      </w:r>
      <w:r>
        <w:rPr>
          <w:rFonts w:ascii="Arial" w:cs="Arial" w:eastAsia="Arial" w:hAnsi="Arial"/>
          <w:sz w:val="18"/>
          <w:szCs w:val="18"/>
          <w:color w:val="auto"/>
        </w:rPr>
        <w:t>.</w:t>
      </w:r>
    </w:p>
    <w:p>
      <w:pPr>
        <w:spacing w:after="0" w:line="117" w:lineRule="exact"/>
        <w:rPr>
          <w:sz w:val="20"/>
          <w:szCs w:val="20"/>
          <w:color w:val="auto"/>
        </w:rPr>
      </w:pPr>
    </w:p>
    <w:p>
      <w:pPr>
        <w:ind w:right="320" w:firstLine="921"/>
        <w:spacing w:after="0" w:line="259" w:lineRule="auto"/>
        <w:tabs>
          <w:tab w:leader="none" w:pos="11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Section 2.08(d), 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of Loans denominated in Dollars shall constitute Base Rate Loans unless properly and timely otherwise designated as set forth in the prior sentence.</w:t>
      </w:r>
    </w:p>
    <w:p>
      <w:pPr>
        <w:spacing w:after="0" w:line="186" w:lineRule="exact"/>
        <w:rPr>
          <w:rFonts w:ascii="Arial" w:cs="Arial" w:eastAsia="Arial" w:hAnsi="Arial"/>
          <w:sz w:val="18"/>
          <w:szCs w:val="18"/>
          <w:color w:val="auto"/>
        </w:rPr>
      </w:pPr>
    </w:p>
    <w:p>
      <w:pPr>
        <w:ind w:right="60" w:firstLine="921"/>
        <w:spacing w:after="0" w:line="279" w:lineRule="auto"/>
        <w:tabs>
          <w:tab w:leader="none" w:pos="11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Unless Borrower pays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3" w:name="page44"/>
    <w:bookmarkEnd w:id="43"/>
    <w:p>
      <w:pPr>
        <w:ind w:right="80" w:firstLine="921"/>
        <w:spacing w:after="0" w:line="264" w:lineRule="auto"/>
        <w:tabs>
          <w:tab w:leader="none" w:pos="1158"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shall promptly notify Borrower and Lenders of the interest rate applicable to any Eurodollar Rate Loan upon determination of the same. Administrative Agent shall from time to time notify Borrower and Lenders of any change in JPMorgan Chase’s prime rate used in determining the Base Rate promptly following the public announcement of such change.</w:t>
      </w:r>
    </w:p>
    <w:p>
      <w:pPr>
        <w:spacing w:after="0" w:line="289" w:lineRule="exact"/>
        <w:rPr>
          <w:rFonts w:ascii="Arial" w:cs="Arial" w:eastAsia="Arial" w:hAnsi="Arial"/>
          <w:sz w:val="18"/>
          <w:szCs w:val="18"/>
          <w:color w:val="auto"/>
        </w:rPr>
      </w:pPr>
    </w:p>
    <w:p>
      <w:pPr>
        <w:ind w:left="1180" w:hanging="259"/>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59" w:lineRule="auto"/>
        <w:tabs>
          <w:tab w:leader="none" w:pos="11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187" w:lineRule="exact"/>
        <w:rPr>
          <w:sz w:val="20"/>
          <w:szCs w:val="20"/>
          <w:color w:val="auto"/>
        </w:rPr>
      </w:pPr>
    </w:p>
    <w:p>
      <w:pPr>
        <w:ind w:left="1140" w:hanging="21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Loan;</w:t>
      </w:r>
    </w:p>
    <w:p>
      <w:pPr>
        <w:spacing w:after="0" w:line="225" w:lineRule="exact"/>
        <w:rPr>
          <w:rFonts w:ascii="Arial" w:cs="Arial" w:eastAsia="Arial" w:hAnsi="Arial"/>
          <w:sz w:val="18"/>
          <w:szCs w:val="18"/>
          <w:color w:val="auto"/>
        </w:rPr>
      </w:pPr>
    </w:p>
    <w:p>
      <w:pPr>
        <w:ind w:right="80" w:firstLine="921"/>
        <w:spacing w:after="0" w:line="277" w:lineRule="auto"/>
        <w:tabs>
          <w:tab w:leader="none" w:pos="11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Eurodollar Rate Loans (other than Competitive Loans), the Eurodollar Rate for the Interest Period in effect for such Borrowing plus the Applicable Amount for such type of Loan;</w:t>
      </w:r>
    </w:p>
    <w:p>
      <w:pPr>
        <w:spacing w:after="0" w:line="170" w:lineRule="exact"/>
        <w:rPr>
          <w:rFonts w:ascii="Arial" w:cs="Arial" w:eastAsia="Arial" w:hAnsi="Arial"/>
          <w:sz w:val="18"/>
          <w:szCs w:val="18"/>
          <w:color w:val="auto"/>
        </w:rPr>
      </w:pPr>
    </w:p>
    <w:p>
      <w:pPr>
        <w:ind w:firstLine="921"/>
        <w:spacing w:after="0" w:line="277"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Competitive Loans that are Eurodollar Rate Loans, the Eurodollar Rate for the Interest Period in effect for such Borrowing plus (or minus, as the case may be) Margin applicable to such Loan; and</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Fixed Rate Loans, at the Fixed Rate applicable to such Loan.</w:t>
      </w:r>
    </w:p>
    <w:p>
      <w:pPr>
        <w:spacing w:after="0" w:line="225" w:lineRule="exact"/>
        <w:rPr>
          <w:sz w:val="20"/>
          <w:szCs w:val="20"/>
          <w:color w:val="auto"/>
        </w:rPr>
      </w:pPr>
    </w:p>
    <w:p>
      <w:pPr>
        <w:ind w:right="260" w:firstLine="921"/>
        <w:spacing w:after="0" w:line="259" w:lineRule="auto"/>
        <w:tabs>
          <w:tab w:leader="none" w:pos="11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amount payable by Borrower under any Loan Document is not paid when due (without regard to any applicable grace periods), Borrower hereby promises to pay interest (after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86" w:lineRule="exact"/>
        <w:rPr>
          <w:rFonts w:ascii="Arial" w:cs="Arial" w:eastAsia="Arial" w:hAnsi="Arial"/>
          <w:sz w:val="18"/>
          <w:szCs w:val="18"/>
          <w:color w:val="auto"/>
        </w:rPr>
      </w:pPr>
    </w:p>
    <w:p>
      <w:pPr>
        <w:ind w:right="160" w:firstLine="921"/>
        <w:spacing w:after="0" w:line="277" w:lineRule="auto"/>
        <w:tabs>
          <w:tab w:leader="none" w:pos="11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any Business Day, Borrower may call Administrative Agent and request information as to the then current Eurodollar Base Rate or Base Rate, and Administrative Agent shall provide such information.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4" w:lineRule="auto"/>
        <w:tabs>
          <w:tab w:leader="none" w:pos="115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Borrower shall pay to Administrative Agent,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(as it may be extended)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4" w:name="page45"/>
    <w:bookmarkEnd w:id="44"/>
    <w:p>
      <w:pPr>
        <w:ind w:right="540" w:firstLine="921"/>
        <w:spacing w:after="0" w:line="277" w:lineRule="auto"/>
        <w:tabs>
          <w:tab w:leader="none" w:pos="116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Fees</w:t>
      </w:r>
      <w:r>
        <w:rPr>
          <w:rFonts w:ascii="Arial" w:cs="Arial" w:eastAsia="Arial" w:hAnsi="Arial"/>
          <w:sz w:val="18"/>
          <w:szCs w:val="18"/>
          <w:color w:val="auto"/>
        </w:rPr>
        <w:t>. Borrower agrees to pay to Administrative Agent and the other parties hereto (and their respective Affiliates) the fees in the amounts and on the dates previously agreed to in writing by Borrower and such parties (or their respective Affiliates).</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or, in the case of any amount denominated in Sterling or Canadian Dollars, 365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Making Payments</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257"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otherwise provided herein, all payments by Borrower or any Lender hereunder shall be made to Administrative Agent at Administrative Agent’s Office not later than the Requisite Time for such type of payment. All payments received after such Requisite Time shall be 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Borrower shall be made without condition or deduction for any counterclaim, defense, recoupment or setoff.</w:t>
      </w:r>
    </w:p>
    <w:p>
      <w:pPr>
        <w:spacing w:after="0" w:line="188" w:lineRule="exact"/>
        <w:rPr>
          <w:rFonts w:ascii="Arial" w:cs="Arial" w:eastAsia="Arial" w:hAnsi="Arial"/>
          <w:sz w:val="18"/>
          <w:szCs w:val="18"/>
          <w:color w:val="auto"/>
        </w:rPr>
      </w:pPr>
    </w:p>
    <w:p>
      <w:pPr>
        <w:ind w:right="40" w:firstLine="921"/>
        <w:spacing w:after="0" w:line="302" w:lineRule="auto"/>
        <w:tabs>
          <w:tab w:leader="none" w:pos="1168" w:val="left"/>
        </w:tabs>
        <w:numPr>
          <w:ilvl w:val="0"/>
          <w:numId w:val="49"/>
        </w:numPr>
        <w:rPr>
          <w:rFonts w:ascii="Arial" w:cs="Arial" w:eastAsia="Arial" w:hAnsi="Arial"/>
          <w:sz w:val="16"/>
          <w:szCs w:val="16"/>
          <w:color w:val="auto"/>
        </w:rPr>
      </w:pPr>
      <w:r>
        <w:rPr>
          <w:rFonts w:ascii="Arial" w:cs="Arial" w:eastAsia="Arial" w:hAnsi="Arial"/>
          <w:sz w:val="16"/>
          <w:szCs w:val="16"/>
          <w:color w:val="auto"/>
        </w:rPr>
        <w:t>Upon satisfaction of any applicable terms and conditions set forth herein, Administrative Agent shall promptly make any amounts received in accordance with Section 2.12(a) available in like funds received as follows: (i) if payable to Borrower, by crediting a deposit account designated from time to time by 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54" w:lineRule="exact"/>
        <w:rPr>
          <w:rFonts w:ascii="Arial" w:cs="Arial" w:eastAsia="Arial" w:hAnsi="Arial"/>
          <w:sz w:val="16"/>
          <w:szCs w:val="16"/>
          <w:color w:val="auto"/>
        </w:rPr>
      </w:pPr>
    </w:p>
    <w:p>
      <w:pPr>
        <w:ind w:right="240" w:firstLine="921"/>
        <w:spacing w:after="0" w:line="342" w:lineRule="auto"/>
        <w:tabs>
          <w:tab w:leader="none" w:pos="11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Subject to the definition of “Interest Period,” if any payment to be made by Borrower shall come due on a day other than a Business Day, payment shall instead be considered due on the next succeeding Business Day, and such extension of time shall be reflected in computing interest and fees.</w:t>
      </w:r>
    </w:p>
    <w:p>
      <w:pPr>
        <w:spacing w:after="0" w:line="123" w:lineRule="exact"/>
        <w:rPr>
          <w:rFonts w:ascii="Arial" w:cs="Arial" w:eastAsia="Arial" w:hAnsi="Arial"/>
          <w:sz w:val="16"/>
          <w:szCs w:val="16"/>
          <w:color w:val="auto"/>
        </w:rPr>
      </w:pPr>
    </w:p>
    <w:p>
      <w:pPr>
        <w:ind w:right="120" w:firstLine="921"/>
        <w:spacing w:after="0" w:line="279" w:lineRule="auto"/>
        <w:tabs>
          <w:tab w:leader="none" w:pos="1168"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Unless Borrower or any Lender has notified Administrative Agent, prior to the Requisite Time any payment to be made by it is due, that it does not intend to remit such payment, Administrative Agent may, in its sole and absolute discretion, assume that 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63" w:lineRule="exact"/>
        <w:rPr>
          <w:rFonts w:ascii="Arial" w:cs="Arial" w:eastAsia="Arial" w:hAnsi="Arial"/>
          <w:sz w:val="17"/>
          <w:szCs w:val="17"/>
          <w:color w:val="auto"/>
        </w:rPr>
      </w:pPr>
    </w:p>
    <w:p>
      <w:pPr>
        <w:ind w:left="920" w:firstLine="421"/>
        <w:spacing w:after="0" w:line="259" w:lineRule="auto"/>
        <w:tabs>
          <w:tab w:leader="none" w:pos="1555"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5" w:name="page46"/>
    <w:bookmarkEnd w:id="45"/>
    <w:p>
      <w:pPr>
        <w:ind w:left="920" w:firstLine="421"/>
        <w:spacing w:after="0" w:line="290" w:lineRule="auto"/>
        <w:tabs>
          <w:tab w:leader="none" w:pos="1605" w:val="left"/>
        </w:tabs>
        <w:numPr>
          <w:ilvl w:val="1"/>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Borrower, and Borrower shall pay such corresponding amount to Administrative Agent. Administrative Agent also shall be entitled to recover interest on such corresponding amount in respect of each day from the date such corresponding amount was made available by Administrative Agent to Borrower to the date such corresponding amount is recovered by Administrative Agent, (A) from such Lender at a rate per annum equal to the Federal Funds Rate, and (B) from Borrower, at a rate per annum equal to the interest rate applicable to such Borrowing. Nothing herein shall be deemed to relieve any Lender from its obligation to fulfill its Revolving Commitment or to prejudice any rights which Administrative Agent or Borrower may have against any Lender as a result of any default by such Lender hereunder.</w:t>
      </w:r>
    </w:p>
    <w:p>
      <w:pPr>
        <w:spacing w:after="0" w:line="166" w:lineRule="exact"/>
        <w:rPr>
          <w:rFonts w:ascii="Arial" w:cs="Arial" w:eastAsia="Arial" w:hAnsi="Arial"/>
          <w:sz w:val="16"/>
          <w:szCs w:val="16"/>
          <w:color w:val="auto"/>
        </w:rPr>
      </w:pPr>
    </w:p>
    <w:p>
      <w:pPr>
        <w:ind w:right="100" w:firstLine="921"/>
        <w:spacing w:after="0" w:line="259" w:lineRule="auto"/>
        <w:tabs>
          <w:tab w:leader="none" w:pos="11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Administrative Agent or any Lender is required at any time to return to Borrower, or to a trustee, receiver, liquidator, custodian or any official under any proceeding under Debtor Relief Laws, any portion of a payment made by Borrower, each Lender shall, on demand of Administrative Agent, return its share of the amount to be returned, plus interest thereon from the date of such demand to the date such payment is made at a rate per annum equal to the Federal Funds Rate.</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Funding Sources</w:t>
      </w:r>
      <w:r>
        <w:rPr>
          <w:rFonts w:ascii="Arial" w:cs="Arial" w:eastAsia="Arial" w:hAnsi="Arial"/>
          <w:sz w:val="16"/>
          <w:szCs w:val="16"/>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4"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1160" w:hanging="239"/>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Fees set forth in Section 2.10(a) shall cease to accrue on the unfunded portion of the Commitments of such Defaulting Lender;</w:t>
      </w:r>
    </w:p>
    <w:p>
      <w:pPr>
        <w:spacing w:after="0" w:line="225" w:lineRule="exact"/>
        <w:rPr>
          <w:rFonts w:ascii="Arial" w:cs="Arial" w:eastAsia="Arial" w:hAnsi="Arial"/>
          <w:sz w:val="18"/>
          <w:szCs w:val="18"/>
          <w:color w:val="auto"/>
        </w:rPr>
      </w:pPr>
    </w:p>
    <w:p>
      <w:pPr>
        <w:ind w:right="100" w:firstLine="921"/>
        <w:spacing w:after="0" w:line="264" w:lineRule="auto"/>
        <w:tabs>
          <w:tab w:leader="none" w:pos="11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extent permitted by applicable Law, any voluntary prepayment of Revolving Loans shall, if Borrower so directs at the time of making such voluntary prepayment, be applied to the Revolving Loans of other Lenders as if such Defaulting Lender had no Revolving Loans outstanding and the Aggregate Exposure of such Defaulting Lender in respect of its Revolving Commitment were zero;</w:t>
      </w:r>
    </w:p>
    <w:p>
      <w:pPr>
        <w:spacing w:after="0" w:line="181" w:lineRule="exact"/>
        <w:rPr>
          <w:rFonts w:ascii="Arial" w:cs="Arial" w:eastAsia="Arial" w:hAnsi="Arial"/>
          <w:sz w:val="18"/>
          <w:szCs w:val="18"/>
          <w:color w:val="auto"/>
        </w:rPr>
      </w:pPr>
    </w:p>
    <w:p>
      <w:pPr>
        <w:ind w:right="40" w:firstLine="921"/>
        <w:spacing w:after="0" w:line="273" w:lineRule="auto"/>
        <w:tabs>
          <w:tab w:leader="none" w:pos="115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Aggregate Exposure of such Defaulting Lender shall not be included in determining whether all Lenders or Required Lenders have taken or may take any action hereunder (including any consent to any amendment, waiver or modification pursuant to Section 10.01), provided that any waiver, amendment or modification requiring the consent of all Lenders or each affected Lender which affects such Defaulting Lender differently than other affected Lenders shall require the consent of such Defaulting Lender and in any event, no such amendment, modification, or waiver shall increase the Revolving Commitments or the principal amount of any Loans of such Defaulting Lender, extend the maturity date applicable thereto or decrease the rate of interest (including any commitment fees) payable in respect thereof without the consent of such Defaulting Lender;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46" w:name="page47"/>
    <w:bookmarkEnd w:id="46"/>
    <w:p>
      <w:pPr>
        <w:ind w:left="1160" w:hanging="25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Letter of Credit Usage exists at the time a Lender becomes a Defaulting Lender then:</w:t>
      </w:r>
    </w:p>
    <w:p>
      <w:pPr>
        <w:spacing w:after="0" w:line="117" w:lineRule="exact"/>
        <w:rPr>
          <w:rFonts w:ascii="Arial" w:cs="Arial" w:eastAsia="Arial" w:hAnsi="Arial"/>
          <w:sz w:val="18"/>
          <w:szCs w:val="18"/>
          <w:color w:val="auto"/>
        </w:rPr>
      </w:pPr>
    </w:p>
    <w:p>
      <w:pPr>
        <w:ind w:left="900" w:right="60" w:firstLine="421"/>
        <w:spacing w:after="0" w:line="259" w:lineRule="auto"/>
        <w:tabs>
          <w:tab w:leader="none" w:pos="1535"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or any part of such Letter of Credit Usage shall be reallocated among the Lenders that are not Defaulting Lenders in accordance with their respective Revolving Percentages but, in any case, only to the extent the sum of the Outstanding Revolving Obligations of all Lenders that are not Defaulting Lenders plus such Defaulting Lender’s ratable participation in all Letter of Credit Usage does not exceed the total of the Revolving Commitments of all Lenders that are not Defaulting Lenders;</w:t>
      </w:r>
    </w:p>
    <w:p>
      <w:pPr>
        <w:spacing w:after="0" w:line="78" w:lineRule="exact"/>
        <w:rPr>
          <w:rFonts w:ascii="Arial" w:cs="Arial" w:eastAsia="Arial" w:hAnsi="Arial"/>
          <w:sz w:val="18"/>
          <w:szCs w:val="18"/>
          <w:color w:val="auto"/>
        </w:rPr>
      </w:pPr>
    </w:p>
    <w:p>
      <w:pPr>
        <w:ind w:left="900" w:right="80" w:firstLine="421"/>
        <w:spacing w:after="0" w:line="302" w:lineRule="auto"/>
        <w:tabs>
          <w:tab w:leader="none" w:pos="1585"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 reallocation described in clause (i) above cannot, or can only partially, be effected, Borrower shall within one Business Day following notice by Administrative Agent, either (x) cash collateralize such Defaulting Lender’s participation in all Letter of Credit Usage (after giving effect to any partial reallocation pursuant to clause (i) above) in a Letter of Credit Cash Collateral Account for so long as such Letter of Credit is outstanding or (y) backstop such Letter of Credit Usage with a letter of credit reasonably satisfactory to the Issuing Lender;</w:t>
      </w:r>
    </w:p>
    <w:p>
      <w:pPr>
        <w:spacing w:after="0" w:line="46" w:lineRule="exact"/>
        <w:rPr>
          <w:rFonts w:ascii="Arial" w:cs="Arial" w:eastAsia="Arial" w:hAnsi="Arial"/>
          <w:sz w:val="16"/>
          <w:szCs w:val="16"/>
          <w:color w:val="auto"/>
        </w:rPr>
      </w:pPr>
    </w:p>
    <w:p>
      <w:pPr>
        <w:ind w:left="900" w:right="40" w:firstLine="421"/>
        <w:spacing w:after="0" w:line="312" w:lineRule="auto"/>
        <w:tabs>
          <w:tab w:leader="none" w:pos="1635"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Borrower cash collateralizes or backstops any portion of such Defaulting Lender’s Letter of Credit Usage pursuant to this subsection (d), Borrower shall not be required to pay any fees to such Defaulting Lender pursuant to Section 2.03(j) with respect to such Defaulting Lender’s Letter of Credit Usage during the period such Defaulting Lender’s Letter of Credit Usage is cash collateralized or backstopped;</w:t>
      </w:r>
    </w:p>
    <w:p>
      <w:pPr>
        <w:spacing w:after="0" w:line="38" w:lineRule="exact"/>
        <w:rPr>
          <w:rFonts w:ascii="Arial" w:cs="Arial" w:eastAsia="Arial" w:hAnsi="Arial"/>
          <w:sz w:val="16"/>
          <w:szCs w:val="16"/>
          <w:color w:val="auto"/>
        </w:rPr>
      </w:pPr>
    </w:p>
    <w:p>
      <w:pPr>
        <w:jc w:val="both"/>
        <w:ind w:left="900" w:right="140" w:firstLine="421"/>
        <w:spacing w:after="0" w:line="264" w:lineRule="auto"/>
        <w:tabs>
          <w:tab w:leader="none" w:pos="162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if the Letter of Credit Usage attributable to the Defaulting Lenders is reallocated pursuant to this subsection (d), then the fees payable to the non-Defaulting Lenders pursuant to Section 2.03(j) and Section 2.10(a) shall be adjusted in accordance with the non-Defaulting Lenders’ respective Revolving Percentages to account for such reallocation; and</w:t>
      </w:r>
    </w:p>
    <w:p>
      <w:pPr>
        <w:spacing w:after="0" w:line="73" w:lineRule="exact"/>
        <w:rPr>
          <w:rFonts w:ascii="Arial" w:cs="Arial" w:eastAsia="Arial" w:hAnsi="Arial"/>
          <w:sz w:val="18"/>
          <w:szCs w:val="18"/>
          <w:color w:val="auto"/>
        </w:rPr>
      </w:pPr>
    </w:p>
    <w:p>
      <w:pPr>
        <w:ind w:left="900" w:firstLine="421"/>
        <w:spacing w:after="0" w:line="302" w:lineRule="auto"/>
        <w:tabs>
          <w:tab w:leader="none" w:pos="1575"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any Defaulting Lender’s participation in all Letter of Credit Usage is neither cash collateralized, backstopped nor reallocated pursuant to this subsection (d), then, without prejudice to any rights or remedies of Issuing Lenders or any Lender hereunder, all Letter of Credit fees payable under Section 2.03(j) with respect to such Defaulting Lender’s remaining participation in all Letter of Credit Usage shall be payable to the applicable Issuing Lenders until such participation in all Letter of Credit Usage is backstopped, cash collateralized and/or reallocated</w:t>
      </w:r>
    </w:p>
    <w:p>
      <w:pPr>
        <w:spacing w:after="0" w:line="154" w:lineRule="exact"/>
        <w:rPr>
          <w:rFonts w:ascii="Arial" w:cs="Arial" w:eastAsia="Arial" w:hAnsi="Arial"/>
          <w:sz w:val="16"/>
          <w:szCs w:val="16"/>
          <w:color w:val="auto"/>
        </w:rPr>
      </w:pPr>
    </w:p>
    <w:p>
      <w:pPr>
        <w:ind w:left="-20" w:right="20" w:firstLine="921"/>
        <w:spacing w:after="0" w:line="257" w:lineRule="auto"/>
        <w:tabs>
          <w:tab w:leader="none" w:pos="11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 long as any Lender is a Defaulting Lender, no Issuing Lender shall be required to issue, amend or increase any Letter of Credit, unless it is satisfied that the related exposure will be 100% covered by the Revolving Commitments of the non-Defaulting Lenders and/or cash collateral or backstop letters of credit will be provided by Borrower in accordance with subsection (d) of this Section, and participating interests in any such newly issued or increased Letter of Credit shall be allocated among non-Defaulting Lenders that are Lenders in a manner consistent with subsection (d)(i) of this Section (and Defaulting Lenders shall not participate therein).</w:t>
      </w:r>
    </w:p>
    <w:p>
      <w:pPr>
        <w:spacing w:after="0" w:line="188" w:lineRule="exact"/>
        <w:rPr>
          <w:rFonts w:ascii="Arial" w:cs="Arial" w:eastAsia="Arial" w:hAnsi="Arial"/>
          <w:sz w:val="18"/>
          <w:szCs w:val="18"/>
          <w:color w:val="auto"/>
        </w:rPr>
      </w:pPr>
    </w:p>
    <w:p>
      <w:pPr>
        <w:ind w:left="-20" w:firstLine="921"/>
        <w:spacing w:after="0" w:line="257" w:lineRule="auto"/>
        <w:tabs>
          <w:tab w:leader="none" w:pos="11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event that each of Administrative Agent, Borrower and Issuing Lenders agrees that a Defaulting Lender has adequately remedied all matters that caused such Lender to be a Defaulting Lender, then the Letter of Credit Usage of the Lenders shall be readjusted to reflect the inclusion of such formerly Defaulting Lender’s Revolving Commitment and on such date such formerly Defaulting Lender shall purchase at par such of the Revolving Loans of the other Lenders as Administrative Agent shall determine may be necessary in order for such formerly Defaulting Lender to hold such Revolving Loans in accordance with its Revolving Percentage.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60" w:top="274" w:right="259" w:bottom="1440" w:gutter="0" w:footer="0" w:header="0"/>
        </w:sectPr>
      </w:pPr>
    </w:p>
    <w:bookmarkStart w:id="47" w:name="page48"/>
    <w:bookmarkEnd w:id="47"/>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2.15 </w:t>
      </w:r>
      <w:r>
        <w:rPr>
          <w:rFonts w:ascii="Arial" w:cs="Arial" w:eastAsia="Arial" w:hAnsi="Arial"/>
          <w:sz w:val="18"/>
          <w:szCs w:val="18"/>
          <w:u w:val="single" w:color="auto"/>
          <w:color w:val="auto"/>
        </w:rPr>
        <w:t>Currency Equivalents</w:t>
      </w:r>
      <w:r>
        <w:rPr>
          <w:rFonts w:ascii="Arial" w:cs="Arial" w:eastAsia="Arial" w:hAnsi="Arial"/>
          <w:sz w:val="18"/>
          <w:szCs w:val="18"/>
          <w:color w:val="auto"/>
        </w:rPr>
        <w:t>.</w:t>
      </w:r>
    </w:p>
    <w:p>
      <w:pPr>
        <w:spacing w:after="0" w:line="117" w:lineRule="exact"/>
        <w:rPr>
          <w:sz w:val="20"/>
          <w:szCs w:val="20"/>
          <w:color w:val="auto"/>
        </w:rPr>
      </w:pPr>
    </w:p>
    <w:p>
      <w:pPr>
        <w:ind w:left="-8" w:right="240" w:firstLine="921"/>
        <w:spacing w:after="0" w:line="286" w:lineRule="auto"/>
        <w:tabs>
          <w:tab w:leader="none" w:pos="115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Administrative Agent shall determine the Dollar Amount of (i) the Letter of Credit Usage in respect of Letters of Credit denominated in an Alternative Currency based on the Exchange Rate (A) on or about the date of the related notice requesting the issuance of such Letter of Credit and (B) at such other times as Administrative Agent may elect in its discretion (but in no case more frequently than monthly), (ii) the Loans denominated in an Alternative Currency based on the Exchange Rate (A) on or about the date of the related notice requesting any Borrowing, Continuation or Conversion and</w:t>
      </w:r>
    </w:p>
    <w:p>
      <w:pPr>
        <w:spacing w:after="0" w:line="1" w:lineRule="exact"/>
        <w:rPr>
          <w:rFonts w:ascii="Arial" w:cs="Arial" w:eastAsia="Arial" w:hAnsi="Arial"/>
          <w:sz w:val="16"/>
          <w:szCs w:val="16"/>
          <w:color w:val="auto"/>
        </w:rPr>
      </w:pPr>
    </w:p>
    <w:p>
      <w:pPr>
        <w:ind w:left="-8" w:right="380" w:firstLine="8"/>
        <w:spacing w:after="0" w:line="261" w:lineRule="auto"/>
        <w:tabs>
          <w:tab w:leader="none" w:pos="2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such other times as Administrative Agent may elect in its discretion (but in no case more frequently than monthly) and (iii) any other amount to be converted into Dollars in accordance with the provisions hereof at the time of such conversion.</w:t>
      </w:r>
    </w:p>
    <w:p>
      <w:pPr>
        <w:spacing w:after="0" w:line="183" w:lineRule="exact"/>
        <w:rPr>
          <w:rFonts w:ascii="Arial" w:cs="Arial" w:eastAsia="Arial" w:hAnsi="Arial"/>
          <w:sz w:val="18"/>
          <w:szCs w:val="18"/>
          <w:color w:val="auto"/>
        </w:rPr>
      </w:pPr>
    </w:p>
    <w:p>
      <w:pPr>
        <w:ind w:left="-8" w:right="40" w:firstLine="921"/>
        <w:spacing w:after="0" w:line="272" w:lineRule="auto"/>
        <w:tabs>
          <w:tab w:leader="none" w:pos="11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If after giving effect to any such determination of a Dollar Amount, the Letter of Credit Usage exceeds 105% of the Letter of Credit Sublimit, Borrower shall, within five Business Days of receipt of notice thereof from Administrative Agent setting forth such calculation in reasonable detail, deposit cash collateral in a Letter of Credit Cash Collateral Account in an amount equal to such excess. If after giving effect to any such determination of a Dollar Amount, the Dollar Amount of the Outstanding Revolving Obligations of all Lenders plus the aggregate principal amount of outstanding Competitive Loans at any time exceeds the combined Revolving Commitments from time to time in effect by more than 105%, Borrower shall, immediately upon receipt of notice thereof from Administrative Agent setting forth such calculation in reasonable detail, prepay Revolving Loans and/or deposit cash in a Letter of Credit Cash Collateral Account in an aggregate amount equal to such excess in accordance with Section 2.06(b).</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SECTION 3</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TAXES, YIELD PROTECTION AND ILLEGALITY</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8" w:firstLine="921"/>
        <w:spacing w:after="0" w:line="268" w:lineRule="auto"/>
        <w:tabs>
          <w:tab w:leader="none" w:pos="115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the extent permitted by Law, any and all payments by or on account of Borrower to or for the account of any Lender Party under any Loan Document shall be made free and clear of and without deduction or withholding for or on account of any and all present or future income, stamp or other taxes, duties, levies, imposts, deductions, assessments, fees, withholdings or similar charges, now or hereafter imposed, levied, collected, withheld or assessed and all interest, additions to tax, or penalties with respect thereto, excluding, (w) in the case of a Lender Party, taxes imposed on or measured by its net income, and franchise taxes (imposed in lieu of net income taxes) imposed on it, (I) by the jurisdiction (or any political subdivision thereof) under the Laws of which the Lender Party is organized or maintains a Lending Office, or (II) by reason of any present or former connection between such Lender Party and the jurisdiction imposing such taxes, other than solely as a result of this Agreement or any Note or any transaction contemplated thereby, (x) with respect to each Lender Party, taxes imposed by reason of any present or former connection between such Lender Party and the jurisdiction imposing such taxes, other than solely as a result of this Agreement or any Note or any transaction contemplated hereby, (y) in the case of a Lender Party organized under the Laws of a jurisdiction outside the United States (other than an assignee pursuant to a request by Borrower under Section 3.06(b)), any withholding tax that is imposed on amounts payable to such Lender Party at the time such Lender Party becomes a party to this Agreement (or designates a new lending office) or is attributable to such Lender Party’s failure to comply with Section 10.20, except to the extent that such Lender Party (or its assignor, if any) was entitled, at the time of designation of a new lending office (or assignment), to receive additional amounts from Borrower with respect to such withholding tax pursuant to this Section and (z) withholding taxes imposed pursuant to FATCA (all non-excluded taxes, duties, levies, imposts, deductions, assessments, fees, withholdings or</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12"/>
          </w:cols>
          <w:pgMar w:left="248" w:top="274" w:right="239" w:bottom="1440" w:gutter="0" w:footer="0" w:header="0"/>
        </w:sectPr>
      </w:pPr>
    </w:p>
    <w:bookmarkStart w:id="48" w:name="page49"/>
    <w:bookmarkEnd w:id="48"/>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charges, and liabilities imposed on or with respect to any payment made by or on account of any obligation of any Loan Party under any Loan Document being hereinafter referred to as “Non-Excluded Taxes”). If Borrower or Administrative Agent shall be required by any Laws to deduct any Non-Excluded Taxes from or in respect of any sum payable under any Loan Document to any Lender Party, (i) the sum payable shall be increased as necessary so that after making all required deductions (including deductions applicable to additional sums payable under this Section), such Lender Party receives an amount equal to the sum it would have received had no such deductions been made, (ii) Borrower or Administrative Agent shall make such deductions or withholdings, (iii) Borrower or Administrative Agent shall pay the full amount deducted or withheld to the relevant taxation authority or other authority in accordance with applicable Laws and (iv) with respect to all withholding taxes, within 30 days after the date of such payment by Borrower, Borrower shall furnish to Administrative Agent (who shall forward the same to such Lender Party) the original or a certified copy of a receipt evidencing payment thereof.</w:t>
      </w:r>
    </w:p>
    <w:p>
      <w:pPr>
        <w:spacing w:after="0" w:line="166" w:lineRule="exact"/>
        <w:rPr>
          <w:sz w:val="20"/>
          <w:szCs w:val="20"/>
          <w:color w:val="auto"/>
        </w:rPr>
      </w:pPr>
    </w:p>
    <w:p>
      <w:pPr>
        <w:jc w:val="both"/>
        <w:ind w:right="260" w:firstLine="921"/>
        <w:spacing w:after="0" w:line="279" w:lineRule="auto"/>
        <w:tabs>
          <w:tab w:leader="none" w:pos="1168"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addition, Borrower agrees to pay, or at the option of Administrative Agent timely reimburse it for the payment of, any and all present or future stamp, court, documentary, intangible, recording, filing or other similar taxes, charges or levies which arise from any payment made by it under any Loan Document or from the execution, delivery, performance, enforcement or registration of, or otherwise with respect to, any Loan Document except any such taxes that are imposed with respect to an assignment by the Lender (hereinafter referred to as “Other Taxes”).</w:t>
      </w:r>
    </w:p>
    <w:p>
      <w:pPr>
        <w:spacing w:after="0" w:line="171" w:lineRule="exact"/>
        <w:rPr>
          <w:rFonts w:ascii="Arial" w:cs="Arial" w:eastAsia="Arial" w:hAnsi="Arial"/>
          <w:sz w:val="17"/>
          <w:szCs w:val="17"/>
          <w:color w:val="auto"/>
        </w:rPr>
      </w:pPr>
    </w:p>
    <w:p>
      <w:pPr>
        <w:ind w:right="20" w:firstLine="921"/>
        <w:spacing w:after="0" w:line="290" w:lineRule="auto"/>
        <w:tabs>
          <w:tab w:leader="none" w:pos="11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Borrower agrees to indemnify each Lender Party for the full amount of Non-Excluded Taxes and Other Taxes (including any Non-Excluded Taxes or Other Taxes imposed or asserted by any jurisdiction on amounts payable under this Section) paid by such Lender Party with respect to any Loan or Loan Document and any liability (including penalties, interest and expenses) arising therefrom or with respect thereto; provided, however, that the Borrower shall not be obligated to indemnify such Recipient pursuant to this Section 3.01 in respect of interest, penalties and other liabilities attributable to any Non-Excluded Taxes or Other Taxes, if such interest, penalties other liabilities are attributable to the gross negligence or willful misconduct of such Lender Party. After a Lender Party learns of the imposition of Non-Excluded Taxes or Other Taxes, such Lender will act in good faith to promptly notify the Borrower of its obligations hereunder.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66" w:lineRule="exact"/>
        <w:rPr>
          <w:rFonts w:ascii="Arial" w:cs="Arial" w:eastAsia="Arial" w:hAnsi="Arial"/>
          <w:sz w:val="16"/>
          <w:szCs w:val="16"/>
          <w:color w:val="auto"/>
        </w:rPr>
      </w:pPr>
    </w:p>
    <w:p>
      <w:pPr>
        <w:ind w:right="240" w:firstLine="921"/>
        <w:spacing w:after="0" w:line="277" w:lineRule="auto"/>
        <w:tabs>
          <w:tab w:leader="none" w:pos="11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3.01, all obligations of Borrower to any Lender under such Section 3.01 shall be subject to, and conditioned upon such Lender’s compliance with its obligations, if any, under Section 10.20.</w:t>
      </w:r>
    </w:p>
    <w:p>
      <w:pPr>
        <w:spacing w:after="0" w:line="170" w:lineRule="exact"/>
        <w:rPr>
          <w:rFonts w:ascii="Arial" w:cs="Arial" w:eastAsia="Arial" w:hAnsi="Arial"/>
          <w:sz w:val="18"/>
          <w:szCs w:val="18"/>
          <w:color w:val="auto"/>
        </w:rPr>
      </w:pPr>
    </w:p>
    <w:p>
      <w:pPr>
        <w:ind w:firstLine="921"/>
        <w:spacing w:after="0" w:line="289" w:lineRule="auto"/>
        <w:tabs>
          <w:tab w:leader="none" w:pos="11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any Lender Party determines, in its sole discretion exercised in good faith, that it has received a refund from a relevant taxing or governmental authority in respect of any Non-Excluded Taxes or Other Taxes as to which it has been indemnified by Borrower or with respect to which Borrower has paid additional amounts pursuant to this Section 3.01, it shall pay over such refund to Borrower (but only to the extent of indemnity payments made, or additional amounts paid, by Borrower under this Section 3.01 with respect to the Non-Excluded Taxes or Other Taxes giving rise to such refund), net of all out-of-pocket expenses of such Lender Party and without interest (other than any interest paid by the relevant Governmental Authority with respect to such refund); provided, that in the event such Lender Party is required to repay any or all of such refund to such Governmental Authority (a “Refund Repayment Requirement”), Borrower, upon the request of such Lender Party, agrees to repay to such Lender Party the full amount of such Refund Repayment Requirement (plus any penalties, interest or other charges imposed by the relevant Governmental Authority). This subsection shall not be construed to require any Lender Party to make available its tax returns (or any other information relating to its taxes which it deems confidential) to Borrower or any other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9" w:name="page50"/>
    <w:bookmarkEnd w:id="49"/>
    <w:p>
      <w:pPr>
        <w:ind w:right="4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3.02 </w:t>
      </w:r>
      <w:r>
        <w:rPr>
          <w:rFonts w:ascii="Arial" w:cs="Arial" w:eastAsia="Arial" w:hAnsi="Arial"/>
          <w:sz w:val="17"/>
          <w:szCs w:val="17"/>
          <w:u w:val="single" w:color="auto"/>
          <w:color w:val="auto"/>
        </w:rPr>
        <w:t>Illegality</w:t>
      </w:r>
      <w:r>
        <w:rPr>
          <w:rFonts w:ascii="Arial" w:cs="Arial" w:eastAsia="Arial" w:hAnsi="Arial"/>
          <w:sz w:val="17"/>
          <w:szCs w:val="17"/>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Borrower through Administrative Agent, the obligation of such Lender to make Eurodollar Rate Loans shall be suspended until such Lender notifies Administrative Agent and Borrower that the circumstances giving rise to such determination no longer exist. Upon receipt of such notice, Borrower shall, upon demand from such Lender (with a copy to Administrative Agent), prepay or Convert all Eurodollar Rate Loans of such Lender,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3.03 </w:t>
      </w:r>
      <w:r>
        <w:rPr>
          <w:rFonts w:ascii="Arial" w:cs="Arial" w:eastAsia="Arial" w:hAnsi="Arial"/>
          <w:sz w:val="17"/>
          <w:szCs w:val="17"/>
          <w:u w:val="single" w:color="auto"/>
          <w:color w:val="auto"/>
        </w:rPr>
        <w:t>Inability to Determine Eurodollar Rates</w:t>
      </w:r>
      <w:r>
        <w:rPr>
          <w:rFonts w:ascii="Arial" w:cs="Arial" w:eastAsia="Arial" w:hAnsi="Arial"/>
          <w:sz w:val="17"/>
          <w:szCs w:val="17"/>
          <w:color w:val="auto"/>
        </w:rPr>
        <w:t>. If, in connection with any Request for Extension of Credit involving any Eurodollar Rate Loan,</w:t>
      </w:r>
    </w:p>
    <w:p>
      <w:pPr>
        <w:spacing w:after="0" w:line="35" w:lineRule="exact"/>
        <w:rPr>
          <w:sz w:val="20"/>
          <w:szCs w:val="20"/>
          <w:color w:val="auto"/>
        </w:rPr>
      </w:pPr>
    </w:p>
    <w:p>
      <w:pPr>
        <w:ind w:right="80" w:firstLine="8"/>
        <w:spacing w:after="0" w:line="268" w:lineRule="auto"/>
        <w:tabs>
          <w:tab w:leader="none" w:pos="2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(or, in the case of a Competitive Loan that is a Eurodollar Rate Loan, the Lender that is required to make such Loan) determine that such underlying interest rate does not adequately and fairly reflect the cost to Lenders (or Lender) of funding such Eurodollar Rate Loan, Administrative Agent will promptly notify Borrower and all Lenders. Thereafter, the obligation of Lenders (or Lender) to make or maintain such Eurodollar Rate Loan shall be suspended until Administrative Agent revokes such notice. Upon receipt of such notice, Borrower may revoke any pending request for a Borrowing of Eurodollar Rate Loans or, failing that, be deemed to have converted such request into a request for a Borrowing of Base Rate Loans in the amount specified therein.</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 and Reduced Return; Capital Adequacy</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If any Lender Party determines that the adoption of any Law or any change in any Law or in the interpretation thereof effective after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103" w:lineRule="exact"/>
        <w:rPr>
          <w:sz w:val="20"/>
          <w:szCs w:val="20"/>
          <w:color w:val="auto"/>
        </w:rPr>
      </w:pPr>
    </w:p>
    <w:p>
      <w:pPr>
        <w:ind w:left="920" w:firstLine="421"/>
        <w:spacing w:after="0" w:line="259" w:lineRule="auto"/>
        <w:tabs>
          <w:tab w:leader="none" w:pos="15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Subjects such Lender Party to any tax (excluding taxes described in clauses (w), (y) and (z) of Section 3.01(a), Non-Excluded Taxes and Other Taxes) on its loans, loan principal, letters of credit, commitments, or other obligations, or its deposits, reserves, other liabilities or capital attributable thereto with respect to any Eurodollar Rate Loans or Fixed Rate Loans or its obligation to make Eurodollar Rate Loans or Fixed Rate Loans;</w:t>
      </w:r>
    </w:p>
    <w:p>
      <w:pPr>
        <w:spacing w:after="0" w:line="78" w:lineRule="exact"/>
        <w:rPr>
          <w:rFonts w:ascii="Arial" w:cs="Arial" w:eastAsia="Arial" w:hAnsi="Arial"/>
          <w:sz w:val="18"/>
          <w:szCs w:val="18"/>
          <w:color w:val="auto"/>
        </w:rPr>
      </w:pPr>
    </w:p>
    <w:p>
      <w:pPr>
        <w:ind w:left="920" w:right="260" w:firstLine="421"/>
        <w:spacing w:after="0" w:line="264" w:lineRule="auto"/>
        <w:tabs>
          <w:tab w:leader="none" w:pos="16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Imposes or modifies any reserve, special deposit, compulsory loan, insurance charge, or similar requirement (other than the reserve requirement utilized in the determination of the Eurodollar Rate) relating to any extensions of credit or other assets of, or any deposits with or other liabilities or commitments of, such Lender Party (including its Revolving Commitment);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50" w:name="page51"/>
    <w:bookmarkEnd w:id="50"/>
    <w:p>
      <w:pPr>
        <w:ind w:left="920" w:right="20" w:firstLine="421"/>
        <w:spacing w:after="0" w:line="277" w:lineRule="auto"/>
        <w:tabs>
          <w:tab w:leader="none" w:pos="1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Imposes on such Lender Party or on the offshore interbank market any other condition, cost or expense (other than taxes) affecting this Agreement or any of such extensions of credit or liabilities or commitments;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the result of any of the foregoing is to increase the cost to such Lender Party of making, Converting into, Continuing, or maintaining any Eurodollar Rate Loans or Fixed Rate Loans or issuing or participating in Letters of Credit or to reduce any sum received or receivable by such Lender Party under this Agreement with respect to any Eurodollar Rate Loans or Fixed Rate Loans or Letter of Credit, then from time to time upon demand of such Lender Party (with a copy of such demand to Administrative Agent), Borrower shall pay to such Lender Party such additional amounts as will compensate such Lender Party for such increased cost or reduction.</w:t>
      </w:r>
    </w:p>
    <w:p>
      <w:pPr>
        <w:spacing w:after="0" w:line="188" w:lineRule="exact"/>
        <w:rPr>
          <w:sz w:val="20"/>
          <w:szCs w:val="20"/>
          <w:color w:val="auto"/>
        </w:rPr>
      </w:pPr>
    </w:p>
    <w:p>
      <w:pPr>
        <w:ind w:right="40" w:firstLine="921"/>
        <w:spacing w:after="0" w:line="273" w:lineRule="auto"/>
        <w:tabs>
          <w:tab w:leader="none" w:pos="11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any Lender Party determines that the adoption of any Law or any change in any Law or in the interpretation thereof effective after the date hereof, including in regard to capital adequacy and liquidity, has the effect of reducing the rate of return on the capital of such Lender Party or compliance by such Lender Party (or its Lending Office) or any corporation controlling such Lender Party as a consequence of such Lender Party’s obligations hereunder (taking into consideration its policies with respect to capital adequacy and liquidity and such Lender Party’s desired return on capital and desired liquidity levels), then from time to time upon demand of such Lender Party (with a copy to Administrative Agent), Borrower shall pay to such Lender Party such additional amounts as will compensate such Lender Party for such reduction.</w:t>
      </w:r>
    </w:p>
    <w:p>
      <w:pPr>
        <w:spacing w:after="0" w:line="178" w:lineRule="exact"/>
        <w:rPr>
          <w:rFonts w:ascii="Arial" w:cs="Arial" w:eastAsia="Arial" w:hAnsi="Arial"/>
          <w:sz w:val="17"/>
          <w:szCs w:val="17"/>
          <w:color w:val="auto"/>
        </w:rPr>
      </w:pPr>
    </w:p>
    <w:p>
      <w:pPr>
        <w:ind w:right="20" w:firstLine="921"/>
        <w:spacing w:after="0" w:line="264"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a Lender Party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81" w:lineRule="exact"/>
        <w:rPr>
          <w:rFonts w:ascii="Arial" w:cs="Arial" w:eastAsia="Arial" w:hAnsi="Arial"/>
          <w:sz w:val="18"/>
          <w:szCs w:val="18"/>
          <w:color w:val="auto"/>
        </w:rPr>
      </w:pPr>
    </w:p>
    <w:p>
      <w:pPr>
        <w:ind w:right="200" w:firstLine="921"/>
        <w:spacing w:after="0" w:line="276" w:lineRule="auto"/>
        <w:tabs>
          <w:tab w:leader="none" w:pos="11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3.05 </w:t>
      </w:r>
      <w:r>
        <w:rPr>
          <w:rFonts w:ascii="Arial" w:cs="Arial" w:eastAsia="Arial" w:hAnsi="Arial"/>
          <w:sz w:val="17"/>
          <w:szCs w:val="17"/>
          <w:u w:val="single" w:color="auto"/>
          <w:color w:val="auto"/>
        </w:rPr>
        <w:t>Breakfunding Costs</w:t>
      </w:r>
      <w:r>
        <w:rPr>
          <w:rFonts w:ascii="Arial" w:cs="Arial" w:eastAsia="Arial" w:hAnsi="Arial"/>
          <w:sz w:val="17"/>
          <w:szCs w:val="17"/>
          <w:color w:val="auto"/>
        </w:rPr>
        <w:t>. Subject to Section 3.06(a), upon demand of any Lender (with a copy to Administrative Agent) from time to time,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Borrower shall promptly compensate such Lender for and hold such Lender harmless from any actual loss, cost or expense incurred by it as a result of:</w:t>
      </w:r>
    </w:p>
    <w:p>
      <w:pPr>
        <w:spacing w:after="0" w:line="222" w:lineRule="exact"/>
        <w:rPr>
          <w:sz w:val="20"/>
          <w:szCs w:val="20"/>
          <w:color w:val="auto"/>
        </w:rPr>
      </w:pPr>
    </w:p>
    <w:p>
      <w:pPr>
        <w:ind w:firstLine="921"/>
        <w:spacing w:after="0" w:line="264" w:lineRule="auto"/>
        <w:tabs>
          <w:tab w:leader="none" w:pos="11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by Borrower of any Eurodollar Rate Loan or Fixed Rate Loan on a day other than the last day of the Interest Period for such Eurodollar Rate Loan or Fixed Rate Loan (whether voluntary, mandatory, automatic, by reason of acceleration or otherwise);</w:t>
      </w:r>
    </w:p>
    <w:p>
      <w:pPr>
        <w:spacing w:after="0" w:line="181" w:lineRule="exact"/>
        <w:rPr>
          <w:rFonts w:ascii="Arial" w:cs="Arial" w:eastAsia="Arial" w:hAnsi="Arial"/>
          <w:sz w:val="18"/>
          <w:szCs w:val="18"/>
          <w:color w:val="auto"/>
        </w:rPr>
      </w:pPr>
    </w:p>
    <w:p>
      <w:pPr>
        <w:ind w:right="180" w:firstLine="921"/>
        <w:spacing w:after="0" w:line="308" w:lineRule="auto"/>
        <w:tabs>
          <w:tab w:leader="none" w:pos="1168"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failure by Borrower (for a reason other than the failure of such Lender to make a Eurodollar Rate Loan or Fixed Rate Loan) to prepay, borrow, Continue or Convert any Eurodollar Rate Loan or Fixed Rate Loan on the date or in the amount notified by Borrower;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Any failure by Borrower to borrow any Competitive Loan after accepting the Competitive Bid to make such Loan;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9" w:lineRule="auto"/>
        <w:tabs>
          <w:tab w:leader="none" w:pos="11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 certificate of Administrative Agent or any Lender claiming compensation under this Section 3 and setting forth the additional amount or amounts to be paid to it hereunder shall be conclusive in the absence of clearly demonstrable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Borrower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66" w:lineRule="exact"/>
        <w:rPr>
          <w:rFonts w:ascii="Arial" w:cs="Arial" w:eastAsia="Arial" w:hAnsi="Arial"/>
          <w:sz w:val="16"/>
          <w:szCs w:val="16"/>
          <w:color w:val="auto"/>
        </w:rPr>
      </w:pPr>
    </w:p>
    <w:p>
      <w:pPr>
        <w:ind w:right="20" w:firstLine="921"/>
        <w:spacing w:after="0" w:line="342"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Upon any Lender becoming prohibited from making, maintaining or funding Eurodollar Rate Loans pursuant to Section 3.02, or upon any Lender making a claim for compensation under Section 3.01 or Section 3.04, Borrower may remove or replace such Lender in accordance with Section 10.21.</w:t>
      </w:r>
    </w:p>
    <w:p>
      <w:pPr>
        <w:spacing w:after="0" w:line="124"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All of Borrower’s obligations under this Section 3 shall survive termination of the Revolving Commitments and payment in full of all Obligations.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EXTENSIONS OF CREDIT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The agreement of each Lender to make the initial Extension of Credit requested to be made by it is subject to the satisfaction, on or before June 30, 2016, of the conditions precedent set forth in this Section 4.01:</w:t>
      </w:r>
    </w:p>
    <w:p>
      <w:pPr>
        <w:spacing w:after="0" w:line="170" w:lineRule="exact"/>
        <w:rPr>
          <w:sz w:val="20"/>
          <w:szCs w:val="20"/>
          <w:color w:val="auto"/>
        </w:rPr>
      </w:pPr>
    </w:p>
    <w:p>
      <w:pPr>
        <w:ind w:right="480" w:firstLine="921"/>
        <w:spacing w:after="0" w:line="264" w:lineRule="auto"/>
        <w:tabs>
          <w:tab w:leader="none" w:pos="11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 each properly executed by a Responsible Officer of the applicable Loan Party, each dated on, or in the case of third party certificates, recently before, the Effective Date and each in form and substance reasonably satisfactory to Administrative Agent:</w:t>
      </w:r>
    </w:p>
    <w:p>
      <w:pPr>
        <w:spacing w:after="0" w:line="73" w:lineRule="exact"/>
        <w:rPr>
          <w:rFonts w:ascii="Arial" w:cs="Arial" w:eastAsia="Arial" w:hAnsi="Arial"/>
          <w:sz w:val="18"/>
          <w:szCs w:val="18"/>
          <w:color w:val="auto"/>
        </w:rPr>
      </w:pPr>
    </w:p>
    <w:p>
      <w:pPr>
        <w:ind w:left="920" w:right="20" w:firstLine="421"/>
        <w:spacing w:after="0" w:line="312" w:lineRule="auto"/>
        <w:tabs>
          <w:tab w:leader="none" w:pos="15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Executed counterparts of (a) this Agreement, executed and delivered by Borrower, Administrative Agent and each Person listed on Schedule 2.01 and (b) the Guarantee Agreement, executed and delivered by each Guarantor (provided that the requirements of this clause (i) may be satisfied by customary written evidence reasonably satisfactory to Administrative Agent (which may include electronic transmission of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2" w:name="page53"/>
    <w:bookmarkEnd w:id="5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signed signature page) that such party has signed a counterpart to this Agreement or the Guarantee Agreement (as applicable));</w:t>
      </w:r>
    </w:p>
    <w:p>
      <w:pPr>
        <w:spacing w:after="0" w:line="117" w:lineRule="exact"/>
        <w:rPr>
          <w:sz w:val="20"/>
          <w:szCs w:val="20"/>
          <w:color w:val="auto"/>
        </w:rPr>
      </w:pPr>
    </w:p>
    <w:p>
      <w:pPr>
        <w:ind w:left="880" w:firstLine="421"/>
        <w:spacing w:after="0" w:line="269" w:lineRule="auto"/>
        <w:tabs>
          <w:tab w:leader="none" w:pos="1565" w:val="left"/>
        </w:tabs>
        <w:numPr>
          <w:ilvl w:val="1"/>
          <w:numId w:val="65"/>
        </w:numPr>
        <w:rPr>
          <w:rFonts w:ascii="Arial" w:cs="Arial" w:eastAsia="Arial" w:hAnsi="Arial"/>
          <w:sz w:val="17"/>
          <w:szCs w:val="17"/>
          <w:color w:val="auto"/>
        </w:rPr>
      </w:pPr>
      <w:r>
        <w:rPr>
          <w:rFonts w:ascii="Arial" w:cs="Arial" w:eastAsia="Arial" w:hAnsi="Arial"/>
          <w:sz w:val="17"/>
          <w:szCs w:val="17"/>
          <w:color w:val="auto"/>
        </w:rPr>
        <w:t>Administrative Agent shall have received a certificate of each Loan Party, dated the Effective Date and executed by a secretary, assistant secretary or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of such Loan Party attached thereto have not been amended (except as attached thereto) since the date reflected thereon, (y) a true and correct copy of the by-laws or operating, management, partnership or similar agreement of such Loan Party, together with all amendments thereto as of the Effective Date and such by-laws or operating, management, partnership or similar agreement are in full force and effect and (z) a true and complete copy of the resolutions or written consent, as applicable, of its board of directors, board of managers, sole member or other applicable governing body authorizing the execution, delivery and performance of the Loan Documents, and, in the case of Borrower, the borrowings and other obligations thereunder, which resolutions or consent have not been modified, rescinded or amended (other than as attached thereto) and are in full force and effect, and (B) identify by name and title and bear the signatures of the officers, managers, directors or authorized signatories of such Loan Party authorized to sign the Loan Documents to which such Loan Party is a party on the Effective Date;</w:t>
      </w:r>
    </w:p>
    <w:p>
      <w:pPr>
        <w:spacing w:after="0" w:line="71" w:lineRule="exact"/>
        <w:rPr>
          <w:rFonts w:ascii="Arial" w:cs="Arial" w:eastAsia="Arial" w:hAnsi="Arial"/>
          <w:sz w:val="17"/>
          <w:szCs w:val="17"/>
          <w:color w:val="auto"/>
        </w:rPr>
      </w:pPr>
    </w:p>
    <w:p>
      <w:pPr>
        <w:ind w:left="880" w:right="140" w:firstLine="421"/>
        <w:spacing w:after="0" w:line="264" w:lineRule="auto"/>
        <w:tabs>
          <w:tab w:leader="none" w:pos="161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certificate signed by a Responsible Officer of Borrower certifying (A) that the conditions specified in Sections 4.01(e) and (f) have been satisfied and (B) that there has been no event or circumstance since the date of the Reference Statements which has a Material Adverse Effect;</w:t>
      </w:r>
    </w:p>
    <w:p>
      <w:pPr>
        <w:spacing w:after="0" w:line="73" w:lineRule="exact"/>
        <w:rPr>
          <w:rFonts w:ascii="Arial" w:cs="Arial" w:eastAsia="Arial" w:hAnsi="Arial"/>
          <w:sz w:val="18"/>
          <w:szCs w:val="18"/>
          <w:color w:val="auto"/>
        </w:rPr>
      </w:pPr>
    </w:p>
    <w:p>
      <w:pPr>
        <w:ind w:left="1600" w:hanging="299"/>
        <w:spacing w:after="0"/>
        <w:tabs>
          <w:tab w:leader="none" w:pos="16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 and</w:t>
      </w:r>
    </w:p>
    <w:p>
      <w:pPr>
        <w:spacing w:after="0" w:line="117" w:lineRule="exact"/>
        <w:rPr>
          <w:rFonts w:ascii="Arial" w:cs="Arial" w:eastAsia="Arial" w:hAnsi="Arial"/>
          <w:sz w:val="18"/>
          <w:szCs w:val="18"/>
          <w:color w:val="auto"/>
        </w:rPr>
      </w:pPr>
    </w:p>
    <w:p>
      <w:pPr>
        <w:ind w:left="880" w:right="220" w:firstLine="421"/>
        <w:spacing w:after="0" w:line="312" w:lineRule="auto"/>
        <w:tabs>
          <w:tab w:leader="none" w:pos="1555"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information requested by any Lender in writing at least five Business Days prior to the Effective Date, to the extent necessary to enable such Lender to identify Borrower and Guarantors to the extent required for compliance with the PATRIOT Act or other “know your customer” rules and regulations (which requested information shall have been received at least two Business Days prior to the Effective Date).</w:t>
      </w:r>
    </w:p>
    <w:p>
      <w:pPr>
        <w:spacing w:after="0" w:line="146" w:lineRule="exact"/>
        <w:rPr>
          <w:rFonts w:ascii="Arial" w:cs="Arial" w:eastAsia="Arial" w:hAnsi="Arial"/>
          <w:sz w:val="16"/>
          <w:szCs w:val="16"/>
          <w:color w:val="auto"/>
        </w:rPr>
      </w:pPr>
    </w:p>
    <w:p>
      <w:pPr>
        <w:ind w:left="1140" w:hanging="259"/>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225" w:lineRule="exact"/>
        <w:rPr>
          <w:rFonts w:ascii="Arial" w:cs="Arial" w:eastAsia="Arial" w:hAnsi="Arial"/>
          <w:sz w:val="18"/>
          <w:szCs w:val="18"/>
          <w:color w:val="auto"/>
        </w:rPr>
      </w:pPr>
    </w:p>
    <w:p>
      <w:pPr>
        <w:jc w:val="both"/>
        <w:ind w:left="-40" w:right="320" w:firstLine="921"/>
        <w:spacing w:after="0" w:line="264"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Administrative Agent shall have received notice that substantially simultaneously with the Effective Date, the Existing Credit Agreement shall have been terminated in accordance with the terms of the Existing Credit Agreement, and all principal, interest and fees owing thereunder shall have been paid.</w:t>
      </w:r>
    </w:p>
    <w:p>
      <w:pPr>
        <w:spacing w:after="0" w:line="181" w:lineRule="exact"/>
        <w:rPr>
          <w:rFonts w:ascii="Arial" w:cs="Arial" w:eastAsia="Arial" w:hAnsi="Arial"/>
          <w:sz w:val="18"/>
          <w:szCs w:val="18"/>
          <w:color w:val="auto"/>
        </w:rPr>
      </w:pPr>
    </w:p>
    <w:p>
      <w:pPr>
        <w:ind w:left="-40" w:right="40" w:firstLine="921"/>
        <w:spacing w:after="0" w:line="273" w:lineRule="auto"/>
        <w:tabs>
          <w:tab w:leader="none" w:pos="11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Lenders shall have received (i) audited consolidated financial statements of Borrower and its Subsidiaries for the most recent fiscal year ended prior to the Effective Date as to which such financial statements are available and (ii) unaudited interim consolidated financial statements of Borrower and its Subsidiaries for each quarterly period, if any, ended subsequent to the date of the financial statements delivered pursuant to clause (i) of this paragraph as to which such financial statements are available. The documents referred to in the preceding sentence shall be deemed delivered hereunder by the filing by Borrower of its quarterly report on Form 10-Q or annual report on Form 10-K (as applicable) on the date on which such documents are posted on Borrower’s behalf on an Internet website to which each Lender and Administrative Agent has access.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80" w:top="274" w:right="259" w:bottom="1440" w:gutter="0" w:footer="0" w:header="0"/>
        </w:sectPr>
      </w:pPr>
    </w:p>
    <w:bookmarkStart w:id="53" w:name="page54"/>
    <w:bookmarkEnd w:id="53"/>
    <w:p>
      <w:pPr>
        <w:ind w:right="560" w:firstLine="921"/>
        <w:spacing w:after="0" w:line="342" w:lineRule="auto"/>
        <w:tabs>
          <w:tab w:leader="none" w:pos="1158"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Effective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4.02 </w:t>
      </w:r>
      <w:r>
        <w:rPr>
          <w:rFonts w:ascii="Arial" w:cs="Arial" w:eastAsia="Arial" w:hAnsi="Arial"/>
          <w:sz w:val="17"/>
          <w:szCs w:val="17"/>
          <w:u w:val="single" w:color="auto"/>
          <w:color w:val="auto"/>
        </w:rPr>
        <w:t>Conditions to all Extensions of Credit</w:t>
      </w:r>
      <w:r>
        <w:rPr>
          <w:rFonts w:ascii="Arial" w:cs="Arial" w:eastAsia="Arial" w:hAnsi="Arial"/>
          <w:sz w:val="17"/>
          <w:szCs w:val="17"/>
          <w:color w:val="auto"/>
        </w:rPr>
        <w:t>. The obligation of each Lender to honor any Request for Extension of Credit (including the initial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Extension of Credit, but other than a Conversion or Continuation) is subject to the following conditions precedent:</w:t>
      </w:r>
    </w:p>
    <w:p>
      <w:pPr>
        <w:spacing w:after="0" w:line="211" w:lineRule="exact"/>
        <w:rPr>
          <w:sz w:val="20"/>
          <w:szCs w:val="20"/>
          <w:color w:val="auto"/>
        </w:rPr>
      </w:pPr>
    </w:p>
    <w:p>
      <w:pPr>
        <w:ind w:firstLine="921"/>
        <w:spacing w:after="0" w:line="259" w:lineRule="auto"/>
        <w:tabs>
          <w:tab w:leader="none" w:pos="115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this Agreement shall be correct in all material respects on and as of the date of such Extension of Credit as if made on and as of such date, except to the extent any such representation and warranty specifically relates to any earlier date, in which case such representation and warranty shall have been true and correct in all material respects on and as of such earlier date.</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such Extension of Credit or the use thereof.</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Each Request for Extension of Credit by Borrower shall be deemed to be a representation and warranty that the conditions specified in Sections 4.02(a) and (b) have been satisfied on and as of the date of such Extension of Credit.</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4.03 </w:t>
      </w:r>
      <w:r>
        <w:rPr>
          <w:rFonts w:ascii="Arial" w:cs="Arial" w:eastAsia="Arial" w:hAnsi="Arial"/>
          <w:sz w:val="16"/>
          <w:szCs w:val="16"/>
          <w:u w:val="single" w:color="auto"/>
          <w:color w:val="auto"/>
        </w:rPr>
        <w:t>Determinations Under Section 4.01</w:t>
      </w:r>
      <w:r>
        <w:rPr>
          <w:rFonts w:ascii="Arial" w:cs="Arial" w:eastAsia="Arial" w:hAnsi="Arial"/>
          <w:sz w:val="16"/>
          <w:szCs w:val="16"/>
          <w:color w:val="auto"/>
        </w:rPr>
        <w:t>. For purposes of determining compliance with the conditions specified in Section 4.01, each Lender shall be deemed to have consented to, approved or accepted or to be satisfied with each document or other matter required thereunder to be consented to or approved by or acceptable or satisfactory to the Lenders unless an officer of Administrative Agent responsible for the transactions contemplated by this Agreement shall have received notice from such Lender prior to the Effective Date specifying its objection thereto. Administrative Agent (or its counsel) shall promptly notify the Lenders and Borrower in writing of the occurrence of the Effective Date, which writing shall be conclusive.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represents and warrants to Administrative Agent and Lenders that:</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Power; Compliance with Laws</w:t>
      </w:r>
      <w:r>
        <w:rPr>
          <w:rFonts w:ascii="Arial" w:cs="Arial" w:eastAsia="Arial" w:hAnsi="Arial"/>
          <w:sz w:val="18"/>
          <w:szCs w:val="18"/>
          <w:color w:val="auto"/>
        </w:rPr>
        <w:t>. Each of Borrower and its Restricted Subsidiaries (a) is a corporation, partnership or limited liability company duly organized or formed, validly existing and in good standing under the Laws of the state of its organization, except, with respect to any Restricted Subsidiary that is not a Loan Party, to the extent that the failure to be so organized, formed, validly existing or in good standing does not have a Material Adverse Effect, and (b) is in compliance with all Laws, except to the extent that noncompliance does not have a Material Adverse Effect.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4" w:name="page55"/>
    <w:bookmarkEnd w:id="54"/>
    <w:p>
      <w:pPr>
        <w:ind w:right="2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5.02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has the power and authority and the legal right to execute, deliver and perform each Loan Document to which it is a party, and has taken all necessary organizational action to authorize the execution, delivery and performance of each Loan Document to which it is a party. Except for such consents, authorizations, filings or other acts which have been duly made or obtained and are in full force and effect, no consent or authorization of, filing with, or other act by or in respect of any Governmental Authority is required for the due execution, delivery or performance of this Agreement or any of the other Loan Documents, except as would not reasonably be expected to have a material adverse effect on the validity or enforceability of this Agreement or the Guarantee Agreement.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 breach of, or require any consent under (i) such Loan Party’s organizational documents, (ii) any applicable Laws which has a Material Adverse Effect, or (iii) any Contractual Obligation, license or franchise of any Loan Party or by which any Loan Party or its property is bound or subject, in each case with respect to this clause (iii), which has a Material Adverse Effect or (b) constitute a default under any such Contractual Obligation, license or franchise which has a Material Adverse Effect.</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21"/>
        <w:spacing w:after="0" w:line="264" w:lineRule="auto"/>
        <w:tabs>
          <w:tab w:leader="none" w:pos="11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Reference Statements fairly present, in all material respects,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From December 31, 2015 to the Effective Date, there has been no event or circumstance which has a Material Adverse Effect.</w:t>
      </w:r>
    </w:p>
    <w:p>
      <w:pPr>
        <w:spacing w:after="0" w:line="225"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Borrower’s public filings prior to the Effective Date, no litigation, investigation or proceeding of or before an arbitrator or Governmental Authority is pending or, to the knowledge of Borrower, threatened by or against Borrower or any of its Restricted Subsidiaries or against any of their properties or revenues that has a Material Adverse Effect.</w:t>
      </w:r>
    </w:p>
    <w:p>
      <w:pPr>
        <w:spacing w:after="0" w:line="18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5.06 </w:t>
      </w:r>
      <w:r>
        <w:rPr>
          <w:rFonts w:ascii="Arial" w:cs="Arial" w:eastAsia="Arial" w:hAnsi="Arial"/>
          <w:sz w:val="17"/>
          <w:szCs w:val="17"/>
          <w:u w:val="single" w:color="auto"/>
          <w:color w:val="auto"/>
        </w:rPr>
        <w:t>Use of Proceeds</w:t>
      </w:r>
      <w:r>
        <w:rPr>
          <w:rFonts w:ascii="Arial" w:cs="Arial" w:eastAsia="Arial" w:hAnsi="Arial"/>
          <w:sz w:val="17"/>
          <w:szCs w:val="17"/>
          <w:color w:val="auto"/>
        </w:rPr>
        <w:t>. Borrower will use the proceeds of the Extensions of Credit for general corporate purposes.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66"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Borrower has implemented and maintains in effect policies and procedures reasonably designed to promote compliance by Borrower, its Subsidiaries and their respective directors, officers, employees and agents with Anti-Corruption Laws and applicable Sanctions, and Borrower, its Subsidiaries and to the knowledge of Borrower its officers, directors, employees and agents, are in compliance with Anti-Corruption Laws and applicable Sanctions in all material respects. None of (a) Borrower, any Subsidiary or, to the knowledge of Borrower or such Subsidiary, any of their respective directors, officers or employees, or (b) to the knowledge of Borrower, any agent of Borrower or any Subsidiary that will act in any capacity in connection with or benefit from the credit facility established hereby, is a Sanctioned Person.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So long as any Obligation remains unpaid, or any portion of the Revolving Commitments remains outstanding, Borrower shall, and shall (except in the case of Borrower’s reporting covenants), cause each Restricted Subsidiary 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Administrative Agent and Lenders, in form and detail satisfactory to Administrative Agent:</w:t>
      </w:r>
    </w:p>
    <w:p>
      <w:pPr>
        <w:spacing w:after="0" w:line="225" w:lineRule="exact"/>
        <w:rPr>
          <w:sz w:val="20"/>
          <w:szCs w:val="20"/>
          <w:color w:val="auto"/>
        </w:rPr>
      </w:pPr>
    </w:p>
    <w:p>
      <w:pPr>
        <w:ind w:right="60" w:firstLine="921"/>
        <w:spacing w:after="0" w:line="297" w:lineRule="auto"/>
        <w:tabs>
          <w:tab w:leader="none" w:pos="1158"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soon as available but in any event within 105 days after the end of each fiscal year of Borrower, consolidated balance sheets as at the end of such fiscal year and related consolidated statements of income and cash flows for such fiscal year of Borrower and its consolidated Subsidiaries and certified by a Responsible Officer of Borrower,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“going concern” qualification or qualifications as to the scope of the audit.</w:t>
      </w:r>
    </w:p>
    <w:p>
      <w:pPr>
        <w:spacing w:after="0" w:line="158" w:lineRule="exact"/>
        <w:rPr>
          <w:rFonts w:ascii="Arial" w:cs="Arial" w:eastAsia="Arial" w:hAnsi="Arial"/>
          <w:sz w:val="16"/>
          <w:szCs w:val="16"/>
          <w:color w:val="auto"/>
        </w:rPr>
      </w:pPr>
    </w:p>
    <w:p>
      <w:pPr>
        <w:ind w:right="20" w:firstLine="921"/>
        <w:spacing w:after="0" w:line="255" w:lineRule="auto"/>
        <w:tabs>
          <w:tab w:leader="none" w:pos="11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Borrower and its consolidated Subsidiaries,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in all material respects the financial condition, results of operations and cash flows of Borrower and its consolidated Subsidiaries in accordance with GAAP, subject only to pro forma adjustments and normal year-end audit adjustments.</w:t>
      </w:r>
    </w:p>
    <w:p>
      <w:pPr>
        <w:spacing w:after="0" w:line="189" w:lineRule="exact"/>
        <w:rPr>
          <w:rFonts w:ascii="Arial" w:cs="Arial" w:eastAsia="Arial" w:hAnsi="Arial"/>
          <w:sz w:val="18"/>
          <w:szCs w:val="18"/>
          <w:color w:val="auto"/>
        </w:rPr>
      </w:pPr>
    </w:p>
    <w:p>
      <w:pPr>
        <w:ind w:right="40" w:firstLine="921"/>
        <w:spacing w:after="0" w:line="279" w:lineRule="auto"/>
        <w:tabs>
          <w:tab w:leader="none" w:pos="1158" w:val="left"/>
        </w:tabs>
        <w:numPr>
          <w:ilvl w:val="0"/>
          <w:numId w:val="70"/>
        </w:numPr>
        <w:rPr>
          <w:rFonts w:ascii="Arial" w:cs="Arial" w:eastAsia="Arial" w:hAnsi="Arial"/>
          <w:sz w:val="17"/>
          <w:szCs w:val="17"/>
          <w:color w:val="auto"/>
        </w:rPr>
      </w:pPr>
      <w:r>
        <w:rPr>
          <w:rFonts w:ascii="Arial" w:cs="Arial" w:eastAsia="Arial" w:hAnsi="Arial"/>
          <w:sz w:val="17"/>
          <w:szCs w:val="17"/>
          <w:color w:val="auto"/>
        </w:rPr>
        <w:t>Financial statements and other documents required to be delivered pursuant to this Section 6.01 or Section 6.02(b)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Borrower’s behalf on an Internet website to which each Lender and Administrative Agent has access.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6.02 </w:t>
      </w:r>
      <w:r>
        <w:rPr>
          <w:rFonts w:ascii="Arial" w:cs="Arial" w:eastAsia="Arial" w:hAnsi="Arial"/>
          <w:sz w:val="17"/>
          <w:szCs w:val="17"/>
          <w:u w:val="single" w:color="auto"/>
          <w:color w:val="auto"/>
        </w:rPr>
        <w:t>Certificates, Notices and Other Information</w:t>
      </w:r>
      <w:r>
        <w:rPr>
          <w:rFonts w:ascii="Arial" w:cs="Arial" w:eastAsia="Arial" w:hAnsi="Arial"/>
          <w:sz w:val="17"/>
          <w:szCs w:val="17"/>
          <w:color w:val="auto"/>
        </w:rPr>
        <w:t>. Deliver to Administrative Agent in form and detail satisfactory to Administrative Agent:</w:t>
      </w:r>
    </w:p>
    <w:p>
      <w:pPr>
        <w:spacing w:after="0" w:line="237" w:lineRule="exact"/>
        <w:rPr>
          <w:sz w:val="20"/>
          <w:szCs w:val="20"/>
          <w:color w:val="auto"/>
        </w:rPr>
      </w:pPr>
    </w:p>
    <w:p>
      <w:pPr>
        <w:ind w:right="320" w:firstLine="921"/>
        <w:spacing w:after="0" w:line="257" w:lineRule="auto"/>
        <w:tabs>
          <w:tab w:leader="none" w:pos="11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(which shall include reconciliation of certain financial information with respect to the Restricted Group)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74" w:right="319" w:bottom="1440" w:gutter="0" w:footer="0" w:header="0"/>
        </w:sectPr>
      </w:pPr>
    </w:p>
    <w:bookmarkStart w:id="56" w:name="page57"/>
    <w:bookmarkEnd w:id="56"/>
    <w:p>
      <w:pPr>
        <w:ind w:right="180" w:firstLine="921"/>
        <w:spacing w:after="0" w:line="264"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81" w:lineRule="exact"/>
        <w:rPr>
          <w:rFonts w:ascii="Arial" w:cs="Arial" w:eastAsia="Arial" w:hAnsi="Arial"/>
          <w:sz w:val="18"/>
          <w:szCs w:val="18"/>
          <w:color w:val="auto"/>
        </w:rPr>
      </w:pPr>
    </w:p>
    <w:p>
      <w:pPr>
        <w:ind w:right="180" w:firstLine="921"/>
        <w:spacing w:after="0" w:line="277" w:lineRule="auto"/>
        <w:tabs>
          <w:tab w:leader="none" w:pos="11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Default or Event of Default specifying the nature thereof and what action Borrower has taken, is taking or proposes to take with respect thereto;</w:t>
      </w:r>
    </w:p>
    <w:p>
      <w:pPr>
        <w:spacing w:after="0" w:line="170" w:lineRule="exact"/>
        <w:rPr>
          <w:rFonts w:ascii="Arial" w:cs="Arial" w:eastAsia="Arial" w:hAnsi="Arial"/>
          <w:sz w:val="18"/>
          <w:szCs w:val="18"/>
          <w:color w:val="auto"/>
        </w:rPr>
      </w:pPr>
    </w:p>
    <w:p>
      <w:pPr>
        <w:ind w:right="440" w:firstLine="921"/>
        <w:spacing w:after="0" w:line="277"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Promptly after a Responsible Officer of Borrower obtaining knowledge of the occurrence thereof, notice of any ERISA Event that has a Material Adverse Effect; and</w:t>
      </w:r>
    </w:p>
    <w:p>
      <w:pPr>
        <w:spacing w:after="0" w:line="170" w:lineRule="exact"/>
        <w:rPr>
          <w:rFonts w:ascii="Arial" w:cs="Arial" w:eastAsia="Arial" w:hAnsi="Arial"/>
          <w:sz w:val="18"/>
          <w:szCs w:val="18"/>
          <w:color w:val="auto"/>
        </w:rPr>
      </w:pPr>
    </w:p>
    <w:p>
      <w:pPr>
        <w:ind w:right="200" w:firstLine="921"/>
        <w:spacing w:after="0" w:line="312" w:lineRule="auto"/>
        <w:tabs>
          <w:tab w:leader="none" w:pos="11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Promptly after such request, such other data and information as from time to time may be reasonably requested by Administrative Agent or any Lender through Administrative Agent (it being understood that Borrower and its Subsidiaries shall not be required to provide any information or documents that are subject to confidentiality provisions, the nature of which prohibit such disclosure, or would violate any attorney-client privilege).</w:t>
      </w:r>
    </w:p>
    <w:p>
      <w:pPr>
        <w:spacing w:after="0" w:line="14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87"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with the requirements of all applicable Laws and orders of any Governmental Authority, noncompliance with which has a Material Adverse Effect.</w:t>
      </w:r>
    </w:p>
    <w:p>
      <w:pPr>
        <w:spacing w:after="0" w:line="17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regular business hours, upon reasonable notice, and as often as reasonably requested, but subject to 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other than during the continuance of an Event of Default, no more than one such examination, visit or inspection shall occur during any calendar year. Notwithstanding the foregoing, it is understood and agreed that Borrower and its Subsidiaries shall not be required to provide or otherwise allow access to any information or documents that are subject to confidentiality provisions, the nature of which prohibit such disclosure, or would violate any attorney-client privilege.</w:t>
      </w:r>
    </w:p>
    <w:p>
      <w:pPr>
        <w:spacing w:after="0" w:line="167"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in all material respects, proper books of record and account, in which entries shall be made sufficient to permit the preparation of consolidated financial statements in accordance with GAAP.</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Designation of Unrestricted Subsidiaries</w:t>
      </w:r>
      <w:r>
        <w:rPr>
          <w:rFonts w:ascii="Arial" w:cs="Arial" w:eastAsia="Arial" w:hAnsi="Arial"/>
          <w:sz w:val="18"/>
          <w:szCs w:val="18"/>
          <w:color w:val="auto"/>
        </w:rPr>
        <w:t>. So long as no Default or Event of Default exists or arises as a result thereof and subject to the next succeeding sentence, Borrower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7" w:name="page58"/>
    <w:bookmarkEnd w:id="57"/>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time to time designate a Restricted Subsidiary as an Unrestricted Subsidiary or designate an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(a) provide Administrative Agent written notification of such designation prior to or concurrently therewith (which written notification Administrative Agent will promptly forward to Lenders),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 compliance (in accordance with Section 1.07) with Section 7.06 immediately prior to and after giving effect to such designation and</w:t>
      </w:r>
    </w:p>
    <w:p>
      <w:pPr>
        <w:spacing w:after="0" w:line="5"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not designate as an Unrestricted Subsidiary any Guarantor that is a Significant Subsidiary and that guarantees Material Debt unless such Guarantor is</w:t>
      </w:r>
    </w:p>
    <w:p>
      <w:pPr>
        <w:spacing w:after="0" w:line="32" w:lineRule="exact"/>
        <w:rPr>
          <w:rFonts w:ascii="Arial" w:cs="Arial" w:eastAsia="Arial" w:hAnsi="Arial"/>
          <w:sz w:val="16"/>
          <w:szCs w:val="16"/>
          <w:color w:val="auto"/>
        </w:rPr>
      </w:pPr>
    </w:p>
    <w:p>
      <w:pPr>
        <w:ind w:right="160"/>
        <w:spacing w:after="0" w:line="270" w:lineRule="auto"/>
        <w:rPr>
          <w:rFonts w:ascii="Arial" w:cs="Arial" w:eastAsia="Arial" w:hAnsi="Arial"/>
          <w:sz w:val="16"/>
          <w:szCs w:val="16"/>
          <w:color w:val="auto"/>
        </w:rPr>
      </w:pPr>
      <w:r>
        <w:rPr>
          <w:rFonts w:ascii="Arial" w:cs="Arial" w:eastAsia="Arial" w:hAnsi="Arial"/>
          <w:sz w:val="17"/>
          <w:szCs w:val="17"/>
          <w:color w:val="auto"/>
        </w:rPr>
        <w:t>simultaneously released from its guarantee of such Material Debt. Notwithstanding anything to the contrary contained herein, (x) each Guarantor shall at all times be a Restricted Subsidiary for all purposes hereunder unless such Guarantor is simultaneously released as a Guarantor upon such designation as contemplated pursuant to Section 6.10,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the Subsidiaries listed on Schedule 6.08 as Unrestricted Subsidiaries.</w:t>
      </w:r>
    </w:p>
    <w:p>
      <w:pPr>
        <w:spacing w:after="0" w:line="179" w:lineRule="exact"/>
        <w:rPr>
          <w:sz w:val="20"/>
          <w:szCs w:val="20"/>
          <w:color w:val="auto"/>
        </w:rPr>
      </w:pPr>
    </w:p>
    <w:p>
      <w:pPr>
        <w:jc w:val="both"/>
        <w:ind w:right="100" w:firstLine="913"/>
        <w:spacing w:after="0" w:line="342" w:lineRule="auto"/>
        <w:rPr>
          <w:sz w:val="20"/>
          <w:szCs w:val="20"/>
          <w:color w:val="auto"/>
        </w:rPr>
      </w:pPr>
      <w:r>
        <w:rPr>
          <w:rFonts w:ascii="Arial" w:cs="Arial" w:eastAsia="Arial" w:hAnsi="Arial"/>
          <w:sz w:val="16"/>
          <w:szCs w:val="16"/>
          <w:color w:val="auto"/>
        </w:rPr>
        <w:t xml:space="preserve">6.09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Borrower will maintain in effect and enforce policies and procedures reasonably designed to promote compliance by Borrower, its Subsidiaries and their respective directors, officers, employees and agents with Anti-Corruption Laws and applicable Sanctions.</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Guarantors</w:t>
      </w:r>
      <w:r>
        <w:rPr>
          <w:rFonts w:ascii="Arial" w:cs="Arial" w:eastAsia="Arial" w:hAnsi="Arial"/>
          <w:sz w:val="16"/>
          <w:szCs w:val="16"/>
          <w:color w:val="auto"/>
        </w:rPr>
        <w:t>. Any time after the Effective Date, Borrower may cause any of its Subsidiaries to guarantee the Obligations of Borrower hereunder by delivering to Administrative Agent an Assumption Agreement to the Guarantee Agreement, in form set forth on Annex 1 to the Guarantee Agreement and executed by such proposed Guarantor. If, at any time following the Effective Date, a Guarantor ceases to be a Restricted Subsidiary (including as a result of a redesignation of such Restricted Subsidiary as an Unrestricted Subsidiary or ceases to be a Subsidiary, in each case as a result of a transaction not otherwise prohibited hereunder, then such Guarantor’s guarantee of the Obligations shall be automatically released and such Guarantor shall be automatically released from its obligations under the Guarantee Agreement. In addition, if Borrower elects by notice in writing to Administrative Agent to cause such Guarantor to be released from its guarantee of the Obligations, and a Responsible Officer of Borrower certifies in writing that immediately after giving effect to such release, no Default or Event of Default shall have occurred and be continuing, then immediately upon the delivery of such notice and certification to Administrative Agent such Guarantor’s guarantee of the Obligations shall be automatically released and such Guarantor shall be automatically released from its obligations under the Guarantee Agreement. Notwithstanding the foregoing, no Guarantor that is a Significant Subsidiary and that guarantees any Material Debt may be released from the Guarantee Agreement and its Guarantee Obligation thereunder, including as a result of being designated as an Unrestricted Subsidiary, unless such Guarantor is simultaneously released from its guarantee of such Material Debt. Administrative Agent shall execute such documents as Borrower shall reasonably request to evidence the release contemplated by this Section 6.10.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 long as any Obligations remain unpaid, or any portion of the Revolving Commitments remains outstanding:</w:t>
      </w:r>
    </w:p>
    <w:p>
      <w:pPr>
        <w:spacing w:after="0" w:line="225"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securing Indebtedness for borrowed money (including without duplication Guaranty Obligations in respect thereof) upon any of its property, assets or revenues, whether now owned or hereafter acquired, except:</w:t>
      </w:r>
    </w:p>
    <w:p>
      <w:pPr>
        <w:spacing w:after="0" w:line="181" w:lineRule="exact"/>
        <w:rPr>
          <w:sz w:val="20"/>
          <w:szCs w:val="20"/>
          <w:color w:val="auto"/>
        </w:rPr>
      </w:pPr>
    </w:p>
    <w:p>
      <w:pPr>
        <w:ind w:left="1160" w:hanging="239"/>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jc w:val="both"/>
        <w:ind w:right="140" w:firstLine="921"/>
        <w:spacing w:after="0" w:line="264" w:lineRule="auto"/>
        <w:tabs>
          <w:tab w:leader="none" w:pos="11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existing on the date hereof securing Indebtedness for borrowed money (including without duplication Guaranty Obligations in respect thereof) that does not exceed $750,000,000 in the aggregate, and any renewals or extensions thereof, provided that such Liens are not extended to cover any other property, assets or revenues;</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right="20" w:firstLine="921"/>
        <w:spacing w:after="0" w:line="259" w:lineRule="auto"/>
        <w:tabs>
          <w:tab w:leader="none" w:pos="1158"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and are not extended to cover any other property;</w:t>
      </w:r>
    </w:p>
    <w:p>
      <w:pPr>
        <w:spacing w:after="0" w:line="186" w:lineRule="exact"/>
        <w:rPr>
          <w:rFonts w:ascii="Arial" w:cs="Arial" w:eastAsia="Arial" w:hAnsi="Arial"/>
          <w:sz w:val="18"/>
          <w:szCs w:val="18"/>
          <w:color w:val="auto"/>
        </w:rPr>
      </w:pPr>
    </w:p>
    <w:p>
      <w:pPr>
        <w:ind w:right="240" w:firstLine="921"/>
        <w:spacing w:after="0" w:line="264" w:lineRule="auto"/>
        <w:tabs>
          <w:tab w:leader="none" w:pos="113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the extent constituting Liens securing Indebtedness for borrowed money (including without duplication Guaranty Obligations in respect thereof), Liens under Sale-Leaseback Transactions, and any renewals or extensions thereof, so long as the Indebtedness secured thereby does not exceed $1,000,000,000 in the aggregate;</w:t>
      </w:r>
    </w:p>
    <w:p>
      <w:pPr>
        <w:spacing w:after="0" w:line="181" w:lineRule="exact"/>
        <w:rPr>
          <w:rFonts w:ascii="Arial" w:cs="Arial" w:eastAsia="Arial" w:hAnsi="Arial"/>
          <w:sz w:val="18"/>
          <w:szCs w:val="18"/>
          <w:color w:val="auto"/>
        </w:rPr>
      </w:pPr>
    </w:p>
    <w:p>
      <w:pPr>
        <w:ind w:right="320" w:firstLine="921"/>
        <w:spacing w:after="0" w:line="277" w:lineRule="auto"/>
        <w:tabs>
          <w:tab w:leader="none" w:pos="11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$2,000,000,000 at any one time;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not otherwise permitted hereby which secure Indebtedness incurred pursuant to Asset Monetization Transactions; and</w:t>
      </w:r>
    </w:p>
    <w:p>
      <w:pPr>
        <w:spacing w:after="0" w:line="225" w:lineRule="exact"/>
        <w:rPr>
          <w:rFonts w:ascii="Arial" w:cs="Arial" w:eastAsia="Arial" w:hAnsi="Arial"/>
          <w:sz w:val="18"/>
          <w:szCs w:val="18"/>
          <w:color w:val="auto"/>
        </w:rPr>
      </w:pPr>
    </w:p>
    <w:p>
      <w:pPr>
        <w:ind w:right="40" w:firstLine="921"/>
        <w:spacing w:after="0" w:line="291" w:lineRule="auto"/>
        <w:tabs>
          <w:tab w:leader="none" w:pos="1128" w:val="left"/>
        </w:tabs>
        <w:numPr>
          <w:ilvl w:val="1"/>
          <w:numId w:val="74"/>
        </w:numPr>
        <w:rPr>
          <w:rFonts w:ascii="Arial" w:cs="Arial" w:eastAsia="Arial" w:hAnsi="Arial"/>
          <w:sz w:val="16"/>
          <w:szCs w:val="16"/>
          <w:color w:val="auto"/>
        </w:rPr>
      </w:pPr>
      <w:r>
        <w:rPr>
          <w:rFonts w:ascii="Arial" w:cs="Arial" w:eastAsia="Arial" w:hAnsi="Arial"/>
          <w:sz w:val="16"/>
          <w:szCs w:val="16"/>
          <w:color w:val="auto"/>
        </w:rPr>
        <w:t>other Liens, so long as the aggregate outstanding principal amount of the Indebtedness for borrowed money (including without duplication Guaranty Obligations in respect thereof) secured thereby does not exceed at any time an amount equal to (x) 15% of Consolidated Net Tangible Assets minus</w:t>
      </w: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if any, of any unsecured Indebtedness incurred by any Restricted Subsidiary that is not a Guarantor pursuant to Section 7.02.</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Non-Guarantor Subsidiary Indebtedness</w:t>
      </w:r>
      <w:r>
        <w:rPr>
          <w:rFonts w:ascii="Arial" w:cs="Arial" w:eastAsia="Arial" w:hAnsi="Arial"/>
          <w:sz w:val="18"/>
          <w:szCs w:val="18"/>
          <w:color w:val="auto"/>
        </w:rPr>
        <w:t>. Borrower shall not permit any of its Restricted Subsidiaries that are not Guarantors to create, incur, assume or permit to exist any Indebtedness, except</w:t>
      </w:r>
    </w:p>
    <w:p>
      <w:pPr>
        <w:spacing w:after="0" w:line="170" w:lineRule="exact"/>
        <w:rPr>
          <w:sz w:val="20"/>
          <w:szCs w:val="20"/>
          <w:color w:val="auto"/>
        </w:rPr>
      </w:pPr>
    </w:p>
    <w:p>
      <w:pPr>
        <w:ind w:right="280" w:firstLine="921"/>
        <w:spacing w:after="0" w:line="264" w:lineRule="auto"/>
        <w:tabs>
          <w:tab w:leader="none" w:pos="11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all extensions, renewals and replacements of such Indebtedness that do not increase the outstanding principal amount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59" w:name="page60"/>
    <w:bookmarkEnd w:id="59"/>
    <w:p>
      <w:pPr>
        <w:ind w:left="1180" w:hanging="259"/>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of any Restricted Subsidiary to Borrower or any other Restricted Subsidiary; and</w:t>
      </w:r>
    </w:p>
    <w:p>
      <w:pPr>
        <w:spacing w:after="0" w:line="225" w:lineRule="exact"/>
        <w:rPr>
          <w:rFonts w:ascii="Arial" w:cs="Arial" w:eastAsia="Arial" w:hAnsi="Arial"/>
          <w:sz w:val="18"/>
          <w:szCs w:val="18"/>
          <w:color w:val="auto"/>
        </w:rPr>
      </w:pPr>
    </w:p>
    <w:p>
      <w:pPr>
        <w:jc w:val="both"/>
        <w:ind w:right="100" w:firstLine="921"/>
        <w:spacing w:after="0" w:line="264" w:lineRule="auto"/>
        <w:tabs>
          <w:tab w:leader="none" w:pos="11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Indebtedness in an aggregate principal amount for all such Restricted Subsidiaries that are not Guarantors not exceeding at any time (x) 15% of Consolidated Net Tangible Assets minus (y) the amount, if any, of Indebtedness for borrowed money (including without duplication Guaranty Obligations in respect thereof) of any Loan Party secured pursuant to Section 7.01(i).</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Borrower shall not (A) merge or consolidate with or into any Person or (B) liquidate, wind-up or dissolve itself or</w:t>
      </w:r>
    </w:p>
    <w:p>
      <w:pPr>
        <w:spacing w:after="0" w:line="46" w:lineRule="exact"/>
        <w:rPr>
          <w:sz w:val="20"/>
          <w:szCs w:val="20"/>
          <w:color w:val="auto"/>
        </w:rPr>
      </w:pPr>
    </w:p>
    <w:p>
      <w:pPr>
        <w:ind w:right="40" w:firstLine="8"/>
        <w:spacing w:after="0" w:line="255" w:lineRule="auto"/>
        <w:tabs>
          <w:tab w:leader="none" w:pos="2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sell, transfer or dispose of all or substantially all of its assets, provided that nothing in this Section 7.03 shall be construed to prohibit Borrower from reincorporating in another jurisdiction permitted by clause (iii) below, changing its form of organization or merging into, or transferring all or substantially all of its assets to, another Person so long as:</w:t>
      </w:r>
    </w:p>
    <w:p>
      <w:pPr>
        <w:spacing w:after="0" w:line="82" w:lineRule="exact"/>
        <w:rPr>
          <w:rFonts w:ascii="Arial" w:cs="Arial" w:eastAsia="Arial" w:hAnsi="Arial"/>
          <w:sz w:val="18"/>
          <w:szCs w:val="18"/>
          <w:color w:val="auto"/>
        </w:rPr>
      </w:pPr>
    </w:p>
    <w:p>
      <w:pPr>
        <w:ind w:left="920" w:right="60" w:firstLine="421"/>
        <w:spacing w:after="0" w:line="290" w:lineRule="auto"/>
        <w:tabs>
          <w:tab w:leader="none" w:pos="1555" w:val="left"/>
        </w:tabs>
        <w:numPr>
          <w:ilvl w:val="2"/>
          <w:numId w:val="78"/>
        </w:numPr>
        <w:rPr>
          <w:rFonts w:ascii="Arial" w:cs="Arial" w:eastAsia="Arial" w:hAnsi="Arial"/>
          <w:sz w:val="16"/>
          <w:szCs w:val="16"/>
          <w:color w:val="auto"/>
        </w:rPr>
      </w:pPr>
      <w:r>
        <w:rPr>
          <w:rFonts w:ascii="Arial" w:cs="Arial" w:eastAsia="Arial" w:hAnsi="Arial"/>
          <w:sz w:val="16"/>
          <w:szCs w:val="16"/>
          <w:color w:val="auto"/>
        </w:rPr>
        <w:t>either (x) Borrower shall be the surviving entity with substantially the same assets immediately following the reincorporation or reorganization or (y) 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w:t>
      </w:r>
    </w:p>
    <w:p>
      <w:pPr>
        <w:spacing w:after="0" w:line="58" w:lineRule="exact"/>
        <w:rPr>
          <w:rFonts w:ascii="Arial" w:cs="Arial" w:eastAsia="Arial" w:hAnsi="Arial"/>
          <w:sz w:val="16"/>
          <w:szCs w:val="16"/>
          <w:color w:val="auto"/>
        </w:rPr>
      </w:pPr>
    </w:p>
    <w:p>
      <w:pPr>
        <w:ind w:left="1600" w:hanging="259"/>
        <w:spacing w:after="0"/>
        <w:tabs>
          <w:tab w:leader="none" w:pos="1600" w:val="left"/>
        </w:tabs>
        <w:numPr>
          <w:ilvl w:val="2"/>
          <w:numId w:val="78"/>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and</w:t>
      </w:r>
    </w:p>
    <w:p>
      <w:pPr>
        <w:spacing w:after="0" w:line="128" w:lineRule="exact"/>
        <w:rPr>
          <w:rFonts w:ascii="Arial" w:cs="Arial" w:eastAsia="Arial" w:hAnsi="Arial"/>
          <w:sz w:val="17"/>
          <w:szCs w:val="17"/>
          <w:color w:val="auto"/>
        </w:rPr>
      </w:pPr>
    </w:p>
    <w:p>
      <w:pPr>
        <w:ind w:left="920" w:right="300" w:firstLine="421"/>
        <w:spacing w:after="0" w:line="277" w:lineRule="auto"/>
        <w:tabs>
          <w:tab w:leader="none" w:pos="1655"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Borrower or a Successor Corporation’s jurisdiction of organization shall be a state within in the United States of America or the District of Columbia.</w:t>
      </w:r>
    </w:p>
    <w:p>
      <w:pPr>
        <w:spacing w:after="0" w:line="170" w:lineRule="exact"/>
        <w:rPr>
          <w:rFonts w:ascii="Arial" w:cs="Arial" w:eastAsia="Arial" w:hAnsi="Arial"/>
          <w:sz w:val="18"/>
          <w:szCs w:val="18"/>
          <w:color w:val="auto"/>
        </w:rPr>
      </w:pPr>
    </w:p>
    <w:p>
      <w:pPr>
        <w:ind w:right="80" w:firstLine="921"/>
        <w:spacing w:after="0" w:line="277" w:lineRule="auto"/>
        <w:tabs>
          <w:tab w:leader="none" w:pos="11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Borrower and its Restricted Subsidiaries, taken as a whole, shall continue to operate cable, media and other communications businesses as its primary lines of business.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7.04 </w:t>
      </w:r>
      <w:r>
        <w:rPr>
          <w:rFonts w:ascii="Arial" w:cs="Arial" w:eastAsia="Arial" w:hAnsi="Arial"/>
          <w:sz w:val="17"/>
          <w:szCs w:val="17"/>
          <w:u w:val="single" w:color="auto"/>
          <w:color w:val="auto"/>
        </w:rPr>
        <w:t>ERISA</w:t>
      </w:r>
      <w:r>
        <w:rPr>
          <w:rFonts w:ascii="Arial" w:cs="Arial" w:eastAsia="Arial" w:hAnsi="Arial"/>
          <w:sz w:val="17"/>
          <w:szCs w:val="17"/>
          <w:color w:val="auto"/>
        </w:rPr>
        <w:t>. Borrower shall not, nor shall it permit any Restricted Subsidiary to, directly or indirectly, at any time permit (a) any Plan to</w:t>
      </w:r>
    </w:p>
    <w:p>
      <w:pPr>
        <w:spacing w:after="0" w:line="35" w:lineRule="exact"/>
        <w:rPr>
          <w:sz w:val="20"/>
          <w:szCs w:val="20"/>
          <w:color w:val="auto"/>
        </w:rPr>
      </w:pPr>
    </w:p>
    <w:p>
      <w:pPr>
        <w:ind w:right="20" w:firstLine="8"/>
        <w:spacing w:after="0" w:line="255" w:lineRule="auto"/>
        <w:tabs>
          <w:tab w:leader="none" w:pos="2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engage in any non-exempt “prohibited transaction” (as defined in Section 4975 of the Code) or (ii) fail to comply with ERISA or any other Laws applicable to a Plan or (b) the occurrence of any ERISA Event; which, with respect to each event described in clauses (a) or (b) above, has a Material Adverse Effect.</w:t>
      </w:r>
    </w:p>
    <w:p>
      <w:pPr>
        <w:spacing w:after="0" w:line="190"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Borrower will not request any Borrowing or Letter of Credit, and Borrower shall not use, and shall not make available to its Subsidiaries and its or their respective directors, officers, employees and agents, the proceeds of any Borrowing or Letter of Credit</w:t>
      </w:r>
    </w:p>
    <w:p>
      <w:pPr>
        <w:ind w:left="5620" w:right="4400" w:hanging="5612"/>
        <w:spacing w:after="0" w:line="433" w:lineRule="auto"/>
        <w:tabs>
          <w:tab w:leader="none" w:pos="29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furtherance of an offer, payment, promise to pay, or authorization of the payment or giving 51</w:t>
      </w:r>
    </w:p>
    <w:p>
      <w:pPr>
        <w:sectPr>
          <w:pgSz w:w="11900" w:h="16838" w:orient="portrait"/>
          <w:cols w:equalWidth="0" w:num="1">
            <w:col w:w="11420"/>
          </w:cols>
          <w:pgMar w:left="240" w:top="274" w:right="239" w:bottom="1440" w:gutter="0" w:footer="0" w:header="0"/>
        </w:sectPr>
      </w:pPr>
    </w:p>
    <w:bookmarkStart w:id="60" w:name="page61"/>
    <w:bookmarkEnd w:id="6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money, or anything else of value, to any Person in violation of any Anti-Corruption Laws, (B) for the purpose of funding, financing or facilitating any activities, business or transaction of or with any Sanctioned Person, or in any Sanctioned Country, except to the extent such activities, business or transaction are not prohibited by any Sanctions applicable to Borrower or any of its Subsidiaries, or (C) in any manner that would result in the violation of any Sanctions applicable to any party hereto.</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u w:val="single" w:color="auto"/>
          <w:color w:val="auto"/>
        </w:rPr>
        <w:t>Financial Covenant</w:t>
      </w:r>
      <w:r>
        <w:rPr>
          <w:rFonts w:ascii="Arial" w:cs="Arial" w:eastAsia="Arial" w:hAnsi="Arial"/>
          <w:sz w:val="16"/>
          <w:szCs w:val="16"/>
          <w:color w:val="auto"/>
        </w:rPr>
        <w:t>. Borrower shall not permit the Leverage Ratio as of the end of any fiscal quarter of Borrower to be greater than 5.75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events shall constitute an Event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Borrower fails to pay any principal on any of its Outstanding Revolving Obligations or Competitive Loans (other than fees) on the date when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due; or</w:t>
      </w:r>
    </w:p>
    <w:p>
      <w:pPr>
        <w:spacing w:after="0" w:line="211" w:lineRule="exact"/>
        <w:rPr>
          <w:sz w:val="20"/>
          <w:szCs w:val="20"/>
          <w:color w:val="auto"/>
        </w:rPr>
      </w:pPr>
    </w:p>
    <w:p>
      <w:pPr>
        <w:ind w:right="160" w:firstLine="921"/>
        <w:spacing w:after="0" w:line="264" w:lineRule="auto"/>
        <w:tabs>
          <w:tab w:leader="none" w:pos="11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Borrower fails to pay any interest on any of its Outstanding Revolving Obligations or Competitive Loans, or any commitment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7.03 or 7.06; or</w:t>
      </w:r>
    </w:p>
    <w:p>
      <w:pPr>
        <w:spacing w:after="0" w:line="225"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81" w:lineRule="exact"/>
        <w:rPr>
          <w:rFonts w:ascii="Arial" w:cs="Arial" w:eastAsia="Arial" w:hAnsi="Arial"/>
          <w:sz w:val="18"/>
          <w:szCs w:val="18"/>
          <w:color w:val="auto"/>
        </w:rPr>
      </w:pPr>
    </w:p>
    <w:p>
      <w:pPr>
        <w:ind w:right="220" w:firstLine="921"/>
        <w:spacing w:after="0" w:line="277" w:lineRule="auto"/>
        <w:tabs>
          <w:tab w:leader="none" w:pos="11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70" w:lineRule="exact"/>
        <w:rPr>
          <w:rFonts w:ascii="Arial" w:cs="Arial" w:eastAsia="Arial" w:hAnsi="Arial"/>
          <w:sz w:val="18"/>
          <w:szCs w:val="18"/>
          <w:color w:val="auto"/>
        </w:rPr>
      </w:pPr>
    </w:p>
    <w:p>
      <w:pPr>
        <w:ind w:firstLine="921"/>
        <w:spacing w:after="0" w:line="270" w:lineRule="auto"/>
        <w:tabs>
          <w:tab w:leader="none" w:pos="1138"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Borrower or any Restricted Subsidiary (x) defaults in any payment when due (giving effect to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shall generally not pay its debts as they become due or shall admit in writing its inability to pay its debts as they mature; or</w:t>
      </w:r>
    </w:p>
    <w:p>
      <w:pPr>
        <w:spacing w:after="0" w:line="181" w:lineRule="exact"/>
        <w:rPr>
          <w:rFonts w:ascii="Arial" w:cs="Arial" w:eastAsia="Arial" w:hAnsi="Arial"/>
          <w:sz w:val="17"/>
          <w:szCs w:val="17"/>
          <w:color w:val="auto"/>
        </w:rPr>
      </w:pPr>
    </w:p>
    <w:p>
      <w:pPr>
        <w:ind w:firstLine="921"/>
        <w:spacing w:after="0" w:line="277" w:lineRule="auto"/>
        <w:tabs>
          <w:tab w:leader="none" w:pos="11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Guarantee Agreement, at any time after its execution and delivery and for any reason other than the agreement of Required Lenders or all Lenders, as may be required hereunder,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61" w:name="page62"/>
    <w:bookmarkEnd w:id="61"/>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satisfaction in full of all the Obligations, ceases to be in full force and effect or is declared by a court of competent jurisdiction to be null and void, invalid or unenforceable in any material respect; or Borrower denies in writing that it has any or further liability or obligation under the Guarantee Agreement, or purports to revoke, terminate or rescind the Guarantee Agreement in writing; or</w:t>
      </w:r>
    </w:p>
    <w:p>
      <w:pPr>
        <w:spacing w:after="0" w:line="181" w:lineRule="exact"/>
        <w:rPr>
          <w:sz w:val="20"/>
          <w:szCs w:val="20"/>
          <w:color w:val="auto"/>
        </w:rPr>
      </w:pPr>
    </w:p>
    <w:p>
      <w:pPr>
        <w:jc w:val="both"/>
        <w:ind w:right="280" w:firstLine="921"/>
        <w:spacing w:after="0" w:line="264" w:lineRule="auto"/>
        <w:tabs>
          <w:tab w:leader="none" w:pos="11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final non-appealable judgment against Borrower or any of its Significant Subsidiaries is entered for the payment of money (which is not covered by insurance) in excess of the Threshold Amount if such judgment remains unsatisfied without procurement of a stay of execution for 60 calendar days after the date of entry of such judgment; or</w:t>
      </w:r>
    </w:p>
    <w:p>
      <w:pPr>
        <w:spacing w:after="0" w:line="181" w:lineRule="exact"/>
        <w:rPr>
          <w:rFonts w:ascii="Arial" w:cs="Arial" w:eastAsia="Arial" w:hAnsi="Arial"/>
          <w:sz w:val="18"/>
          <w:szCs w:val="18"/>
          <w:color w:val="auto"/>
        </w:rPr>
      </w:pPr>
    </w:p>
    <w:p>
      <w:pPr>
        <w:ind w:firstLine="921"/>
        <w:spacing w:after="0" w:line="273" w:lineRule="auto"/>
        <w:tabs>
          <w:tab w:leader="none" w:pos="1128" w:val="left"/>
        </w:tabs>
        <w:numPr>
          <w:ilvl w:val="0"/>
          <w:numId w:val="82"/>
        </w:numPr>
        <w:rPr>
          <w:rFonts w:ascii="Arial" w:cs="Arial" w:eastAsia="Arial" w:hAnsi="Arial"/>
          <w:sz w:val="17"/>
          <w:szCs w:val="17"/>
          <w:color w:val="auto"/>
        </w:rPr>
      </w:pPr>
      <w:r>
        <w:rPr>
          <w:rFonts w:ascii="Arial" w:cs="Arial" w:eastAsia="Arial" w:hAnsi="Arial"/>
          <w:sz w:val="17"/>
          <w:szCs w:val="17"/>
          <w:color w:val="auto"/>
        </w:rPr>
        <w:t>Borrower or any of its Significant Subsidiaries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78" w:lineRule="exact"/>
        <w:rPr>
          <w:rFonts w:ascii="Arial" w:cs="Arial" w:eastAsia="Arial" w:hAnsi="Arial"/>
          <w:sz w:val="17"/>
          <w:szCs w:val="17"/>
          <w:color w:val="auto"/>
        </w:rPr>
      </w:pPr>
    </w:p>
    <w:p>
      <w:pPr>
        <w:ind w:left="1140" w:hanging="219"/>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Without limiting any other rights or remedies of Administrative Agent or Lenders provided for elsewhere in this Agreement, or the other Loan Documents, or by applicable Law, or in equity, or otherwise:</w:t>
      </w:r>
    </w:p>
    <w:p>
      <w:pPr>
        <w:spacing w:after="0" w:line="170"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any Event of Default other than an Event of Default described in Section 8.01(i):</w:t>
      </w:r>
    </w:p>
    <w:p>
      <w:pPr>
        <w:spacing w:after="0" w:line="128" w:lineRule="exact"/>
        <w:rPr>
          <w:rFonts w:ascii="Arial" w:cs="Arial" w:eastAsia="Arial" w:hAnsi="Arial"/>
          <w:sz w:val="17"/>
          <w:szCs w:val="17"/>
          <w:color w:val="auto"/>
        </w:rPr>
      </w:pPr>
    </w:p>
    <w:p>
      <w:pPr>
        <w:ind w:left="920" w:right="40" w:firstLine="421"/>
        <w:spacing w:after="0" w:line="257" w:lineRule="auto"/>
        <w:tabs>
          <w:tab w:leader="none" w:pos="154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Borrower; and</w:t>
      </w:r>
    </w:p>
    <w:p>
      <w:pPr>
        <w:spacing w:after="0" w:line="80" w:lineRule="exact"/>
        <w:rPr>
          <w:rFonts w:ascii="Arial" w:cs="Arial" w:eastAsia="Arial" w:hAnsi="Arial"/>
          <w:sz w:val="18"/>
          <w:szCs w:val="18"/>
          <w:color w:val="auto"/>
        </w:rPr>
      </w:pPr>
    </w:p>
    <w:p>
      <w:pPr>
        <w:ind w:left="920" w:right="160" w:firstLine="421"/>
        <w:spacing w:after="0" w:line="264" w:lineRule="auto"/>
        <w:tabs>
          <w:tab w:leader="none" w:pos="16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Administrative Agent may, with the consent of the Required Lenders, and (subject to the terms of Section 9) shall, upon the request of Required Lenders, demand immediate payment by Borrower of an amount equal to the aggregate amount of all outstanding Letter of Credit Usage to be held in a Letter of Credit Cash Collateral Account.</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8.01(i):</w:t>
      </w:r>
    </w:p>
    <w:p>
      <w:pPr>
        <w:spacing w:after="0" w:line="117" w:lineRule="exact"/>
        <w:rPr>
          <w:rFonts w:ascii="Arial" w:cs="Arial" w:eastAsia="Arial" w:hAnsi="Arial"/>
          <w:sz w:val="18"/>
          <w:szCs w:val="18"/>
          <w:color w:val="auto"/>
        </w:rPr>
      </w:pPr>
    </w:p>
    <w:p>
      <w:pPr>
        <w:ind w:left="920" w:right="100" w:firstLine="421"/>
        <w:spacing w:after="0" w:line="277" w:lineRule="auto"/>
        <w:tabs>
          <w:tab w:leader="none" w:pos="15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Revolving Commitments and all other obligations of Administrative Agent or Lenders shall automatically terminate without notice to or demand upon Borrower, which is expressly waived by Borrower;</w:t>
      </w:r>
    </w:p>
    <w:p>
      <w:pPr>
        <w:spacing w:after="0" w:line="62" w:lineRule="exact"/>
        <w:rPr>
          <w:rFonts w:ascii="Arial" w:cs="Arial" w:eastAsia="Arial" w:hAnsi="Arial"/>
          <w:sz w:val="18"/>
          <w:szCs w:val="18"/>
          <w:color w:val="auto"/>
        </w:rPr>
      </w:pPr>
    </w:p>
    <w:p>
      <w:pPr>
        <w:jc w:val="both"/>
        <w:ind w:left="920" w:right="300" w:firstLine="421"/>
        <w:spacing w:after="0" w:line="264" w:lineRule="auto"/>
        <w:tabs>
          <w:tab w:leader="none" w:pos="16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 payable, without protest, presentment, notice of dishonor, demand or further notice of any kind, all of which are expressly waived by Borrower;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2" w:name="page63"/>
    <w:bookmarkEnd w:id="62"/>
    <w:p>
      <w:pPr>
        <w:ind w:left="1660" w:hanging="319"/>
        <w:spacing w:after="0"/>
        <w:tabs>
          <w:tab w:leader="none" w:pos="1660" w:val="left"/>
        </w:tabs>
        <w:numPr>
          <w:ilvl w:val="1"/>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amount equal to the aggregate amount of all outstanding Letter of Credit Usage shall be immediately due and payable to</w:t>
      </w:r>
    </w:p>
    <w:p>
      <w:pPr>
        <w:spacing w:after="0" w:line="34" w:lineRule="exact"/>
        <w:rPr>
          <w:rFonts w:ascii="Arial" w:cs="Arial" w:eastAsia="Arial" w:hAnsi="Arial"/>
          <w:sz w:val="17"/>
          <w:szCs w:val="17"/>
          <w:color w:val="auto"/>
        </w:rPr>
      </w:pPr>
    </w:p>
    <w:p>
      <w:pPr>
        <w:ind w:left="920" w:right="100"/>
        <w:spacing w:after="0" w:line="261" w:lineRule="auto"/>
        <w:rPr>
          <w:rFonts w:ascii="Arial" w:cs="Arial" w:eastAsia="Arial" w:hAnsi="Arial"/>
          <w:sz w:val="17"/>
          <w:szCs w:val="17"/>
          <w:color w:val="auto"/>
        </w:rPr>
      </w:pPr>
      <w:r>
        <w:rPr>
          <w:rFonts w:ascii="Arial" w:cs="Arial" w:eastAsia="Arial" w:hAnsi="Arial"/>
          <w:sz w:val="18"/>
          <w:szCs w:val="18"/>
          <w:color w:val="auto"/>
        </w:rPr>
        <w:t>Administrative Agent without notice to or demand upon Borrower, which is expressly waived by Borrower, to be held in a Letter of Credit Cash Collateral Account.</w:t>
      </w:r>
    </w:p>
    <w:p>
      <w:pPr>
        <w:spacing w:after="0" w:line="183" w:lineRule="exact"/>
        <w:rPr>
          <w:rFonts w:ascii="Arial" w:cs="Arial" w:eastAsia="Arial" w:hAnsi="Arial"/>
          <w:sz w:val="17"/>
          <w:szCs w:val="17"/>
          <w:color w:val="auto"/>
        </w:rPr>
      </w:pPr>
    </w:p>
    <w:p>
      <w:pPr>
        <w:ind w:firstLine="921"/>
        <w:spacing w:after="0" w:line="264" w:lineRule="auto"/>
        <w:tabs>
          <w:tab w:leader="none" w:pos="11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the occurrence of any Event of Default, Administrative Agent may, with the consent of the Required Lenders, and (subject to the terms of Section 9) shall, upon the request of Required Lenders, protect, exercise and enforce against Borrower the rights and remedies of Administrative Agent and Lenders under the Loan Documents and such other rights and remedies as are provided by Law or equity.</w:t>
      </w:r>
    </w:p>
    <w:p>
      <w:pPr>
        <w:spacing w:after="0" w:line="181" w:lineRule="exact"/>
        <w:rPr>
          <w:rFonts w:ascii="Arial" w:cs="Arial" w:eastAsia="Arial" w:hAnsi="Arial"/>
          <w:sz w:val="18"/>
          <w:szCs w:val="18"/>
          <w:color w:val="auto"/>
        </w:rPr>
      </w:pPr>
    </w:p>
    <w:p>
      <w:pPr>
        <w:ind w:firstLine="921"/>
        <w:spacing w:after="0" w:line="289" w:lineRule="auto"/>
        <w:tabs>
          <w:tab w:leader="none" w:pos="116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 subject to the last parenthetical of Section 2.1(a) of the Guarantee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67"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attorneys-in-fact selected by it with reasonable care.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63" w:name="page64"/>
    <w:bookmarkEnd w:id="63"/>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9.03 </w:t>
      </w: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78" w:lineRule="exact"/>
        <w:rPr>
          <w:sz w:val="20"/>
          <w:szCs w:val="20"/>
          <w:color w:val="auto"/>
        </w:rPr>
      </w:pPr>
    </w:p>
    <w:p>
      <w:pPr>
        <w:ind w:right="20" w:firstLine="921"/>
        <w:spacing w:after="0" w:line="259" w:lineRule="auto"/>
        <w:tabs>
          <w:tab w:leader="none" w:pos="11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Administrative Agent shall not be deemed to have knowledge or notice of the occurrence of any Default or Event of Default unless Administrative Agent has received notice from a Lender or 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4" w:name="page65"/>
    <w:bookmarkEnd w:id="64"/>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9.06 </w:t>
      </w:r>
      <w:r>
        <w:rPr>
          <w:rFonts w:ascii="Arial" w:cs="Arial" w:eastAsia="Arial" w:hAnsi="Arial"/>
          <w:sz w:val="17"/>
          <w:szCs w:val="17"/>
          <w:u w:val="single" w:color="auto"/>
          <w:color w:val="auto"/>
        </w:rPr>
        <w:t>Non-Reliance on Agents and Other Lenders</w:t>
      </w:r>
      <w:r>
        <w:rPr>
          <w:rFonts w:ascii="Arial" w:cs="Arial" w:eastAsia="Arial" w:hAnsi="Arial"/>
          <w:sz w:val="17"/>
          <w:szCs w:val="17"/>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8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9.07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Lenders agree to indemnify each Agent and Issuing Lender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8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Each Agent and its affiliates may make loans to, accept deposits from and generally engage in any kind of business with any Loan Party and its affiliates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8"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9.09 </w:t>
      </w: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Administrative Agent may resign as Administrative Agent upon 30 days’ notice to Lenders and Borrower. If Administrative Agent shall resign as Administrative Agent under this Agreement and the other Loan Documents, then the Required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65" w:name="page66"/>
    <w:bookmarkEnd w:id="65"/>
    <w:p>
      <w:pPr>
        <w:ind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 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9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Co-Documentation Agents and Syndication Agent</w:t>
      </w:r>
      <w:r>
        <w:rPr>
          <w:rFonts w:ascii="Arial" w:cs="Arial" w:eastAsia="Arial" w:hAnsi="Arial"/>
          <w:sz w:val="17"/>
          <w:szCs w:val="17"/>
          <w:color w:val="auto"/>
        </w:rPr>
        <w:t>. None of Co-Documentation Agents nor Syndication Agent nor any Person identified on the cover page of this Agreement as a Joint Lead Arranger and Joint Bookrunner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Consents</w:t>
      </w:r>
      <w:r>
        <w:rPr>
          <w:rFonts w:ascii="Arial" w:cs="Arial" w:eastAsia="Arial" w:hAnsi="Arial"/>
          <w:sz w:val="16"/>
          <w:szCs w:val="16"/>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Borrower, Administrative Agent and each Lender directly and adversely affected thereby, no amendment, modification, supplement, termination, waiver, approval, or consent may be effective to:</w:t>
      </w:r>
    </w:p>
    <w:p>
      <w:pPr>
        <w:spacing w:after="0" w:line="165" w:lineRule="exact"/>
        <w:rPr>
          <w:sz w:val="20"/>
          <w:szCs w:val="20"/>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Revolving Obligations or Competitive Loans owed to such Lender;</w:t>
      </w:r>
    </w:p>
    <w:p>
      <w:pPr>
        <w:spacing w:after="0" w:line="225"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Reduce the rate of interest payable on any Outstanding Revolving Obligations or Competitive Loans owed to such Lender or the amount or rate of any fee or other amount payable to such Lender under the Loan Documents, except that Required Lenders may waive or defer the imposition of the Default Rate;</w:t>
      </w:r>
    </w:p>
    <w:p>
      <w:pPr>
        <w:spacing w:after="0" w:line="181" w:lineRule="exact"/>
        <w:rPr>
          <w:rFonts w:ascii="Arial" w:cs="Arial" w:eastAsia="Arial" w:hAnsi="Arial"/>
          <w:sz w:val="18"/>
          <w:szCs w:val="18"/>
          <w:color w:val="auto"/>
        </w:rPr>
      </w:pPr>
    </w:p>
    <w:p>
      <w:pPr>
        <w:ind w:right="20" w:firstLine="921"/>
        <w:spacing w:after="0" w:line="277" w:lineRule="auto"/>
        <w:tabs>
          <w:tab w:leader="none" w:pos="11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Borrower to pay when due principal, interest, any commitment fee, or any other amount payable to such Lender under the Loan Documents;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6" w:name="page67"/>
    <w:bookmarkEnd w:id="66"/>
    <w:p>
      <w:pPr>
        <w:ind w:right="20" w:firstLine="921"/>
        <w:spacing w:after="0" w:line="257" w:lineRule="auto"/>
        <w:tabs>
          <w:tab w:leader="none" w:pos="1168"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Postpone any date scheduled for the payment of principal of, or interest on, any Loan or any Letter of Credit reimbursement obligation or for the payment of any commitment fee or for the payment of any other amount, in each case payable to such Lender under the Loan Documents, or extend the term of, or increase the amount of, such Lender’s Revolving Commitment (it being understood that a waiver of any Event of Default not referred to in subsection (c) above shall require only the consent of Required Lenders) or modify such Lender’s share of the Revolving Commitments (except as contemplated hereby);</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 or waive the definition of “Required Lenders” or the provisions of this Section 10.01 or Section 10.06; or</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22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provided, however,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 (iii) any fee letters may be amended, or rights or privileges thereunder waived, in a writing executed by the parties thereto, (iv) any amendment, waiver, or consent to a Letter of Credit Application which is not inconsistent with Section 2.03 shall require only the written approval of Borrower, Administrative Agent and the applicable Issuing Lender, (v) except as otherwise contemplated hereunder, without the written consent of all Lenders, no amendment, waiver or consent shall release all or substantially all of Guarantors from their obligations under the Guarantee Agreement and</w:t>
      </w:r>
    </w:p>
    <w:p>
      <w:pPr>
        <w:spacing w:after="0" w:line="3" w:lineRule="exact"/>
        <w:rPr>
          <w:sz w:val="20"/>
          <w:szCs w:val="20"/>
          <w:color w:val="auto"/>
        </w:rPr>
      </w:pPr>
    </w:p>
    <w:p>
      <w:pPr>
        <w:ind w:right="220" w:firstLine="8"/>
        <w:spacing w:after="0" w:line="261" w:lineRule="auto"/>
        <w:tabs>
          <w:tab w:leader="none" w:pos="3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without the written consent of all Lenders, no amendment, waiver or consent shall add an Alternative Currency or change the currency of any Loan or other amount outstanding hereunder.</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that any Lender does not consent to any proposed amendment, supplement, modification (including the addition of an Alternative Currency), consent or waiver of any provision of this Agreement or any other Loan Document that requires the consent of each of the Lenders or each of the Lenders directly and adversely affected thereby, so long as the consent of Required Lenders has been obtained, Borrower shall be permitted to remove or replace such Lender in accordance with Section 10.21.</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amendment, modification, supplement, termination, waiver or consent pursuant to this Section shall apply equally to, and shall be binding upon, all Lenders and Administrative Agent.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avoidance of doubt, the Letter of Credit Commitment of any Issuing Lender may be amended with the consent of Borrower and such Issuing Lender without the need to obtain the consent of the other Lenders.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Requisite Notice; Electronic Communications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8" w:lineRule="auto"/>
        <w:tabs>
          <w:tab w:leader="none" w:pos="1157"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Requisite Notice</w:t>
      </w:r>
      <w:r>
        <w:rPr>
          <w:rFonts w:ascii="Arial" w:cs="Arial" w:eastAsia="Arial" w:hAnsi="Arial"/>
          <w:sz w:val="16"/>
          <w:szCs w:val="16"/>
          <w:color w:val="auto"/>
        </w:rPr>
        <w:t>. Notices given in connection with any Loan Document shall be delivered to the intended recipient at the number and/or address (including email address) set forth in the case of Borrower, Administrative Agent and Issuing Lenders on Schedule 10.02, and in the case of Lenders, on the Administrative Questionnaire (or as otherwise specified from time to time by such recipient in writing to Administrative Agent) and shall be given by</w:t>
      </w:r>
    </w:p>
    <w:p>
      <w:pPr>
        <w:ind w:left="220" w:hanging="212"/>
        <w:spacing w:after="0"/>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irrevocable written notice or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274" w:right="31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except as otherwise provided, irrevocable telephonic (not voicemail) notice. Such notices may be delivered and shall be effective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20" w:type="dxa"/>
            <w:vAlign w:val="bottom"/>
            <w:gridSpan w:val="2"/>
          </w:tcPr>
          <w:p>
            <w:pPr>
              <w:spacing w:after="0"/>
              <w:rPr>
                <w:sz w:val="20"/>
                <w:szCs w:val="20"/>
                <w:color w:val="auto"/>
              </w:rPr>
            </w:pPr>
            <w:r>
              <w:rPr>
                <w:rFonts w:ascii="Arial" w:cs="Arial" w:eastAsia="Arial" w:hAnsi="Arial"/>
                <w:sz w:val="14"/>
                <w:szCs w:val="14"/>
                <w:color w:val="auto"/>
              </w:rPr>
              <w:t>Mode of Delivery</w:t>
            </w:r>
          </w:p>
        </w:tc>
        <w:tc>
          <w:tcPr>
            <w:tcW w:w="7380" w:type="dxa"/>
            <w:vAlign w:val="bottom"/>
            <w:vMerge w:val="restart"/>
          </w:tcPr>
          <w:p>
            <w:pPr>
              <w:ind w:left="2040"/>
              <w:spacing w:after="0"/>
              <w:rPr>
                <w:sz w:val="20"/>
                <w:szCs w:val="20"/>
                <w:color w:val="auto"/>
              </w:rPr>
            </w:pPr>
            <w:r>
              <w:rPr>
                <w:rFonts w:ascii="Arial" w:cs="Arial" w:eastAsia="Arial" w:hAnsi="Arial"/>
                <w:sz w:val="18"/>
                <w:szCs w:val="18"/>
                <w:color w:val="auto"/>
                <w:w w:val="90"/>
              </w:rPr>
              <w:t>Effective on earlier of actual receipt and fourth Business Day after deposit</w:t>
            </w:r>
          </w:p>
        </w:tc>
        <w:tc>
          <w:tcPr>
            <w:tcW w:w="0" w:type="dxa"/>
            <w:vAlign w:val="bottom"/>
          </w:tcPr>
          <w:p>
            <w:pPr>
              <w:spacing w:after="0"/>
              <w:rPr>
                <w:sz w:val="1"/>
                <w:szCs w:val="1"/>
                <w:color w:val="auto"/>
              </w:rPr>
            </w:pPr>
          </w:p>
        </w:tc>
      </w:tr>
      <w:tr>
        <w:trPr>
          <w:trHeight w:val="195"/>
        </w:trPr>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Mail</w:t>
            </w:r>
          </w:p>
        </w:tc>
        <w:tc>
          <w:tcPr>
            <w:tcW w:w="2880" w:type="dxa"/>
            <w:vAlign w:val="bottom"/>
          </w:tcPr>
          <w:p>
            <w:pPr>
              <w:spacing w:after="0"/>
              <w:rPr>
                <w:sz w:val="16"/>
                <w:szCs w:val="16"/>
                <w:color w:val="auto"/>
              </w:rPr>
            </w:pPr>
          </w:p>
        </w:tc>
        <w:tc>
          <w:tcPr>
            <w:tcW w:w="7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380" w:type="dxa"/>
            <w:vAlign w:val="bottom"/>
          </w:tcPr>
          <w:p>
            <w:pPr>
              <w:ind w:left="2040"/>
              <w:spacing w:after="0"/>
              <w:rPr>
                <w:sz w:val="20"/>
                <w:szCs w:val="20"/>
                <w:color w:val="auto"/>
              </w:rPr>
            </w:pPr>
            <w:r>
              <w:rPr>
                <w:rFonts w:ascii="Arial" w:cs="Arial" w:eastAsia="Arial" w:hAnsi="Arial"/>
                <w:sz w:val="18"/>
                <w:szCs w:val="18"/>
                <w:color w:val="auto"/>
              </w:rPr>
              <w:t>in U.S. Mail, first class postage pre-paid</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380" w:type="dxa"/>
            <w:vAlign w:val="bottom"/>
          </w:tcPr>
          <w:p>
            <w:pPr>
              <w:ind w:left="2040"/>
              <w:spacing w:after="0"/>
              <w:rPr>
                <w:sz w:val="20"/>
                <w:szCs w:val="20"/>
                <w:color w:val="auto"/>
              </w:rPr>
            </w:pPr>
            <w:r>
              <w:rPr>
                <w:rFonts w:ascii="Arial" w:cs="Arial" w:eastAsia="Arial" w:hAnsi="Arial"/>
                <w:sz w:val="18"/>
                <w:szCs w:val="18"/>
                <w:color w:val="auto"/>
              </w:rPr>
              <w:t>When received</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380" w:type="dxa"/>
            <w:vAlign w:val="bottom"/>
          </w:tcPr>
          <w:p>
            <w:pPr>
              <w:ind w:left="2040"/>
              <w:spacing w:after="0"/>
              <w:rPr>
                <w:sz w:val="20"/>
                <w:szCs w:val="20"/>
                <w:color w:val="auto"/>
              </w:rPr>
            </w:pPr>
            <w:r>
              <w:rPr>
                <w:rFonts w:ascii="Arial" w:cs="Arial" w:eastAsia="Arial" w:hAnsi="Arial"/>
                <w:sz w:val="18"/>
                <w:szCs w:val="18"/>
                <w:color w:val="auto"/>
              </w:rPr>
              <w:t>When conversation completed (must be confirmed in writing)</w:t>
            </w:r>
          </w:p>
        </w:tc>
        <w:tc>
          <w:tcPr>
            <w:tcW w:w="0" w:type="dxa"/>
            <w:vAlign w:val="bottom"/>
          </w:tcPr>
          <w:p>
            <w:pPr>
              <w:spacing w:after="0"/>
              <w:rPr>
                <w:sz w:val="1"/>
                <w:szCs w:val="1"/>
                <w:color w:val="auto"/>
              </w:rPr>
            </w:pPr>
          </w:p>
        </w:tc>
      </w:tr>
      <w:tr>
        <w:trPr>
          <w:trHeight w:val="310"/>
        </w:trPr>
        <w:tc>
          <w:tcPr>
            <w:tcW w:w="392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7380" w:type="dxa"/>
            <w:vAlign w:val="bottom"/>
          </w:tcPr>
          <w:p>
            <w:pPr>
              <w:ind w:left="2040"/>
              <w:spacing w:after="0"/>
              <w:rPr>
                <w:sz w:val="20"/>
                <w:szCs w:val="20"/>
                <w:color w:val="auto"/>
              </w:rPr>
            </w:pPr>
            <w:r>
              <w:rPr>
                <w:rFonts w:ascii="Arial" w:cs="Arial" w:eastAsia="Arial" w:hAnsi="Arial"/>
                <w:sz w:val="18"/>
                <w:szCs w:val="18"/>
                <w:color w:val="auto"/>
                <w:w w:val="91"/>
              </w:rPr>
              <w:t>When sent (except that, if not given during normal business hours for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380" w:type="dxa"/>
            <w:vAlign w:val="bottom"/>
          </w:tcPr>
          <w:p>
            <w:pPr>
              <w:ind w:left="2040"/>
              <w:spacing w:after="0"/>
              <w:rPr>
                <w:sz w:val="20"/>
                <w:szCs w:val="20"/>
                <w:color w:val="auto"/>
              </w:rPr>
            </w:pPr>
            <w:r>
              <w:rPr>
                <w:rFonts w:ascii="Arial" w:cs="Arial" w:eastAsia="Arial" w:hAnsi="Arial"/>
                <w:sz w:val="18"/>
                <w:szCs w:val="18"/>
                <w:color w:val="auto"/>
                <w:w w:val="95"/>
              </w:rPr>
              <w:t>recipient, shall be deemed to be giving at opening of business on next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380" w:type="dxa"/>
            <w:vAlign w:val="bottom"/>
          </w:tcPr>
          <w:p>
            <w:pPr>
              <w:ind w:left="2040"/>
              <w:spacing w:after="0"/>
              <w:rPr>
                <w:sz w:val="20"/>
                <w:szCs w:val="20"/>
                <w:color w:val="auto"/>
              </w:rPr>
            </w:pPr>
            <w:r>
              <w:rPr>
                <w:rFonts w:ascii="Arial" w:cs="Arial" w:eastAsia="Arial" w:hAnsi="Arial"/>
                <w:sz w:val="18"/>
                <w:szCs w:val="18"/>
                <w:color w:val="auto"/>
              </w:rPr>
              <w:t>Business Day for recipient)</w:t>
            </w:r>
          </w:p>
        </w:tc>
        <w:tc>
          <w:tcPr>
            <w:tcW w:w="0" w:type="dxa"/>
            <w:vAlign w:val="bottom"/>
          </w:tcPr>
          <w:p>
            <w:pPr>
              <w:spacing w:after="0"/>
              <w:rPr>
                <w:sz w:val="1"/>
                <w:szCs w:val="1"/>
                <w:color w:val="auto"/>
              </w:rPr>
            </w:pPr>
          </w:p>
        </w:tc>
      </w:tr>
      <w:tr>
        <w:trPr>
          <w:trHeight w:val="324"/>
        </w:trPr>
        <w:tc>
          <w:tcPr>
            <w:tcW w:w="392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7380" w:type="dxa"/>
            <w:vAlign w:val="bottom"/>
          </w:tcPr>
          <w:p>
            <w:pPr>
              <w:ind w:left="2040"/>
              <w:spacing w:after="0"/>
              <w:rPr>
                <w:sz w:val="20"/>
                <w:szCs w:val="20"/>
                <w:color w:val="auto"/>
              </w:rPr>
            </w:pPr>
            <w:r>
              <w:rPr>
                <w:rFonts w:ascii="Arial" w:cs="Arial" w:eastAsia="Arial" w:hAnsi="Arial"/>
                <w:sz w:val="18"/>
                <w:szCs w:val="18"/>
                <w:color w:val="auto"/>
              </w:rPr>
              <w:t>When delivered (usage subject to subsection (b) below)</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921"/>
        <w:spacing w:after="0" w:line="255" w:lineRule="auto"/>
        <w:tabs>
          <w:tab w:leader="none" w:pos="116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Usage of Electronic Communications</w:t>
      </w:r>
      <w:r>
        <w:rPr>
          <w:rFonts w:ascii="Arial" w:cs="Arial" w:eastAsia="Arial" w:hAnsi="Arial"/>
          <w:sz w:val="18"/>
          <w:szCs w:val="18"/>
          <w:color w:val="auto"/>
        </w:rPr>
        <w:t xml:space="preserve">. Notices and other communications to Administrative Agent, the Lenders and the Issuing Lender hereunder may be delivered or furnished by using Electronic Systems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Section 2 if such Lender has notified Administrative Agent and Borrower that it is incapable of receiving notices under such Section by Electronic Communications. Administrative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Any party hereto may change its address or telecopy number for notices and other communications hereunder by notice to the other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40" w:firstLine="921"/>
        <w:spacing w:after="0" w:line="276" w:lineRule="auto"/>
        <w:tabs>
          <w:tab w:leader="none" w:pos="116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and Lenders</w:t>
      </w:r>
      <w:r>
        <w:rPr>
          <w:rFonts w:ascii="Arial" w:cs="Arial" w:eastAsia="Arial" w:hAnsi="Arial"/>
          <w:sz w:val="17"/>
          <w:szCs w:val="17"/>
          <w:color w:val="auto"/>
        </w:rPr>
        <w:t>. Administrative Agent and Lenders shall be entitled to rely and act upon any notices purportedly given by or on behalf of 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Borrower absent the gross negligence or willful misconduct of the Person seeking indemnification.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274" w:right="319" w:bottom="1440" w:gutter="0" w:footer="0" w:header="0"/>
        </w:sectPr>
      </w:pPr>
    </w:p>
    <w:bookmarkStart w:id="68" w:name="page69"/>
    <w:bookmarkEnd w:id="68"/>
    <w:p>
      <w:pPr>
        <w:ind w:left="1160" w:hanging="239"/>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Systems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300" w:firstLine="421"/>
        <w:spacing w:after="0" w:line="264" w:lineRule="auto"/>
        <w:tabs>
          <w:tab w:leader="none" w:pos="1555"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Loan Party agrees that Administrative Agent may, but shall not be obligated to, make Communications available to the Issuing Lenders and the other Lenders by posting the Communications on Debt Domain, Intralinks, Syndtrak, ClearPar or a substantially similar Electronic System.</w:t>
      </w:r>
    </w:p>
    <w:p>
      <w:pPr>
        <w:spacing w:after="0" w:line="73" w:lineRule="exact"/>
        <w:rPr>
          <w:rFonts w:ascii="Arial" w:cs="Arial" w:eastAsia="Arial" w:hAnsi="Arial"/>
          <w:sz w:val="18"/>
          <w:szCs w:val="18"/>
          <w:color w:val="auto"/>
        </w:rPr>
      </w:pPr>
    </w:p>
    <w:p>
      <w:pPr>
        <w:ind w:left="920" w:firstLine="421"/>
        <w:spacing w:after="0" w:line="253" w:lineRule="auto"/>
        <w:tabs>
          <w:tab w:leader="none" w:pos="1605"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Electronic System used by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Administrative Agent or any of its Affiliates and its and their respective directors, officers, employees, agents and advisors (collectively, the “Agent Parties”) have any liability to Borrower or the other Loan Parties, any Lender, the Issuing Lender or any other Person or entity for damages of any kind arising out of Borrower’s, any Loan Party’s or Administrative Agent’s transmission of Communications through an Electronic System, except to the extent such damages arise from bad faith, gross negligence or willful misconduct on the part of any Agent Party as determined by a final non-appealable judgment of a court of competent jurisdiction, provided that in no event shall any Agent Party be liable for any indirect, special, incidental or consequential damages, losses or expenses (whether in tort, contract or otherwise).</w:t>
      </w:r>
    </w:p>
    <w:p>
      <w:pPr>
        <w:spacing w:after="0" w:line="19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10.03 </w:t>
      </w:r>
      <w:r>
        <w:rPr>
          <w:rFonts w:ascii="Arial" w:cs="Arial" w:eastAsia="Arial" w:hAnsi="Arial"/>
          <w:sz w:val="16"/>
          <w:szCs w:val="16"/>
          <w:u w:val="single" w:color="auto"/>
          <w:color w:val="auto"/>
        </w:rPr>
        <w:t>Attorney Costs and Expenses</w:t>
      </w:r>
      <w:r>
        <w:rPr>
          <w:rFonts w:ascii="Arial" w:cs="Arial" w:eastAsia="Arial" w:hAnsi="Arial"/>
          <w:sz w:val="16"/>
          <w:szCs w:val="16"/>
          <w:color w:val="auto"/>
        </w:rPr>
        <w:t>. Borrower agrees (a) to pay or reimburse Administrative Agent, each Issuing Lender and Syndication Agent for all reasonable and documented costs and expenses incurred in connection with the development, preparation, negotiation and execution of the Loan Documents, and to pay or reimburse Administrative Agent for all reasonable and documented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one counsel to Administrative Agent, each Issuing Lender and Syndication Agent and (b) to pay or reimburse Administrative Agent, each Issuing Lender and each Lender for all reasonable and documented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of one counsel to Administrative Agent, each Issuing Lender and each Lender (and, if representation of Administrative Agent, each Issuing Lender and each Lender in such matter by a single counsel would be inappropriate based on the advice of legal counsel due to the existence of an actual or potential conflict of interest, of another firm of counsel for such affected Person(s) (taken as a whole) and, if necessary, one firm of local counsel in any relevant local jurisdiction (which may include a single special counsel acting in multiple jurisdictions) for such affected Person(s)). The agreements in this Section shall survive repayment of all Obligations.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69" w:name="page70"/>
    <w:bookmarkEnd w:id="6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10.04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1" w:lineRule="auto"/>
        <w:tabs>
          <w:tab w:leader="none" w:pos="11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This Agreement and the other Loan Documents to which Borrower is a party will be binding upon and inure to the benefit of Borrower, Administrative Agent, Lenders and their respective successors and assigns, except that, Borrower may not, except as permitted by Section 7.03, assign its rights hereunder or thereunder or any interest herein or therein without the prior written consent of all Lenders and any such attempted assignment shall be void. Any Lender may at any time pledge a Note or any other instrument evidencing its rights as a Lender under this Agreement (including to a Federal Reserve Bank or other central bank having jurisdiction over such Lender or, if such Lender is a fund, to any trustee or to any other representative of holders of obligations owed or securities issued by such fund as security for such obligations or securities) but no such pledge shall release such Lender from its obligations hereunder or grant to any such pledgee the rights of a Lender hereunder absent foreclosure of such pledge, and any transfer to any Person upon the enforcement of such pledge shall be subject to this Section 10.04.</w:t>
      </w:r>
    </w:p>
    <w:p>
      <w:pPr>
        <w:spacing w:after="0" w:line="178" w:lineRule="exact"/>
        <w:rPr>
          <w:rFonts w:ascii="Arial" w:cs="Arial" w:eastAsia="Arial" w:hAnsi="Arial"/>
          <w:sz w:val="17"/>
          <w:szCs w:val="17"/>
          <w:color w:val="auto"/>
        </w:rPr>
      </w:pPr>
    </w:p>
    <w:p>
      <w:pPr>
        <w:ind w:left="-20" w:right="60" w:firstLine="921"/>
        <w:spacing w:after="0" w:line="285" w:lineRule="auto"/>
        <w:tabs>
          <w:tab w:leader="none" w:pos="1148"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From time to time following the date of this Agreement, each Lender may assign all or any portion of its rights and obligations under this Agreement and the other Loan Documents to one or more Eligible Assignees, other than (i) Borrower and its Subsidiaries and (ii) natural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assignment shall be subject to Borrower’s consent (which shall not be unreasonably withheld) at all times other than during the existence of an Event of Default arising under Section 8.1(a), Section 8.1(b) or Section 8.1(i) and the consent of Administrative Agent and Issuing Lenders (which consents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Borrower shall not be required with respect to an assignment to another Lender unless such assignment, would result in the Revolving Commitment of such assignee and its Affiliates exceeding 15% of the aggregate Revolving Commitments, as applicable, then outstanding. No such assignment shall become effective unless and until a copy of a duly signed and completed Assignment and Assumption shall be delivered to Administrative Agent. Except in the case of an assignment (A) to another Lender or (B) of the entire remaining Revolving Commitment of the assigning Lender, such assignment shall be in an aggregate principal amount not less than the Minimum Amount therefor without the consent of Borrower and Administrative Agent. The effective date of any assignment shall be as specified in the Assignment and Assumption, but not earlier than the date which is five Business Days after the date Administrative Agent has received the Assignment and Assumption. Upon obtaining any consent required as set forth this paragraph, any forms required by Section 10.20 and payment of the requisite fee described below, the assignee named therein shall be a Lender for all purposes of this Agreement to the extent of the Assigned Interest (as defined in such Assignment and Assumption), and, except for rights and obligations which by their terms survive termination of any Revolving Commitments, the assigning Lender shall be released from any further obligations under this Agreement to the extent of such Assigned Interest. Upon request, Borrower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Assumption in the Register.</w:t>
      </w:r>
    </w:p>
    <w:p>
      <w:pPr>
        <w:spacing w:after="0" w:line="172" w:lineRule="exact"/>
        <w:rPr>
          <w:rFonts w:ascii="Arial" w:cs="Arial" w:eastAsia="Arial" w:hAnsi="Arial"/>
          <w:sz w:val="16"/>
          <w:szCs w:val="16"/>
          <w:color w:val="auto"/>
        </w:rPr>
      </w:pPr>
    </w:p>
    <w:p>
      <w:pPr>
        <w:ind w:left="-20" w:right="100" w:firstLine="921"/>
        <w:spacing w:after="0" w:line="286" w:lineRule="auto"/>
        <w:tabs>
          <w:tab w:leader="none" w:pos="11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After receipt of a completed Assignment and Assumption, and receipt of an assignment fee of $3,500 from such assignee and/or such assigning Lender (including in the case of assignments to Affiliates of assigning Lenders), Administrative Agent shall promptly accept such Assignment and Assumption and record the information contained therein in the Register on the effective date determined pursuant thereto.</w:t>
      </w:r>
    </w:p>
    <w:p>
      <w:pPr>
        <w:spacing w:after="0" w:line="165" w:lineRule="exact"/>
        <w:rPr>
          <w:rFonts w:ascii="Arial" w:cs="Arial" w:eastAsia="Arial" w:hAnsi="Arial"/>
          <w:sz w:val="17"/>
          <w:szCs w:val="17"/>
          <w:color w:val="auto"/>
        </w:rPr>
      </w:pPr>
    </w:p>
    <w:p>
      <w:pPr>
        <w:jc w:val="both"/>
        <w:ind w:left="-20" w:right="480" w:firstLine="921"/>
        <w:spacing w:after="0" w:line="264" w:lineRule="auto"/>
        <w:tabs>
          <w:tab w:leader="none" w:pos="11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Lender may from time to time, without the consent of any other Person, grant participations to one or more other Persons that are Eligible Assignees (including another Lender but excluding (x) Borrower and its Subsidiaries and (y) natural persons) in all or any portion of its Loans, Revolving Commitments, Extensions of Credit or any other interest of such Lender hereunder and 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60" w:top="274" w:right="259" w:bottom="1440" w:gutter="0" w:footer="0" w:header="0"/>
        </w:sectPr>
      </w:pPr>
    </w:p>
    <w:bookmarkStart w:id="70" w:name="page71"/>
    <w:bookmarkEnd w:id="7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(including yield protection and taxes)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w:t>
      </w:r>
    </w:p>
    <w:p>
      <w:pPr>
        <w:ind w:right="20" w:firstLine="8"/>
        <w:spacing w:after="0" w:line="261" w:lineRule="auto"/>
        <w:tabs>
          <w:tab w:leader="none" w:pos="2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indemnify Borrower and Administrative Agent for any losses, cost and expenses that they may incur as a result of any failure to so withhold or deduct and pay such tax.</w:t>
      </w:r>
    </w:p>
    <w:p>
      <w:pPr>
        <w:spacing w:after="0" w:line="184"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Revolving Commitments, Extensions of Credit or its other obligations under any Loan Document) to any Person except to the extent that such disclosure is necessary to establish that such Revolving Commitments, Extensions of Credit or other obligation is in registered form under Section 5f.103-1 (c)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6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10.05 </w:t>
      </w:r>
      <w:r>
        <w:rPr>
          <w:rFonts w:ascii="Arial" w:cs="Arial" w:eastAsia="Arial" w:hAnsi="Arial"/>
          <w:sz w:val="16"/>
          <w:szCs w:val="16"/>
          <w:u w:val="single" w:color="auto"/>
          <w:color w:val="auto"/>
        </w:rPr>
        <w:t>Set-off</w:t>
      </w:r>
      <w:r>
        <w:rPr>
          <w:rFonts w:ascii="Arial" w:cs="Arial" w:eastAsia="Arial" w:hAnsi="Arial"/>
          <w:sz w:val="16"/>
          <w:szCs w:val="16"/>
          <w:color w:val="auto"/>
        </w:rPr>
        <w:t>.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Borrower, any such notice being waived by Borrower to the fullest extent permitted by law, to proceed directly, by right of set-off, banker’s lien or otherwise, against any assets of Borrower which may be in the hands of such Proceeding Party (including all general or special, time or demand, provisional or other deposits and other indebtedness owing by such Proceeding Party to or for the credit or the account of Borrower) and apply such assets against the Obligations then due and payable, irrespective of whether such Proceeding Party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71" w:name="page72"/>
    <w:bookmarkEnd w:id="71"/>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have made any demand therefor. Each Lender agrees promptly to notify Borrower and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such notice shall not affect the validity of such set-off and application.</w:t>
      </w:r>
    </w:p>
    <w:p>
      <w:pPr>
        <w:spacing w:after="0" w:line="147"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 xml:space="preserve">10.06 </w:t>
      </w:r>
      <w:r>
        <w:rPr>
          <w:rFonts w:ascii="Arial" w:cs="Arial" w:eastAsia="Arial" w:hAnsi="Arial"/>
          <w:sz w:val="17"/>
          <w:szCs w:val="17"/>
          <w:u w:val="single" w:color="auto"/>
          <w:color w:val="auto"/>
        </w:rPr>
        <w:t>Sharing of Payments</w:t>
      </w:r>
      <w:r>
        <w:rPr>
          <w:rFonts w:ascii="Arial" w:cs="Arial" w:eastAsia="Arial" w:hAnsi="Arial"/>
          <w:sz w:val="17"/>
          <w:szCs w:val="17"/>
          <w:color w:val="auto"/>
        </w:rPr>
        <w:t xml:space="preserve">. Each Lender severally agrees that if it, through the exercise of any right of setoff, banker’s lien or counterclaim against 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all or any portion of a disproportionate payment obtained as a result of the exercise of the right of setoff, banker’s lien, counterclaim or otherwise is thereafter recovered from the purchasing Lender by Borrower or any Person claiming through or succeeding to the rights of Borrower, the purchase of a participation shall be rescinded and the purchase price thereof shall be restored to the extent of the recovery, but without interest and (ii) this Section 10.06 shall not apply to any payments made in accordance with the express provisions of this Agreement or the other Loan Documents.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2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21"/>
        <w:spacing w:after="0" w:line="286" w:lineRule="auto"/>
        <w:tabs>
          <w:tab w:leader="none" w:pos="1158"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165" w:lineRule="exact"/>
        <w:rPr>
          <w:rFonts w:ascii="Arial" w:cs="Arial" w:eastAsia="Arial" w:hAnsi="Arial"/>
          <w:sz w:val="17"/>
          <w:szCs w:val="17"/>
          <w:color w:val="auto"/>
        </w:rPr>
      </w:pPr>
    </w:p>
    <w:p>
      <w:pPr>
        <w:ind w:right="160" w:firstLine="921"/>
        <w:spacing w:after="0" w:line="276" w:lineRule="auto"/>
        <w:tabs>
          <w:tab w:leader="none" w:pos="116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72" w:lineRule="exact"/>
        <w:rPr>
          <w:rFonts w:ascii="Arial" w:cs="Arial" w:eastAsia="Arial" w:hAnsi="Arial"/>
          <w:sz w:val="17"/>
          <w:szCs w:val="17"/>
          <w:color w:val="auto"/>
        </w:rPr>
      </w:pPr>
    </w:p>
    <w:p>
      <w:pPr>
        <w:ind w:left="1160" w:hanging="239"/>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with respect to Section 9.09, the terms and conditions of Section 9 are for the sole benefit of the Agents and Lenders.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2" w:name="page73"/>
    <w:bookmarkEnd w:id="72"/>
    <w:p>
      <w:pPr>
        <w:ind w:right="10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6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an original executed counterpart of this Agreement.</w:t>
      </w:r>
    </w:p>
    <w:p>
      <w:pPr>
        <w:spacing w:after="0" w:line="18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Integration</w:t>
      </w:r>
      <w:r>
        <w:rPr>
          <w:rFonts w:ascii="Arial" w:cs="Arial" w:eastAsia="Arial" w:hAnsi="Arial"/>
          <w:sz w:val="18"/>
          <w:szCs w:val="18"/>
          <w:color w:val="auto"/>
        </w:rPr>
        <w:t xml:space="preserve">.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 BE CONTRADICTED BY EVIDENCE OF PRIOR, CONTEMPORANEOUS, OR SUBSEQUENT ORAL AGREEMENTS BY SUCH PARTIES. THERE ARE NO UNWRITTEN ORAL AGREEMENTS BETWEEN SUCH PARTIES.</w:t>
      </w:r>
    </w:p>
    <w:p>
      <w:pPr>
        <w:spacing w:after="0" w:line="19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Nature of Lenders’ Obligations</w:t>
      </w:r>
      <w:r>
        <w:rPr>
          <w:rFonts w:ascii="Arial" w:cs="Arial" w:eastAsia="Arial" w:hAnsi="Arial"/>
          <w:sz w:val="18"/>
          <w:szCs w:val="18"/>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188"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8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Indemnity by Borrower</w:t>
      </w:r>
      <w:r>
        <w:rPr>
          <w:rFonts w:ascii="Arial" w:cs="Arial" w:eastAsia="Arial" w:hAnsi="Arial"/>
          <w:sz w:val="18"/>
          <w:szCs w:val="18"/>
          <w:color w:val="auto"/>
        </w:rPr>
        <w:t>. Whether or not the transactions contemplated hereby are consummated, Borrower agrees to indemnify, save and hold harmless each Administrative Agent-Related Person, each other Agent, each Person identified on the cover page of this Agreement as a Joint Lead Arranger and Joint Bookrunner, each Issuing Lender and each Lender and their respective Affiliates and their and their Affiliates’ respective directors, officers, agents, attorneys and employees (collectively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73" w:name="page74"/>
    <w:bookmarkEnd w:id="7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“Indemnitees”) from and against: (i) any and all claims, demands, actions or causes of action that are asserted against any Indemnitee by any Person relating directly or indirectly to a claim, demand, action or cause of action that such Person asserts or may assert against 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Borrower, Administrative Agent and Lenders under this Agreement; (iii) any administrative or investigative proceeding by any Governmental Authority arising out of or related to a claim, demand, action or cause of action described in clauses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Indemnified Liability to the extent (i) it is found by a final, non-appealable judgment of a court of competent jurisdiction to arise from (x) the bad faith, willful misconduct or gross negligence of such Indemnitee or (y) a material breach by such Indemnitee of its express obligations under this Agreement; or (ii) not resulting from an act or omission of Borrower or any of its Affiliates in respect of a claim, litigation, investigation or proceeding by one Lender against another Lender (in each case, for the avoidance of doubt, excluding each of the Agents and each Person identified on the cover page of this Agreement as a Joint Lead Arranger and Joint Bookrunner in each case in its capacity as such). In no event shall any Indemnitee be liable for any damages arising from the use by unauthorized Persons of information or other materials sent through electronic, telecommunications or other information transmission systems that are intercepted by such Persons except to the extent it is found by a final, non-appealable judgment of a court of competent jurisdiction to arise from the bad faith, willful misconduct or gross negligence of such Indemnitee. This Section 10.13 shall not apply with respect to taxes other than any taxes that represent losses, claims, damages, etc. arising from any non-tax claim. The agreements in this Section shall survive repayment of all Obligations.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Borrower acknowledges and agrees that:</w:t>
      </w:r>
    </w:p>
    <w:p>
      <w:pPr>
        <w:spacing w:after="0" w:line="225" w:lineRule="exact"/>
        <w:rPr>
          <w:sz w:val="20"/>
          <w:szCs w:val="20"/>
          <w:color w:val="auto"/>
        </w:rPr>
      </w:pPr>
    </w:p>
    <w:p>
      <w:pPr>
        <w:ind w:right="160" w:firstLine="921"/>
        <w:spacing w:after="0" w:line="308" w:lineRule="auto"/>
        <w:tabs>
          <w:tab w:leader="none" w:pos="1158"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inspections of any property of Borrower made by or through Administrative Agent or Lenders are for purposes of administration of the Loan Documents only, and Borrower is not entitled to rely upon the same (whether or not such inspections are at the expense of Borrower);</w:t>
      </w:r>
    </w:p>
    <w:p>
      <w:pPr>
        <w:spacing w:after="0" w:line="146" w:lineRule="exact"/>
        <w:rPr>
          <w:rFonts w:ascii="Arial" w:cs="Arial" w:eastAsia="Arial" w:hAnsi="Arial"/>
          <w:sz w:val="17"/>
          <w:szCs w:val="17"/>
          <w:color w:val="auto"/>
        </w:rPr>
      </w:pPr>
    </w:p>
    <w:p>
      <w:pPr>
        <w:ind w:right="20" w:firstLine="921"/>
        <w:spacing w:after="0" w:line="259" w:lineRule="auto"/>
        <w:tabs>
          <w:tab w:leader="none" w:pos="11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86" w:lineRule="exact"/>
        <w:rPr>
          <w:rFonts w:ascii="Arial" w:cs="Arial" w:eastAsia="Arial" w:hAnsi="Arial"/>
          <w:sz w:val="18"/>
          <w:szCs w:val="18"/>
          <w:color w:val="auto"/>
        </w:rPr>
      </w:pPr>
    </w:p>
    <w:p>
      <w:pPr>
        <w:ind w:right="60" w:firstLine="921"/>
        <w:spacing w:after="0" w:line="259" w:lineRule="auto"/>
        <w:tabs>
          <w:tab w:leader="none" w:pos="11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relationship between Borrower and Administrative Agent and Lenders is, and shall at all times remain, solely that of borrower and lenders;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4" w:name="page75"/>
    <w:bookmarkEnd w:id="74"/>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w:t>
      </w:r>
    </w:p>
    <w:p>
      <w:pPr>
        <w:spacing w:after="0" w:line="181" w:lineRule="exact"/>
        <w:rPr>
          <w:sz w:val="20"/>
          <w:szCs w:val="20"/>
          <w:color w:val="auto"/>
        </w:rPr>
      </w:pPr>
    </w:p>
    <w:p>
      <w:pPr>
        <w:ind w:right="60" w:firstLine="921"/>
        <w:spacing w:after="0" w:line="312" w:lineRule="auto"/>
        <w:tabs>
          <w:tab w:leader="none" w:pos="1168" w:val="left"/>
        </w:tabs>
        <w:numPr>
          <w:ilvl w:val="0"/>
          <w:numId w:val="99"/>
        </w:numPr>
        <w:rPr>
          <w:rFonts w:ascii="Arial" w:cs="Arial" w:eastAsia="Arial" w:hAnsi="Arial"/>
          <w:sz w:val="16"/>
          <w:szCs w:val="16"/>
          <w:color w:val="auto"/>
        </w:rPr>
      </w:pPr>
      <w:r>
        <w:rPr>
          <w:rFonts w:ascii="Arial" w:cs="Arial" w:eastAsia="Arial" w:hAnsi="Arial"/>
          <w:sz w:val="16"/>
          <w:szCs w:val="16"/>
          <w:color w:val="auto"/>
        </w:rPr>
        <w:t>Neither Administrative Agent nor any Lender nor any Person identified on the cover page of this Agreement as a Joint Lead Arranger and Joint Bookrunner, Syndication Agent or Co-Documentation Agent shall be deemed to be in an advisory, fiduciary or agency relationship with Borrower and its Affiliates or have a fiduciary or other implied duty to Borrower and its Affiliates with respect to this Agreement and the transactions contemplated hereby;</w:t>
      </w:r>
    </w:p>
    <w:p>
      <w:pPr>
        <w:spacing w:after="0" w:line="146" w:lineRule="exact"/>
        <w:rPr>
          <w:rFonts w:ascii="Arial" w:cs="Arial" w:eastAsia="Arial" w:hAnsi="Arial"/>
          <w:sz w:val="16"/>
          <w:szCs w:val="16"/>
          <w:color w:val="auto"/>
        </w:rPr>
      </w:pPr>
    </w:p>
    <w:p>
      <w:pPr>
        <w:ind w:left="1160" w:hanging="239"/>
        <w:spacing w:after="0"/>
        <w:tabs>
          <w:tab w:leader="none" w:pos="11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Administrative Agent and Lenders, and their Affiliates, may have economic interests that conflict with those of Borrower and its Affiliates;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210" w:lineRule="exact"/>
        <w:rPr>
          <w:rFonts w:ascii="Arial" w:cs="Arial" w:eastAsia="Arial" w:hAnsi="Arial"/>
          <w:sz w:val="17"/>
          <w:szCs w:val="17"/>
          <w:color w:val="auto"/>
        </w:rPr>
      </w:pPr>
    </w:p>
    <w:p>
      <w:pPr>
        <w:ind w:right="160" w:firstLine="921"/>
        <w:spacing w:after="0" w:line="286" w:lineRule="auto"/>
        <w:tabs>
          <w:tab w:leader="none" w:pos="1138" w:val="left"/>
        </w:tabs>
        <w:numPr>
          <w:ilvl w:val="0"/>
          <w:numId w:val="99"/>
        </w:numPr>
        <w:rPr>
          <w:rFonts w:ascii="Arial" w:cs="Arial" w:eastAsia="Arial" w:hAnsi="Arial"/>
          <w:sz w:val="17"/>
          <w:szCs w:val="17"/>
          <w:color w:val="auto"/>
        </w:rPr>
      </w:pPr>
      <w:r>
        <w:rPr>
          <w:rFonts w:ascii="Arial" w:cs="Arial" w:eastAsia="Arial" w:hAnsi="Arial"/>
          <w:sz w:val="17"/>
          <w:szCs w:val="17"/>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6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Borrower, Administrative Agent and Lenders in connection with the Extensions of Credit, and is made for the sole benefit of Borrower, Administrative Agent and Lenders, Administrative Agent’s and Lenders’ successors and permitted assigns. Except as provided in Section 10.04, no other Person shall have any rights of any nature hereunder or by reason hereof.</w:t>
      </w:r>
    </w:p>
    <w:p>
      <w:pPr>
        <w:spacing w:after="0" w:line="18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88"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Confidentiality</w:t>
      </w:r>
      <w:r>
        <w:rPr>
          <w:rFonts w:ascii="Arial" w:cs="Arial" w:eastAsia="Arial" w:hAnsi="Arial"/>
          <w:sz w:val="16"/>
          <w:szCs w:val="16"/>
          <w:color w:val="auto"/>
        </w:rPr>
        <w:t>.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or the Existing Credit Agreement (collectively, “Confidential Information”) solely for the purpose of administering and enforcing the Loan Documents, and it will hold the Confidential Information in confidence and will not disclose, directly or indirectly, such information to any Person, except</w:t>
      </w:r>
    </w:p>
    <w:p>
      <w:pPr>
        <w:spacing w:after="0" w:line="2" w:lineRule="exact"/>
        <w:rPr>
          <w:sz w:val="20"/>
          <w:szCs w:val="20"/>
          <w:color w:val="auto"/>
        </w:rPr>
      </w:pPr>
    </w:p>
    <w:p>
      <w:pPr>
        <w:ind w:right="160" w:firstLine="8"/>
        <w:spacing w:after="0" w:line="269" w:lineRule="auto"/>
        <w:tabs>
          <w:tab w:leader="none" w:pos="2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and limit the use of such information in accordance with this Section, (b) to any Eligible Assignee to which such Lender has assigned or desires to assign an interest or participation in the Loan Documents or the Obligations or to any direct or indirect contractual counterparties (or the professional advisors thereto) to any swap or derivative transaction relating to Borrower and its obligations, provided that any such foregoing recipient of such Confidential Information agrees to keep such Confidential Information confidential and limit the use of such Confidential Information as specified herein, (c) to any governmental agency or regulatory body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5" w:name="page76"/>
    <w:bookmarkEnd w:id="7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self-regulatory bodies) having or claiming to have authority to regulate or oversee any aspect of Administrative Agent’s or such Lender’s business or that of their Representatives in connection with the exercise of such authority or claimed authority (in which case such Lender shall, except with respect to any audit or examination conducted by bank accountants or any governmental bank regulatory authority exercising examination or regulatory authority, use reasonable efforts to promptly notify Borrower, in advance, to the extent lawfully permitted to do so), (d) to the extent necessary or appropriate to enforce any right or remedy or in connection with any claims asserted by or against Administrative Agent or such Lender or any of their Representatives, (e) pursuant to any subpoena or any similar legal process (in which case such Lender shall use reasonable efforts to promptly notify Borrower, in advance, to the extent permitted by Law), (f) to other Lenders and (g) with the consent of Borrower. For purposes hereof, the term “Confidential Information” shall not include information that (w) pertains to this Agreement (but not any other information concerning Borrower) routinely provided by arrangers to data service providers, including league table providers, that serve the lending industry,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172"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of the Loan Documents.</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Status of Lenders</w:t>
      </w:r>
      <w:r>
        <w:rPr>
          <w:rFonts w:ascii="Arial" w:cs="Arial" w:eastAsia="Arial" w:hAnsi="Arial"/>
          <w:sz w:val="16"/>
          <w:szCs w:val="16"/>
          <w:color w:val="auto"/>
        </w:rPr>
        <w:t>. (a) (i) Each Lender that is a U.S. Person shall deliver to Borrower and Administrative Agent on or prior to the date on which such Lender becomes a party to this Agreement, and from time to time thereafter if requested in writing by Borrower or Administrative Agent, executed originals of IRS Form W-9, or any successor form prescribed by the IRS, certifying that such Lender is exempt from U.S. federal backup withholding tax; (ii)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shall provide Borrower and Administrative Agent (but only so long as such Lender remains lawfully able to do so) with (x) IRS Form W-8BEN or W-8BEN-E, as appropriate, or any successor form prescribed by the IRS, certifying that such Lender is entitled to benefits under an income tax treaty to which the United States is a party which reduces the rate of withholding tax on payments of interest, IRS Form W-8ECI, or any successor form prescribed by the IRS, certifying that the income receivable pursuant to the Loan Documents is effectively connected with the conduct of a trade or business in the United States, or IRS Form W-8EXP, or any successor form prescribed by the IRS, (y) if such Lender is not a “bank” within the meaning of Section 881(c)(3)(A) of the Code and intends to claim an exemption from United States withholding tax under Section 871(h) or 881(c) of the Code with respect to payments of “portfolio interest,” IRS Form W-8BEN or W-8BEN-E, as applicable, or any successor form prescribed by the IRS, and a certificate substantially in the form of Exhibit F-1 representing that such Lender is not a bank for purposes of Section 881(c) of the Code, is not a ten-percent shareholder (within the meaning of Section 871(h)(3)(B) of the Code) of Borrower, and is not a “controlled foreign corporation” described in Section 881(c)(3)(C) (a “U.S. Tax Compliance Certificate”) or (z) to the extent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76" w:name="page77"/>
    <w:bookmarkEnd w:id="76"/>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Lender is not the beneficial owner, executed originals of IRS Form W-8IMY, or any successor form prescribed by the IRS, accompanied by IRS Form W-8ECI, W-8BEN or W-8BEN-E, as applicable, a U.S. Tax Compliance Certificate substantially in the form of Exhibit F-2 or Exhibit F-3, IRS Form W-9, and/or other certification documents from each beneficial owner, as applicable; provided that if the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Thereafter and from time to time, each such Person shall</w:t>
      </w:r>
    </w:p>
    <w:p>
      <w:pPr>
        <w:spacing w:after="0" w:line="2" w:lineRule="exact"/>
        <w:rPr>
          <w:sz w:val="20"/>
          <w:szCs w:val="20"/>
          <w:color w:val="auto"/>
        </w:rPr>
      </w:pPr>
    </w:p>
    <w:p>
      <w:pPr>
        <w:ind w:right="20" w:firstLine="8"/>
        <w:spacing w:after="0" w:line="267" w:lineRule="auto"/>
        <w:tabs>
          <w:tab w:leader="none" w:pos="2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Borrower and Administrative Agent of any available exemption from or reduction of, United States withholding taxes in respect of all payments to be made to such Person by Borrower pursuant to this Agreement, (ii) promptly notify Administrative Agent of any change in 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183" w:lineRule="exact"/>
        <w:rPr>
          <w:rFonts w:ascii="Arial" w:cs="Arial" w:eastAsia="Arial" w:hAnsi="Arial"/>
          <w:sz w:val="17"/>
          <w:szCs w:val="17"/>
          <w:color w:val="auto"/>
        </w:rPr>
      </w:pPr>
    </w:p>
    <w:p>
      <w:pPr>
        <w:ind w:firstLine="921"/>
        <w:spacing w:after="0" w:line="254" w:lineRule="auto"/>
        <w:tabs>
          <w:tab w:leader="none" w:pos="116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Subsection 10.20(b), “FATCA” shall include any amendments made to FATCA after the date of this Agreement.</w:t>
      </w:r>
    </w:p>
    <w:p>
      <w:pPr>
        <w:spacing w:after="0" w:line="192"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promptly update and deliver such form or certification to Borrower and Administrative Agent or promptly notify Borrower and Administrative Agent in writing of its legal ineligibility to do so.</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Removal and Replacement of Lenders</w:t>
      </w:r>
      <w:r>
        <w:rPr>
          <w:rFonts w:ascii="Arial" w:cs="Arial" w:eastAsia="Arial" w:hAnsi="Arial"/>
          <w:sz w:val="18"/>
          <w:szCs w:val="18"/>
          <w:color w:val="auto"/>
        </w:rPr>
        <w:t>.</w:t>
      </w:r>
    </w:p>
    <w:p>
      <w:pPr>
        <w:spacing w:after="0" w:line="117" w:lineRule="exact"/>
        <w:rPr>
          <w:sz w:val="20"/>
          <w:szCs w:val="20"/>
          <w:color w:val="auto"/>
        </w:rPr>
      </w:pPr>
    </w:p>
    <w:p>
      <w:pPr>
        <w:jc w:val="both"/>
        <w:ind w:right="400" w:firstLine="921"/>
        <w:spacing w:after="0" w:line="342" w:lineRule="auto"/>
        <w:tabs>
          <w:tab w:leader="none" w:pos="115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the event that any Lender (i) requests compensation under Section 3.01 or 3.04, (ii) becomes a Defaulting Lender or (iii) (x) does not consent to any proposed amendment, supplement, modification, consent or waiver of any provision of this Agreement or any other Loan Document that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274" w:right="319" w:bottom="1440" w:gutter="0" w:footer="0" w:header="0"/>
        </w:sectPr>
      </w:pPr>
    </w:p>
    <w:bookmarkStart w:id="77" w:name="page78"/>
    <w:bookmarkEnd w:id="7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requires the consent of each of the Lenders or each of the Lenders (including, for the avoidance of doubt, any extension permitted by Section 2.01(e) with the consent of each Lender) affected thereby or (y) does not agree to make Loans in any proposed Alternative Currency (in the case of this clause (iii), so long as the consent of the Required Lenders to such amendment, supplement, modification, consent, waiver or proposed Alternative Currency has been obtained), Borrower may, upon notice to such Lender and Administrative Agent, remove or replace such Lender by (A) non-ratably terminating such Lender’s Revolving Commitment and/or (B) causing such Lender to assign its rights and obligations under this Agreement pursuant to Section 10.04(b) to one or more other Lenders or eligible assignees procured by Borrower and otherwise reasonably acceptable to Administrative Agent and Issuing Lenders; provided that such assigning Lender shall have received payment of an amount equal to 100% of the outstanding principal, interest and fees owed to such Lender from the assignee Lender or Borrower or such lesser amount as may be agreed with such Lender. Borrower shall, in the case of a termination of such Lender’s Revolving Commitment and prepayment of its Loans pursuant to clause (A) preceding, (x) pay in full all principal, interest, fees and other amounts owing to such Lender (other than with respect to any outstanding Competitive Loan held by it) through the date of termination and prepayment (including any amounts payable pursuant to Section 3), except as may otherwise be agreed with such Lender, (y) provide appropriate assurances and indemnities (which may include letters of credit) to such Lender and the Issuing Lender as each may reasonably require with respect to any continuing risk participation interest in any Letters of Credit then outstanding and (z) release such Lender from its obligations under the Loan Documents from and after the date of termination. Borrower shall, in the case of an assignment pursuant to clause (B) preceding, cause to be paid the assignment fee payable to Administrative Agent pursuant to</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Section 10.04(c). Any such Lender whose Revolving Commitment is being assigned shall, upon payment of (i) all amounts owed to it pursuant to the proviso in clause (B) preceding and (ii) the assignment fee as described in the preceding sentence, be deemed to have executed and delivered an Assignment and Assumption covering such Lender’s Revolving Commitment. Administrative Agent shall distribute an amended Schedule 2.01, which shall be deemed incorporated into this Agreement, to reflect adjustments to the Lenders and their Revolving Commitments.</w:t>
      </w:r>
    </w:p>
    <w:p>
      <w:pPr>
        <w:spacing w:after="0" w:line="177" w:lineRule="exact"/>
        <w:rPr>
          <w:sz w:val="20"/>
          <w:szCs w:val="20"/>
          <w:color w:val="auto"/>
        </w:rPr>
      </w:pPr>
    </w:p>
    <w:p>
      <w:pPr>
        <w:jc w:val="both"/>
        <w:ind w:right="60" w:firstLine="921"/>
        <w:spacing w:after="0" w:line="264" w:lineRule="auto"/>
        <w:tabs>
          <w:tab w:leader="none" w:pos="1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fees cease to accrue on the unfunded portion of the Revolving Commitments of a Defaulting Lender pursuant to Section 2.14(a), such fees shall not be paid to the non-Defaulting Lenders (or replacement Lenders in respect of any fees accruing prior to such replacement Lender becoming a Lender hereunder).</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Section shall supersede any provisions in Section 10.01 to the contrary.</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Governing Law; Submission to Jurisdiction; Waivers</w:t>
      </w:r>
      <w:r>
        <w:rPr>
          <w:rFonts w:ascii="Arial" w:cs="Arial" w:eastAsia="Arial" w:hAnsi="Arial"/>
          <w:sz w:val="18"/>
          <w:szCs w:val="18"/>
          <w:color w:val="auto"/>
        </w:rPr>
        <w:t>.</w:t>
      </w:r>
    </w:p>
    <w:p>
      <w:pPr>
        <w:spacing w:after="0" w:line="117" w:lineRule="exact"/>
        <w:rPr>
          <w:sz w:val="20"/>
          <w:szCs w:val="20"/>
          <w:color w:val="auto"/>
        </w:rPr>
      </w:pPr>
    </w:p>
    <w:p>
      <w:pPr>
        <w:ind w:right="880" w:firstLine="921"/>
        <w:spacing w:after="0" w:line="308" w:lineRule="auto"/>
        <w:tabs>
          <w:tab w:leader="none" w:pos="115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THIS AGREEMENT AND THE RIGHTS AND OBLIGATIONS OF THE PARTIES UNDER THIS AGREEMENT SHALL BE GOVERNED BY, AND CONSTRUED AND INTERPRETED IN ACCORDANCE WITH, THE LAW OF THE STATE OF NEW YORK.</w:t>
      </w:r>
    </w:p>
    <w:p>
      <w:pPr>
        <w:spacing w:after="0" w:line="146" w:lineRule="exact"/>
        <w:rPr>
          <w:rFonts w:ascii="Arial" w:cs="Arial" w:eastAsia="Arial" w:hAnsi="Arial"/>
          <w:sz w:val="17"/>
          <w:szCs w:val="17"/>
          <w:color w:val="auto"/>
        </w:rPr>
      </w:pPr>
    </w:p>
    <w:p>
      <w:pPr>
        <w:ind w:left="1180" w:hanging="259"/>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225" w:lineRule="exact"/>
        <w:rPr>
          <w:sz w:val="20"/>
          <w:szCs w:val="20"/>
          <w:color w:val="auto"/>
        </w:rPr>
      </w:pPr>
    </w:p>
    <w:p>
      <w:pPr>
        <w:jc w:val="both"/>
        <w:ind w:right="140" w:firstLine="921"/>
        <w:spacing w:after="0" w:line="264" w:lineRule="auto"/>
        <w:tabs>
          <w:tab w:leader="none" w:pos="11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81" w:lineRule="exact"/>
        <w:rPr>
          <w:rFonts w:ascii="Arial" w:cs="Arial" w:eastAsia="Arial" w:hAnsi="Arial"/>
          <w:sz w:val="18"/>
          <w:szCs w:val="18"/>
          <w:color w:val="auto"/>
        </w:rPr>
      </w:pPr>
    </w:p>
    <w:p>
      <w:pPr>
        <w:ind w:right="320" w:firstLine="921"/>
        <w:spacing w:after="0" w:line="277" w:lineRule="auto"/>
        <w:tabs>
          <w:tab w:leader="none" w:pos="11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78" w:name="page79"/>
    <w:bookmarkEnd w:id="78"/>
    <w:p>
      <w:pPr>
        <w:ind w:right="20" w:firstLine="921"/>
        <w:spacing w:after="0" w:line="264" w:lineRule="auto"/>
        <w:tabs>
          <w:tab w:leader="none" w:pos="1228"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right="180" w:firstLine="921"/>
        <w:spacing w:after="0" w:line="277" w:lineRule="auto"/>
        <w:tabs>
          <w:tab w:leader="none" w:pos="12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ind w:firstLine="921"/>
        <w:spacing w:after="0" w:line="264" w:lineRule="auto"/>
        <w:tabs>
          <w:tab w:leader="none" w:pos="12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10.22 any special, exemplary, punitive or consequential damages; provided the waiver set forth in this clause (vi) shall not affect any obligation of Borrower under Section 10.13.</w:t>
      </w:r>
    </w:p>
    <w:p>
      <w:pPr>
        <w:spacing w:after="0" w:line="18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10.23 </w:t>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79"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Borrower that pursuant to the requirements of the USA PATRIOT Act (Title III of Pub. L. 107-56 (signed into law October 26, 2001)) (the “Act”), it is required to obtain, verify and record information that identifies Borrower and Guarantors, which information includes the name and address of Borrower and Guarantors and other information that will allow such Lender to identify Borrower and Guarantors in accordance with the Act.</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10.25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9" w:lineRule="auto"/>
        <w:tabs>
          <w:tab w:leader="none" w:pos="115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for the purpose of obtaining judgment in any court it is necessary to convert a sum due hereunder in one currency into another currency, the parties hereto agree, to the fullest extent that they may effectively do so, that the rate of exchange used shall be that at which in accordance with normal banking procedures Administrative Agent could purchase the first currency with such other currency in the city in which it normally conducts its foreign exchange operation for the first currency on the Business Day preceding the day on which final judgment is given.</w:t>
      </w:r>
    </w:p>
    <w:p>
      <w:pPr>
        <w:spacing w:after="0" w:line="171" w:lineRule="exact"/>
        <w:rPr>
          <w:rFonts w:ascii="Arial" w:cs="Arial" w:eastAsia="Arial" w:hAnsi="Arial"/>
          <w:sz w:val="17"/>
          <w:szCs w:val="17"/>
          <w:color w:val="auto"/>
        </w:rPr>
      </w:pPr>
    </w:p>
    <w:p>
      <w:pPr>
        <w:ind w:right="120" w:firstLine="921"/>
        <w:spacing w:after="0" w:line="302" w:lineRule="auto"/>
        <w:tabs>
          <w:tab w:leader="none" w:pos="116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obligation of Borrower in respect of any sum due from it to any Lender or Agent hereunder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such Lender of any sum adjudged to be so due in the Judgment Currency such Lender may in accordance with normal banking procedures purchase the Agreement Currency with the Judgment Currency; if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9" w:name="page80"/>
    <w:bookmarkEnd w:id="7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Agreement Currency so purchased is less than the sum originally due to such Lender in the Agreement Currency, Borrower agrees notwithstanding any such judgment to indemnify such Lender against such loss, and if the amount of the Agreement Currency so purchased exceeds the sum originally due to any Lender, such Lender agrees to remit to Borrower such excess.</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10.26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7" w:lineRule="exact"/>
        <w:rPr>
          <w:sz w:val="20"/>
          <w:szCs w:val="20"/>
          <w:color w:val="auto"/>
        </w:rPr>
      </w:pPr>
    </w:p>
    <w:p>
      <w:pPr>
        <w:ind w:right="180" w:firstLine="921"/>
        <w:spacing w:after="0" w:line="277" w:lineRule="auto"/>
        <w:tabs>
          <w:tab w:leader="none" w:pos="115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920" w:right="280" w:firstLine="421"/>
        <w:spacing w:after="0" w:line="312" w:lineRule="auto"/>
        <w:tabs>
          <w:tab w:leader="none" w:pos="160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920" w:right="520" w:firstLine="421"/>
        <w:spacing w:after="0" w:line="277" w:lineRule="auto"/>
        <w:tabs>
          <w:tab w:leader="none" w:pos="165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BLANK.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74" w:right="279" w:bottom="1440" w:gutter="0" w:footer="0" w:header="0"/>
        </w:sectPr>
      </w:pPr>
    </w:p>
    <w:bookmarkStart w:id="80" w:name="page81"/>
    <w:bookmarkEnd w:id="80"/>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by their proper and duly authorized officers as of the day and year first written above.</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1420"/>
          </w:cols>
          <w:pgMar w:left="240" w:top="274" w:right="239" w:bottom="1440" w:gutter="0" w:footer="0" w:header="0"/>
        </w:sectPr>
      </w:pPr>
    </w:p>
    <w:bookmarkStart w:id="81" w:name="page82"/>
    <w:bookmarkEnd w:id="8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an Issuing Lender, and as a Lender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Donatus O. Anusionwu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Donatus O. Anusionwu</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160"/>
          </w:cols>
          <w:pgMar w:left="1440" w:top="274" w:right="299" w:bottom="1440" w:gutter="0" w:footer="0" w:header="0"/>
        </w:sectPr>
      </w:pPr>
    </w:p>
    <w:bookmarkStart w:id="82" w:name="page83"/>
    <w:bookmarkEnd w:id="8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 as an Issuing Lender and as a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Vondriska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700"/>
          </w:cols>
          <w:pgMar w:left="1440" w:top="274" w:right="759" w:bottom="1440" w:gutter="0" w:footer="0" w:header="0"/>
        </w:sectPr>
      </w:pPr>
    </w:p>
    <w:bookmarkStart w:id="83" w:name="page84"/>
    <w:bookmarkEnd w:id="83"/>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N.A., as an Issuing Lender and</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King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220"/>
          </w:cols>
          <w:pgMar w:left="1440" w:top="274" w:right="239" w:bottom="1440" w:gutter="0" w:footer="0" w:header="0"/>
        </w:sectPr>
      </w:pPr>
    </w:p>
    <w:bookmarkStart w:id="84" w:name="page85"/>
    <w:bookmarkEnd w:id="8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 NEW</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YORK BRANCH, as an Issuing Lender and as a Lender</w:t>
      </w:r>
    </w:p>
    <w:p>
      <w:pPr>
        <w:spacing w:after="0" w:line="22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Ola Anderssen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Ola Anderssen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9920"/>
          </w:cols>
          <w:pgMar w:left="1440" w:top="274" w:right="539" w:bottom="1440" w:gutter="0" w:footer="0" w:header="0"/>
        </w:sectPr>
      </w:pPr>
    </w:p>
    <w:bookmarkStart w:id="85" w:name="page86"/>
    <w:bookmarkEnd w:id="8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 as an Issuing Lender and as a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Travagline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James Travagline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0140"/>
          </w:cols>
          <w:pgMar w:left="1440" w:top="274" w:right="319" w:bottom="1440" w:gutter="0" w:footer="0" w:header="0"/>
        </w:sectPr>
      </w:pPr>
    </w:p>
    <w:bookmarkStart w:id="86" w:name="page87"/>
    <w:bookmarkEnd w:id="8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BANK, LTD., as an Issuing Lender and as a Lender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Lim</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160"/>
          </w:cols>
          <w:pgMar w:left="1440" w:top="274" w:right="299" w:bottom="1440" w:gutter="0" w:footer="0" w:header="0"/>
        </w:sectPr>
      </w:pPr>
    </w:p>
    <w:bookmarkStart w:id="87" w:name="page88"/>
    <w:bookmarkEnd w:id="8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Ridgway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Eric Ridgway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Barclays Bank PLC,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Ronnie Glenn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BNP PARIBAS,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Kwang Kyun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Kwang Kyun Choi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Maria Mulic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Maria Mulic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CREDIT SUISSE AG, CAYMAN ISLANDS BRANCH, as a</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Bill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Bill O’Daly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Juerg Unterlerchner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Juerg Unterlerchner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100"/>
          </w:cols>
          <w:pgMar w:left="1440" w:top="274" w:right="359" w:bottom="1440" w:gutter="0" w:footer="0" w:header="0"/>
        </w:sectPr>
      </w:pPr>
    </w:p>
    <w:bookmarkStart w:id="88" w:name="page89"/>
    <w:bookmarkEnd w:id="8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 a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Virginia Cosenza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GOLDMAN SACHS BANK USA,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Rebecca Kratz</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ROYAL BANK OF CANADA,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D.W. Scott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D.W. Scott Johnson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Sumitomo Mitsui Banking Corporation,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Weinstein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Toronto Dominion (Texas) LLC,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Rayan Karim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Rayan Karim</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0180"/>
          </w:cols>
          <w:pgMar w:left="1440" w:top="274" w:right="279" w:bottom="1440" w:gutter="0" w:footer="0" w:header="0"/>
        </w:sectPr>
      </w:pPr>
    </w:p>
    <w:bookmarkStart w:id="89" w:name="page90"/>
    <w:bookmarkEnd w:id="8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Commerzbank AG New York Branch, as a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Ignacio Campillo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Ignacio Campillo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Head of US Corporates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Tom Kang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Tom Kang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Corporate Coverage, TMT – US Corporates</w:t>
      </w:r>
    </w:p>
    <w:p>
      <w:pPr>
        <w:spacing w:after="0" w:line="2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DNB Capital LLC,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Kristie Li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Caroline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Caroline Adams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First Vice President</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PNC Bank, National Association,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Denise DiSimone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Denise DiSimone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Garret Komjathy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Garret Komjathy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9640"/>
          </w:cols>
          <w:pgMar w:left="1440" w:top="274" w:right="819" w:bottom="1440" w:gutter="0" w:footer="0" w:header="0"/>
        </w:sectPr>
      </w:pPr>
    </w:p>
    <w:bookmarkStart w:id="90" w:name="page91"/>
    <w:bookmarkEnd w:id="9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Industrial and Commercial Bank of China Ltd., New York</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a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Huang</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Dayi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Dayi Liu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Societe Generale New York Branch, as a Lender</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Richard Bernal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BANK OF NEW YORK MELLON,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Hussam Alsahlani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Hussam Alsahlani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of China, New York Branch, as a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Haifeng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Haifeng Xu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9840"/>
          </w:cols>
          <w:pgMar w:left="1440" w:top="274" w:right="619" w:bottom="1440" w:gutter="0" w:footer="0" w:header="0"/>
        </w:sectPr>
      </w:pPr>
    </w:p>
    <w:bookmarkStart w:id="91" w:name="page92"/>
    <w:bookmarkEnd w:id="9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Agricultural Bank of China Ltd., New York Branch, as a</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Ms. Zhang,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Ms. Zhang, Lu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Deputy General Manager</w:t>
      </w:r>
    </w:p>
    <w:p>
      <w:pPr>
        <w:sectPr>
          <w:pgSz w:w="11900" w:h="16838" w:orient="portrait"/>
          <w:cols w:equalWidth="0" w:num="1">
            <w:col w:w="9720"/>
          </w:cols>
          <w:pgMar w:left="1440" w:top="274" w:right="739" w:bottom="1440" w:gutter="0" w:footer="0" w:header="0"/>
        </w:sectPr>
      </w:pPr>
    </w:p>
    <w:bookmarkStart w:id="92" w:name="page93"/>
    <w:bookmarkEnd w:id="9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Asset Monetization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CENTAUR FUNDING CORP (Vodaphone Preferred)</w:t>
      </w:r>
    </w:p>
    <w:p>
      <w:pPr>
        <w:sectPr>
          <w:pgSz w:w="11900" w:h="16838" w:orient="portrait"/>
          <w:cols w:equalWidth="0" w:num="1">
            <w:col w:w="10219"/>
          </w:cols>
          <w:pgMar w:left="240" w:top="270" w:right="1440" w:bottom="1440" w:gutter="0" w:footer="0" w:header="0"/>
        </w:sectPr>
      </w:pPr>
    </w:p>
    <w:bookmarkStart w:id="93" w:name="page94"/>
    <w:bookmarkEnd w:id="93"/>
    <w:tbl>
      <w:tblPr>
        <w:tblLayout w:type="fixed"/>
        <w:tblInd w:w="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8"/>
              </w:rPr>
              <w:t>Schedule 2.01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0"/>
              </w:rPr>
              <w:t>Revolving Commitments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Institution</w:t>
            </w:r>
          </w:p>
        </w:tc>
        <w:tc>
          <w:tcPr>
            <w:tcW w:w="1900" w:type="dxa"/>
            <w:vAlign w:val="bottom"/>
            <w:tcBorders>
              <w:top w:val="single" w:sz="8" w:color="auto"/>
            </w:tcBorders>
            <w:vMerge w:val="restart"/>
          </w:tcPr>
          <w:p>
            <w:pPr>
              <w:spacing w:after="0"/>
              <w:rPr>
                <w:sz w:val="24"/>
                <w:szCs w:val="24"/>
                <w:color w:val="auto"/>
              </w:rPr>
            </w:pPr>
          </w:p>
        </w:tc>
        <w:tc>
          <w:tcPr>
            <w:tcW w:w="860" w:type="dxa"/>
            <w:vAlign w:val="bottom"/>
            <w:vMerge w:val="restart"/>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6"/>
              </w:rPr>
              <w:t>Revolving</w:t>
            </w:r>
          </w:p>
        </w:tc>
        <w:tc>
          <w:tcPr>
            <w:tcW w:w="0" w:type="dxa"/>
            <w:vAlign w:val="bottom"/>
          </w:tcPr>
          <w:p>
            <w:pPr>
              <w:spacing w:after="0"/>
              <w:rPr>
                <w:sz w:val="1"/>
                <w:szCs w:val="1"/>
                <w:color w:val="auto"/>
              </w:rPr>
            </w:pPr>
          </w:p>
        </w:tc>
      </w:tr>
      <w:tr>
        <w:trPr>
          <w:trHeight w:val="154"/>
        </w:trPr>
        <w:tc>
          <w:tcPr>
            <w:tcW w:w="2920" w:type="dxa"/>
            <w:vAlign w:val="bottom"/>
            <w:gridSpan w:val="3"/>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i w:val="1"/>
                <w:iCs w:val="1"/>
                <w:color w:val="auto"/>
                <w:w w:val="91"/>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486,000,000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The Bank of Tokyo-Mitsubishi UFJ, Ltd., New York Branch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Wells Fargo Bank, 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Mizuho Bank, Ltd.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486,000,000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Barclays Bank PLC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BNP Paribas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Credit Suisse AG, Cayman Islands Branch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Goldman Sachs Bank USA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Sumitomo Mitsui Banking Corporation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Toronto Dominion (Texas) LLC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Commerzbank AG New York Branch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DNB Capital LLC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PNC Bank, National Association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Industrial and Commercial Bank of China Ltd., New York Branch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Societe Generale New York Branch</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The Bank of New York Mellon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of China, New York Branch</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Agricultural Bank of China Ltd., New York Branch</w:t>
            </w:r>
          </w:p>
        </w:tc>
        <w:tc>
          <w:tcPr>
            <w:tcW w:w="8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7,000,000,000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2.03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Issuing Lender Commitments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Institution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Letter of Credit</w:t>
            </w:r>
          </w:p>
        </w:tc>
        <w:tc>
          <w:tcPr>
            <w:tcW w:w="0" w:type="dxa"/>
            <w:vAlign w:val="bottom"/>
          </w:tcPr>
          <w:p>
            <w:pPr>
              <w:spacing w:after="0"/>
              <w:rPr>
                <w:sz w:val="1"/>
                <w:szCs w:val="1"/>
                <w:color w:val="auto"/>
              </w:rPr>
            </w:pPr>
          </w:p>
        </w:tc>
      </w:tr>
      <w:tr>
        <w:trPr>
          <w:trHeight w:val="158"/>
        </w:trPr>
        <w:tc>
          <w:tcPr>
            <w:tcW w:w="584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100,000,000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Mizuho Bank, Ltd.</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Bank of Tokyo-Mitsubishi UFJ, Ltd., New York Branch</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Morgan Stanley Bank, N.A.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i w:val="1"/>
                <w:iCs w:val="1"/>
                <w:u w:val="single" w:color="auto"/>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9"/>
              </w:rPr>
              <w:t>500,000,000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vMerge w:val="restart"/>
          </w:tcPr>
          <w:p>
            <w:pPr>
              <w:spacing w:after="0" w:line="20" w:lineRule="exact"/>
              <w:rPr>
                <w:sz w:val="1"/>
                <w:szCs w:val="1"/>
                <w:color w:val="auto"/>
              </w:rPr>
            </w:pPr>
          </w:p>
        </w:tc>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Issuers of Existing Letters of Credit</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3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Institution</w:t>
            </w:r>
          </w:p>
        </w:tc>
        <w:tc>
          <w:tcPr>
            <w:tcW w:w="2740" w:type="dxa"/>
            <w:vAlign w:val="bottom"/>
            <w:tcBorders>
              <w:top w:val="single" w:sz="8" w:color="auto"/>
            </w:tcBorders>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Amount as of the</w:t>
            </w:r>
          </w:p>
        </w:tc>
        <w:tc>
          <w:tcPr>
            <w:tcW w:w="0" w:type="dxa"/>
            <w:vAlign w:val="bottom"/>
          </w:tcPr>
          <w:p>
            <w:pPr>
              <w:spacing w:after="0"/>
              <w:rPr>
                <w:sz w:val="1"/>
                <w:szCs w:val="1"/>
                <w:color w:val="auto"/>
              </w:rPr>
            </w:pPr>
          </w:p>
        </w:tc>
      </w:tr>
      <w:tr>
        <w:trPr>
          <w:trHeight w:val="158"/>
        </w:trPr>
        <w:tc>
          <w:tcPr>
            <w:tcW w:w="2500" w:type="dxa"/>
            <w:vAlign w:val="bottom"/>
            <w:gridSpan w:val="3"/>
            <w:vMerge w:val="continue"/>
          </w:tcPr>
          <w:p>
            <w:pPr>
              <w:spacing w:after="0"/>
              <w:rPr>
                <w:sz w:val="13"/>
                <w:szCs w:val="13"/>
                <w:color w:val="auto"/>
              </w:rPr>
            </w:pPr>
          </w:p>
        </w:tc>
        <w:tc>
          <w:tcPr>
            <w:tcW w:w="27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tcPr>
          <w:p>
            <w:pPr>
              <w:ind w:left="80"/>
              <w:spacing w:after="0" w:line="158" w:lineRule="exact"/>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60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$247,107,533.21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The Bank of New York Mellon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9,470,143.74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4,537,000.00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4,424,238.00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95" w:name="page96"/>
    <w:bookmarkEnd w:id="9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6.08</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Unrestricted Subsidiaries</w:t>
      </w:r>
    </w:p>
    <w:p>
      <w:pPr>
        <w:spacing w:after="0" w:line="256"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Comcast Holdings Corporation and its subsidiaries (except Comcast Cable Communications, LLC and its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Comcast Navy Holdings, LLC and its subsidiaries, including NBCUniversal Enterprise,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NBCUniversal Enterprise, Inc. (f/k/a Navy Holdings, Inc.)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Comcast Contribution Holdings, LLC and its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Comcast Navy Contribution Holdings, LLC and its subsidiaries</w:t>
      </w:r>
    </w:p>
    <w:p>
      <w:pPr>
        <w:spacing w:after="0" w:line="23"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a. NBCUniversal, LLC and its subsidiaries (except for NBCUniversal Media, LLC)</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Comcast Navy Acquisition, LLC and its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Comcast CSA Holdings, LLC and its subsidiaries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NBCUniversal Asia, LLC and its subsidiaries (Universal Studios Japan)</w:t>
      </w:r>
    </w:p>
    <w:p>
      <w:pPr>
        <w:spacing w:after="0" w:line="130" w:lineRule="exact"/>
        <w:rPr>
          <w:rFonts w:ascii="Arial" w:cs="Arial" w:eastAsia="Arial" w:hAnsi="Arial"/>
          <w:sz w:val="18"/>
          <w:szCs w:val="18"/>
          <w:color w:val="auto"/>
        </w:rPr>
      </w:pPr>
    </w:p>
    <w:p>
      <w:pPr>
        <w:ind w:left="900" w:hanging="446"/>
        <w:spacing w:after="0" w:line="288"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Subsidiaries of Universal City Studios Productions LLLP that are solely and specifically related to Comcast’s ownership and development of a theme park in Beijing China and all of their current and future subsidiaries. Those entities existing as of the date hereof are: (i) Universal Studios Recreation China Planning Services LLC, (ii) Universal Beijing WFOE Holding LLC, (iii) Universal Beijing Servicer Holding, LLC,</w:t>
      </w:r>
    </w:p>
    <w:p>
      <w:pPr>
        <w:ind w:left="1200" w:hanging="301"/>
        <w:spacing w:after="0"/>
        <w:tabs>
          <w:tab w:leader="none" w:pos="12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Universal Beijing Development Services LLC, (v) Universal Beijing Owner Holding LLC and (vi) Universal Beijing Services LLC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Note: “subsidiaries” includes all current and future subsidiaries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270" w:right="319" w:bottom="1440" w:gutter="0" w:footer="0" w:header="0"/>
        </w:sectPr>
      </w:pPr>
    </w:p>
    <w:bookmarkStart w:id="96" w:name="page97"/>
    <w:bookmarkEnd w:id="9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10.02</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Addresses for Notices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If to Borrower,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(215) 286-7564</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(215) 286-7794</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corporate_legal@comcast.com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Administrative Agent,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Donatus Anusionwu</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622-0531</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270-5127</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donatus.o.anusionwu@jpmorgan.com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Loans denominated in Dollars, 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Jessie Qian Jiang</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(302) 634-2426</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(302) 634-3301</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qian.jiang@chase.com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Loans denominated in a currency other than Dollars, 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Europe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Bank Street, Canary Wharf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E145JP</w:t>
      </w:r>
    </w:p>
    <w:p>
      <w:pPr>
        <w:sectPr>
          <w:pgSz w:w="11900" w:h="16838" w:orient="portrait"/>
          <w:cols w:equalWidth="0" w:num="1">
            <w:col w:w="10219"/>
          </w:cols>
          <w:pgMar w:left="240" w:top="270" w:right="1440"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Facsimile: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(207) 777-2360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loan_agency_london@jpmorgan.com</w:t>
      </w:r>
    </w:p>
    <w:p>
      <w:pPr>
        <w:spacing w:after="0" w:line="165" w:lineRule="exact"/>
        <w:rPr>
          <w:sz w:val="20"/>
          <w:szCs w:val="20"/>
          <w:color w:val="auto"/>
        </w:rPr>
      </w:pPr>
    </w:p>
    <w:p>
      <w:pPr>
        <w:sectPr>
          <w:pgSz w:w="11900" w:h="16838" w:orient="portrait"/>
          <w:cols w:equalWidth="0" w:num="2">
            <w:col w:w="760" w:space="720"/>
            <w:col w:w="8739"/>
          </w:cols>
          <w:pgMar w:left="240" w:top="270" w:right="1440" w:bottom="1440" w:gutter="0" w:footer="0" w:header="0"/>
          <w:type w:val="continuous"/>
        </w:sect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270" w:right="144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Issuing Lenders,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Donatus Anusionwu</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(212) 622-0531</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270-5127</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donatus.o.anusionwu@jpmorgan.com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and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Road, Ops 2, Floor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19713-2107</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Jessie Qian Jiang</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(302) 634-2426</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(302) 634-3301</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qian.jiang@chase.com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Main St., 64th Floor</w:t>
      </w:r>
    </w:p>
    <w:p>
      <w:pPr>
        <w:sectPr>
          <w:pgSz w:w="11900" w:h="16838" w:orient="portrait"/>
          <w:cols w:equalWidth="0" w:num="1">
            <w:col w:w="10219"/>
          </w:cols>
          <w:pgMar w:left="240" w:top="274" w:right="1440" w:bottom="1440" w:gutter="0" w:footer="0" w:header="0"/>
        </w:sectPr>
      </w:pPr>
    </w:p>
    <w:p>
      <w:pPr>
        <w:spacing w:after="0" w:line="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Dallas, TX 75202 Attention: Telephone: Facsimile: 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Diane Dycus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 209-0935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290-9468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diane.dycus@baml.com</w:t>
      </w:r>
    </w:p>
    <w:p>
      <w:pPr>
        <w:spacing w:after="0" w:line="200" w:lineRule="exact"/>
        <w:rPr>
          <w:sz w:val="20"/>
          <w:szCs w:val="20"/>
          <w:color w:val="auto"/>
        </w:rPr>
      </w:pPr>
    </w:p>
    <w:p>
      <w:pPr>
        <w:sectPr>
          <w:pgSz w:w="11900" w:h="16838" w:orient="portrait"/>
          <w:cols w:equalWidth="0" w:num="2">
            <w:col w:w="1300" w:space="180"/>
            <w:col w:w="8739"/>
          </w:cols>
          <w:pgMar w:left="240" w:top="274"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6023 Airport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Oriskany, NY 13424</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Donald Rogers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Loan Administrator</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(315) 765-4317</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(315) 765-4822</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Donald.rogers@bnymellon.com</w:t>
      </w:r>
    </w:p>
    <w:p>
      <w:pPr>
        <w:spacing w:after="0" w:line="143"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74" w:right="1440"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Tokyo-Mistubishi UFJ,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Operations Department (IOD)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Union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Harborside Financial Center, 500 Plaza III</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2"/>
          </w:tcPr>
          <w:p>
            <w:pPr>
              <w:spacing w:after="0"/>
              <w:rPr>
                <w:sz w:val="20"/>
                <w:szCs w:val="20"/>
                <w:color w:val="auto"/>
              </w:rPr>
            </w:pPr>
            <w:r>
              <w:rPr>
                <w:rFonts w:ascii="Arial" w:cs="Arial" w:eastAsia="Arial" w:hAnsi="Arial"/>
                <w:sz w:val="18"/>
                <w:szCs w:val="18"/>
                <w:color w:val="auto"/>
              </w:rPr>
              <w:t>Jersey City, NJ 07311</w:t>
            </w:r>
          </w:p>
        </w:tc>
        <w:tc>
          <w:tcPr>
            <w:tcW w:w="2900" w:type="dxa"/>
            <w:vAlign w:val="bottom"/>
          </w:tcPr>
          <w:p>
            <w:pPr>
              <w:spacing w:after="0"/>
              <w:rPr>
                <w:sz w:val="17"/>
                <w:szCs w:val="17"/>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Attention:</w:t>
            </w:r>
          </w:p>
        </w:tc>
        <w:tc>
          <w:tcPr>
            <w:tcW w:w="3380" w:type="dxa"/>
            <w:vAlign w:val="bottom"/>
            <w:gridSpan w:val="2"/>
          </w:tcPr>
          <w:p>
            <w:pPr>
              <w:ind w:left="60"/>
              <w:spacing w:after="0"/>
              <w:rPr>
                <w:sz w:val="20"/>
                <w:szCs w:val="20"/>
                <w:color w:val="auto"/>
              </w:rPr>
            </w:pPr>
            <w:r>
              <w:rPr>
                <w:rFonts w:ascii="Arial" w:cs="Arial" w:eastAsia="Arial" w:hAnsi="Arial"/>
                <w:sz w:val="18"/>
                <w:szCs w:val="18"/>
                <w:color w:val="auto"/>
              </w:rPr>
              <w:t>Antonina Bondi</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Telephone:</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(201)</w:t>
            </w:r>
          </w:p>
        </w:tc>
        <w:tc>
          <w:tcPr>
            <w:tcW w:w="2900" w:type="dxa"/>
            <w:vAlign w:val="bottom"/>
          </w:tcPr>
          <w:p>
            <w:pPr>
              <w:ind w:left="20"/>
              <w:spacing w:after="0"/>
              <w:rPr>
                <w:sz w:val="20"/>
                <w:szCs w:val="20"/>
                <w:color w:val="auto"/>
              </w:rPr>
            </w:pPr>
            <w:r>
              <w:rPr>
                <w:rFonts w:ascii="Arial" w:cs="Arial" w:eastAsia="Arial" w:hAnsi="Arial"/>
                <w:sz w:val="18"/>
                <w:szCs w:val="18"/>
                <w:color w:val="auto"/>
              </w:rPr>
              <w:t>413-8823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Facsimile:</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(201)</w:t>
            </w:r>
          </w:p>
        </w:tc>
        <w:tc>
          <w:tcPr>
            <w:tcW w:w="2900" w:type="dxa"/>
            <w:vAlign w:val="bottom"/>
          </w:tcPr>
          <w:p>
            <w:pPr>
              <w:ind w:left="20"/>
              <w:spacing w:after="0"/>
              <w:rPr>
                <w:sz w:val="20"/>
                <w:szCs w:val="20"/>
                <w:color w:val="auto"/>
              </w:rPr>
            </w:pPr>
            <w:r>
              <w:rPr>
                <w:rFonts w:ascii="Arial" w:cs="Arial" w:eastAsia="Arial" w:hAnsi="Arial"/>
                <w:sz w:val="18"/>
                <w:szCs w:val="18"/>
                <w:color w:val="auto"/>
              </w:rPr>
              <w:t>521-2336</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Email:</w:t>
            </w:r>
          </w:p>
        </w:tc>
        <w:tc>
          <w:tcPr>
            <w:tcW w:w="3380" w:type="dxa"/>
            <w:vAlign w:val="bottom"/>
            <w:gridSpan w:val="2"/>
          </w:tcPr>
          <w:p>
            <w:pPr>
              <w:ind w:left="60"/>
              <w:spacing w:after="0"/>
              <w:rPr>
                <w:sz w:val="20"/>
                <w:szCs w:val="20"/>
                <w:color w:val="auto"/>
              </w:rPr>
            </w:pPr>
            <w:r>
              <w:rPr>
                <w:rFonts w:ascii="Arial" w:cs="Arial" w:eastAsia="Arial" w:hAnsi="Arial"/>
                <w:sz w:val="18"/>
                <w:szCs w:val="18"/>
                <w:color w:val="auto"/>
                <w:w w:val="92"/>
              </w:rPr>
              <w:t>abondi@us.mufg.jp; IOD_SBLC@us.mufg.jp</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Citibank, N.A.</w:t>
            </w: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388 Greenwich Street</w:t>
            </w:r>
          </w:p>
        </w:tc>
        <w:tc>
          <w:tcPr>
            <w:tcW w:w="2900" w:type="dxa"/>
            <w:vAlign w:val="bottom"/>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New York, NY 10013</w:t>
            </w:r>
          </w:p>
        </w:tc>
        <w:tc>
          <w:tcPr>
            <w:tcW w:w="2900" w:type="dxa"/>
            <w:vAlign w:val="bottom"/>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Attention:</w:t>
            </w:r>
          </w:p>
        </w:tc>
        <w:tc>
          <w:tcPr>
            <w:tcW w:w="3380" w:type="dxa"/>
            <w:vAlign w:val="bottom"/>
            <w:gridSpan w:val="2"/>
          </w:tcPr>
          <w:p>
            <w:pPr>
              <w:ind w:left="60"/>
              <w:spacing w:after="0"/>
              <w:rPr>
                <w:sz w:val="20"/>
                <w:szCs w:val="20"/>
                <w:color w:val="auto"/>
              </w:rPr>
            </w:pPr>
            <w:r>
              <w:rPr>
                <w:rFonts w:ascii="Arial" w:cs="Arial" w:eastAsia="Arial" w:hAnsi="Arial"/>
                <w:sz w:val="18"/>
                <w:szCs w:val="18"/>
                <w:color w:val="auto"/>
              </w:rPr>
              <w:t>Denise Brown-Saddler</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Telephone:</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(212)</w:t>
            </w:r>
          </w:p>
        </w:tc>
        <w:tc>
          <w:tcPr>
            <w:tcW w:w="2900" w:type="dxa"/>
            <w:vAlign w:val="bottom"/>
          </w:tcPr>
          <w:p>
            <w:pPr>
              <w:ind w:left="20"/>
              <w:spacing w:after="0"/>
              <w:rPr>
                <w:sz w:val="20"/>
                <w:szCs w:val="20"/>
                <w:color w:val="auto"/>
              </w:rPr>
            </w:pPr>
            <w:r>
              <w:rPr>
                <w:rFonts w:ascii="Arial" w:cs="Arial" w:eastAsia="Arial" w:hAnsi="Arial"/>
                <w:sz w:val="18"/>
                <w:szCs w:val="18"/>
                <w:color w:val="auto"/>
              </w:rPr>
              <w:t>816-8397</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Facsimile:</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(646)</w:t>
            </w:r>
          </w:p>
        </w:tc>
        <w:tc>
          <w:tcPr>
            <w:tcW w:w="2900" w:type="dxa"/>
            <w:vAlign w:val="bottom"/>
          </w:tcPr>
          <w:p>
            <w:pPr>
              <w:ind w:left="20"/>
              <w:spacing w:after="0"/>
              <w:rPr>
                <w:sz w:val="20"/>
                <w:szCs w:val="20"/>
                <w:color w:val="auto"/>
              </w:rPr>
            </w:pPr>
            <w:r>
              <w:rPr>
                <w:rFonts w:ascii="Arial" w:cs="Arial" w:eastAsia="Arial" w:hAnsi="Arial"/>
                <w:sz w:val="18"/>
                <w:szCs w:val="18"/>
                <w:color w:val="auto"/>
              </w:rPr>
              <w:t>291-1750</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Email:</w:t>
            </w:r>
          </w:p>
        </w:tc>
        <w:tc>
          <w:tcPr>
            <w:tcW w:w="3380" w:type="dxa"/>
            <w:vAlign w:val="bottom"/>
            <w:gridSpan w:val="2"/>
          </w:tcPr>
          <w:p>
            <w:pPr>
              <w:ind w:left="60"/>
              <w:spacing w:after="0"/>
              <w:rPr>
                <w:sz w:val="20"/>
                <w:szCs w:val="20"/>
                <w:color w:val="auto"/>
              </w:rPr>
            </w:pPr>
            <w:r>
              <w:rPr>
                <w:rFonts w:ascii="Arial" w:cs="Arial" w:eastAsia="Arial" w:hAnsi="Arial"/>
                <w:sz w:val="18"/>
                <w:szCs w:val="18"/>
                <w:color w:val="auto"/>
              </w:rPr>
              <w:t>denise.brownsaddler@citi.com</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w w:val="97"/>
              </w:rPr>
              <w:t>Mizuho Bank, Ltd.</w:t>
            </w: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1800 Plaza Ten</w:t>
            </w: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w w:val="94"/>
              </w:rPr>
              <w:t>Harborside Financial Ctr.</w:t>
            </w:r>
          </w:p>
        </w:tc>
        <w:tc>
          <w:tcPr>
            <w:tcW w:w="2900" w:type="dxa"/>
            <w:vAlign w:val="bottom"/>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Jersey City, NJ 07311</w:t>
            </w:r>
          </w:p>
        </w:tc>
        <w:tc>
          <w:tcPr>
            <w:tcW w:w="2900" w:type="dxa"/>
            <w:vAlign w:val="bottom"/>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Attention:</w:t>
            </w:r>
          </w:p>
        </w:tc>
        <w:tc>
          <w:tcPr>
            <w:tcW w:w="3380" w:type="dxa"/>
            <w:vAlign w:val="bottom"/>
            <w:gridSpan w:val="2"/>
          </w:tcPr>
          <w:p>
            <w:pPr>
              <w:ind w:left="60"/>
              <w:spacing w:after="0"/>
              <w:rPr>
                <w:sz w:val="20"/>
                <w:szCs w:val="20"/>
                <w:color w:val="auto"/>
              </w:rPr>
            </w:pPr>
            <w:r>
              <w:rPr>
                <w:rFonts w:ascii="Arial" w:cs="Arial" w:eastAsia="Arial" w:hAnsi="Arial"/>
                <w:sz w:val="18"/>
                <w:szCs w:val="18"/>
                <w:color w:val="auto"/>
              </w:rPr>
              <w:t>Jieyu Zhou; Ameye Joshi</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Telephone:</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(201)</w:t>
            </w:r>
          </w:p>
        </w:tc>
        <w:tc>
          <w:tcPr>
            <w:tcW w:w="2900" w:type="dxa"/>
            <w:vAlign w:val="bottom"/>
          </w:tcPr>
          <w:p>
            <w:pPr>
              <w:ind w:left="20"/>
              <w:spacing w:after="0"/>
              <w:rPr>
                <w:sz w:val="20"/>
                <w:szCs w:val="20"/>
                <w:color w:val="auto"/>
              </w:rPr>
            </w:pPr>
            <w:r>
              <w:rPr>
                <w:rFonts w:ascii="Arial" w:cs="Arial" w:eastAsia="Arial" w:hAnsi="Arial"/>
                <w:sz w:val="18"/>
                <w:szCs w:val="18"/>
                <w:color w:val="auto"/>
              </w:rPr>
              <w:t>626-9448; (201) 626-9181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Facsimile:</w:t>
            </w:r>
          </w:p>
        </w:tc>
        <w:tc>
          <w:tcPr>
            <w:tcW w:w="480" w:type="dxa"/>
            <w:vAlign w:val="bottom"/>
          </w:tcPr>
          <w:p>
            <w:pPr>
              <w:ind w:left="60"/>
              <w:spacing w:after="0"/>
              <w:rPr>
                <w:sz w:val="20"/>
                <w:szCs w:val="20"/>
                <w:color w:val="auto"/>
              </w:rPr>
            </w:pPr>
            <w:r>
              <w:rPr>
                <w:rFonts w:ascii="Arial" w:cs="Arial" w:eastAsia="Arial" w:hAnsi="Arial"/>
                <w:sz w:val="18"/>
                <w:szCs w:val="18"/>
                <w:color w:val="auto"/>
                <w:w w:val="95"/>
              </w:rPr>
              <w:t>(201)</w:t>
            </w:r>
          </w:p>
        </w:tc>
        <w:tc>
          <w:tcPr>
            <w:tcW w:w="2900" w:type="dxa"/>
            <w:vAlign w:val="bottom"/>
          </w:tcPr>
          <w:p>
            <w:pPr>
              <w:ind w:left="20"/>
              <w:spacing w:after="0"/>
              <w:rPr>
                <w:sz w:val="20"/>
                <w:szCs w:val="20"/>
                <w:color w:val="auto"/>
              </w:rPr>
            </w:pPr>
            <w:r>
              <w:rPr>
                <w:rFonts w:ascii="Arial" w:cs="Arial" w:eastAsia="Arial" w:hAnsi="Arial"/>
                <w:sz w:val="18"/>
                <w:szCs w:val="18"/>
                <w:color w:val="auto"/>
              </w:rPr>
              <w:t>626-9941</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Email:</w:t>
            </w:r>
          </w:p>
        </w:tc>
        <w:tc>
          <w:tcPr>
            <w:tcW w:w="3380" w:type="dxa"/>
            <w:vAlign w:val="bottom"/>
            <w:gridSpan w:val="2"/>
          </w:tcPr>
          <w:p>
            <w:pPr>
              <w:ind w:left="60"/>
              <w:spacing w:after="0"/>
              <w:rPr>
                <w:sz w:val="20"/>
                <w:szCs w:val="20"/>
                <w:color w:val="auto"/>
              </w:rPr>
            </w:pPr>
            <w:r>
              <w:rPr>
                <w:rFonts w:ascii="Arial" w:cs="Arial" w:eastAsia="Arial" w:hAnsi="Arial"/>
                <w:sz w:val="18"/>
                <w:szCs w:val="18"/>
                <w:color w:val="auto"/>
              </w:rPr>
              <w:t>LAU_USCorp3@mizuhobus.com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Thames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Thames Street Wharf,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21231</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Avnee Patel</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(443) 627-4555</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507-5010</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msb.loc@morganstanley.com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7711 Plantation Road – 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R4058-010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Roanoke, VA 24019-3224</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Shelley Tabor</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Loan Administrative Manager</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(540) 759-3122</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(866) 270-7214</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Shelley.tabor@wellsfargo.com</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74" w:right="1440"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GUARANTEE AGREEMENT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340995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383540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GUARANTEE AGREEMENT</w:t>
      </w:r>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made by</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COMCAST CABLE COMMUNICATIONS, LLC</w:t>
      </w:r>
    </w:p>
    <w:p>
      <w:pPr>
        <w:spacing w:after="0" w:line="200" w:lineRule="exact"/>
        <w:rPr>
          <w:sz w:val="20"/>
          <w:szCs w:val="20"/>
          <w:color w:val="auto"/>
        </w:rPr>
      </w:pPr>
    </w:p>
    <w:p>
      <w:pPr>
        <w:spacing w:after="0" w:line="24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NBCUNIVERSAL MEDIA, LLC</w:t>
      </w:r>
    </w:p>
    <w:p>
      <w:pPr>
        <w:spacing w:after="0" w:line="200" w:lineRule="exact"/>
        <w:rPr>
          <w:sz w:val="20"/>
          <w:szCs w:val="20"/>
          <w:color w:val="auto"/>
        </w:rPr>
      </w:pPr>
    </w:p>
    <w:p>
      <w:pPr>
        <w:spacing w:after="0" w:line="24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and the other Subsidiaries from time to time parties hereto</w:t>
      </w:r>
    </w:p>
    <w:p>
      <w:pPr>
        <w:spacing w:after="0" w:line="200" w:lineRule="exact"/>
        <w:rPr>
          <w:sz w:val="20"/>
          <w:szCs w:val="20"/>
          <w:color w:val="auto"/>
        </w:rPr>
      </w:pPr>
    </w:p>
    <w:p>
      <w:pPr>
        <w:spacing w:after="0" w:line="24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JPMORGAN CHASE BANK, N.A.</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340995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383540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20"/>
          </w:cols>
          <w:pgMar w:left="1440" w:top="274"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10180" w:type="dxa"/>
            <w:vAlign w:val="bottom"/>
          </w:tcPr>
          <w:p>
            <w:pPr>
              <w:ind w:left="394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10180" w:type="dxa"/>
            <w:vAlign w:val="bottom"/>
            <w:vMerge w:val="restart"/>
          </w:tcPr>
          <w:p>
            <w:pPr>
              <w:ind w:left="500"/>
              <w:spacing w:after="0"/>
              <w:rPr>
                <w:sz w:val="20"/>
                <w:szCs w:val="20"/>
                <w:color w:val="auto"/>
              </w:rPr>
            </w:pPr>
            <w:r>
              <w:rPr>
                <w:rFonts w:ascii="Arial" w:cs="Arial" w:eastAsia="Arial" w:hAnsi="Arial"/>
                <w:sz w:val="18"/>
                <w:szCs w:val="18"/>
                <w:color w:val="auto"/>
              </w:rPr>
              <w:t>DEFINED TERMS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860" w:type="dxa"/>
            <w:vAlign w:val="bottom"/>
            <w:vMerge w:val="continue"/>
          </w:tcPr>
          <w:p>
            <w:pPr>
              <w:spacing w:after="0"/>
              <w:rPr>
                <w:sz w:val="19"/>
                <w:szCs w:val="19"/>
                <w:color w:val="auto"/>
              </w:rPr>
            </w:pPr>
          </w:p>
        </w:tc>
        <w:tc>
          <w:tcPr>
            <w:tcW w:w="1018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860" w:type="dxa"/>
            <w:vAlign w:val="bottom"/>
          </w:tcPr>
          <w:p>
            <w:pPr>
              <w:ind w:left="360"/>
              <w:spacing w:after="0"/>
              <w:rPr>
                <w:sz w:val="20"/>
                <w:szCs w:val="20"/>
                <w:color w:val="auto"/>
              </w:rPr>
            </w:pPr>
            <w:r>
              <w:rPr>
                <w:rFonts w:ascii="Arial" w:cs="Arial" w:eastAsia="Arial" w:hAnsi="Arial"/>
                <w:sz w:val="18"/>
                <w:szCs w:val="18"/>
                <w:color w:val="auto"/>
              </w:rPr>
              <w:t>1.1</w:t>
            </w:r>
          </w:p>
        </w:tc>
        <w:tc>
          <w:tcPr>
            <w:tcW w:w="1018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1.2</w:t>
            </w:r>
          </w:p>
        </w:tc>
        <w:tc>
          <w:tcPr>
            <w:tcW w:w="10180" w:type="dxa"/>
            <w:vAlign w:val="bottom"/>
          </w:tcPr>
          <w:p>
            <w:pPr>
              <w:ind w:left="140"/>
              <w:spacing w:after="0"/>
              <w:rPr>
                <w:sz w:val="20"/>
                <w:szCs w:val="20"/>
                <w:color w:val="auto"/>
              </w:rPr>
            </w:pPr>
            <w:r>
              <w:rPr>
                <w:rFonts w:ascii="Arial" w:cs="Arial" w:eastAsia="Arial" w:hAnsi="Arial"/>
                <w:sz w:val="18"/>
                <w:szCs w:val="18"/>
                <w:color w:val="auto"/>
              </w:rPr>
              <w:t>Other Definitional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Section 2.</w:t>
            </w:r>
          </w:p>
        </w:tc>
        <w:tc>
          <w:tcPr>
            <w:tcW w:w="10180" w:type="dxa"/>
            <w:vAlign w:val="bottom"/>
          </w:tcPr>
          <w:p>
            <w:pPr>
              <w:ind w:left="50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2.1</w:t>
            </w:r>
          </w:p>
        </w:tc>
        <w:tc>
          <w:tcPr>
            <w:tcW w:w="10180" w:type="dxa"/>
            <w:vAlign w:val="bottom"/>
          </w:tcPr>
          <w:p>
            <w:pPr>
              <w:ind w:left="140"/>
              <w:spacing w:after="0"/>
              <w:rPr>
                <w:sz w:val="20"/>
                <w:szCs w:val="20"/>
                <w:color w:val="auto"/>
              </w:rPr>
            </w:pPr>
            <w:r>
              <w:rPr>
                <w:rFonts w:ascii="Arial" w:cs="Arial" w:eastAsia="Arial" w:hAnsi="Arial"/>
                <w:sz w:val="18"/>
                <w:szCs w:val="18"/>
                <w:color w:val="auto"/>
              </w:rPr>
              <w:t>Guarantee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2.2</w:t>
            </w:r>
          </w:p>
        </w:tc>
        <w:tc>
          <w:tcPr>
            <w:tcW w:w="10180" w:type="dxa"/>
            <w:vAlign w:val="bottom"/>
          </w:tcPr>
          <w:p>
            <w:pPr>
              <w:ind w:left="140"/>
              <w:spacing w:after="0"/>
              <w:rPr>
                <w:sz w:val="20"/>
                <w:szCs w:val="20"/>
                <w:color w:val="auto"/>
              </w:rPr>
            </w:pPr>
            <w:r>
              <w:rPr>
                <w:rFonts w:ascii="Arial" w:cs="Arial" w:eastAsia="Arial" w:hAnsi="Arial"/>
                <w:sz w:val="18"/>
                <w:szCs w:val="18"/>
                <w:color w:val="auto"/>
              </w:rPr>
              <w:t>Right of Contribution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2.3</w:t>
            </w:r>
          </w:p>
        </w:tc>
        <w:tc>
          <w:tcPr>
            <w:tcW w:w="10180" w:type="dxa"/>
            <w:vAlign w:val="bottom"/>
          </w:tcPr>
          <w:p>
            <w:pPr>
              <w:ind w:left="140"/>
              <w:spacing w:after="0"/>
              <w:rPr>
                <w:sz w:val="20"/>
                <w:szCs w:val="20"/>
                <w:color w:val="auto"/>
              </w:rPr>
            </w:pPr>
            <w:r>
              <w:rPr>
                <w:rFonts w:ascii="Arial" w:cs="Arial" w:eastAsia="Arial" w:hAnsi="Arial"/>
                <w:sz w:val="18"/>
                <w:szCs w:val="18"/>
                <w:color w:val="auto"/>
              </w:rPr>
              <w:t>No Subrogation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2.4</w:t>
            </w:r>
          </w:p>
        </w:tc>
        <w:tc>
          <w:tcPr>
            <w:tcW w:w="10180" w:type="dxa"/>
            <w:vAlign w:val="bottom"/>
          </w:tcPr>
          <w:p>
            <w:pPr>
              <w:ind w:left="140"/>
              <w:spacing w:after="0"/>
              <w:rPr>
                <w:sz w:val="20"/>
                <w:szCs w:val="20"/>
                <w:color w:val="auto"/>
              </w:rPr>
            </w:pPr>
            <w:r>
              <w:rPr>
                <w:rFonts w:ascii="Arial" w:cs="Arial" w:eastAsia="Arial" w:hAnsi="Arial"/>
                <w:sz w:val="18"/>
                <w:szCs w:val="18"/>
                <w:color w:val="auto"/>
              </w:rPr>
              <w:t>Amendments, etc. with respect to the Borrower Obligations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2.5</w:t>
            </w:r>
          </w:p>
        </w:tc>
        <w:tc>
          <w:tcPr>
            <w:tcW w:w="10180" w:type="dxa"/>
            <w:vAlign w:val="bottom"/>
          </w:tcPr>
          <w:p>
            <w:pPr>
              <w:ind w:left="140"/>
              <w:spacing w:after="0"/>
              <w:rPr>
                <w:sz w:val="20"/>
                <w:szCs w:val="20"/>
                <w:color w:val="auto"/>
              </w:rPr>
            </w:pPr>
            <w:r>
              <w:rPr>
                <w:rFonts w:ascii="Arial" w:cs="Arial" w:eastAsia="Arial" w:hAnsi="Arial"/>
                <w:sz w:val="18"/>
                <w:szCs w:val="18"/>
                <w:color w:val="auto"/>
              </w:rPr>
              <w:t>Guarantee Absolute and Unconditional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2.6</w:t>
            </w:r>
          </w:p>
        </w:tc>
        <w:tc>
          <w:tcPr>
            <w:tcW w:w="10180" w:type="dxa"/>
            <w:vAlign w:val="bottom"/>
          </w:tcPr>
          <w:p>
            <w:pPr>
              <w:ind w:left="140"/>
              <w:spacing w:after="0"/>
              <w:rPr>
                <w:sz w:val="20"/>
                <w:szCs w:val="20"/>
                <w:color w:val="auto"/>
              </w:rPr>
            </w:pPr>
            <w:r>
              <w:rPr>
                <w:rFonts w:ascii="Arial" w:cs="Arial" w:eastAsia="Arial" w:hAnsi="Arial"/>
                <w:sz w:val="18"/>
                <w:szCs w:val="18"/>
                <w:color w:val="auto"/>
              </w:rPr>
              <w:t>Reinstatement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2.7</w:t>
            </w:r>
          </w:p>
        </w:tc>
        <w:tc>
          <w:tcPr>
            <w:tcW w:w="10180" w:type="dxa"/>
            <w:vAlign w:val="bottom"/>
          </w:tcPr>
          <w:p>
            <w:pPr>
              <w:ind w:left="140"/>
              <w:spacing w:after="0"/>
              <w:rPr>
                <w:sz w:val="20"/>
                <w:szCs w:val="20"/>
                <w:color w:val="auto"/>
              </w:rPr>
            </w:pPr>
            <w:r>
              <w:rPr>
                <w:rFonts w:ascii="Arial" w:cs="Arial" w:eastAsia="Arial" w:hAnsi="Arial"/>
                <w:sz w:val="18"/>
                <w:szCs w:val="18"/>
                <w:color w:val="auto"/>
              </w:rPr>
              <w:t>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Section 3.</w:t>
            </w:r>
          </w:p>
        </w:tc>
        <w:tc>
          <w:tcPr>
            <w:tcW w:w="10180" w:type="dxa"/>
            <w:vAlign w:val="bottom"/>
          </w:tcPr>
          <w:p>
            <w:pPr>
              <w:ind w:left="50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0"/>
        </w:trPr>
        <w:tc>
          <w:tcPr>
            <w:tcW w:w="860" w:type="dxa"/>
            <w:vAlign w:val="bottom"/>
          </w:tcPr>
          <w:p>
            <w:pPr>
              <w:ind w:left="360"/>
              <w:spacing w:after="0"/>
              <w:rPr>
                <w:sz w:val="20"/>
                <w:szCs w:val="20"/>
                <w:color w:val="auto"/>
              </w:rPr>
            </w:pPr>
            <w:r>
              <w:rPr>
                <w:rFonts w:ascii="Arial" w:cs="Arial" w:eastAsia="Arial" w:hAnsi="Arial"/>
                <w:sz w:val="18"/>
                <w:szCs w:val="18"/>
                <w:color w:val="auto"/>
              </w:rPr>
              <w:t>3.1</w:t>
            </w:r>
          </w:p>
        </w:tc>
        <w:tc>
          <w:tcPr>
            <w:tcW w:w="10180" w:type="dxa"/>
            <w:vAlign w:val="bottom"/>
          </w:tcPr>
          <w:p>
            <w:pPr>
              <w:ind w:left="140"/>
              <w:spacing w:after="0"/>
              <w:rPr>
                <w:sz w:val="20"/>
                <w:szCs w:val="20"/>
                <w:color w:val="auto"/>
              </w:rPr>
            </w:pPr>
            <w:r>
              <w:rPr>
                <w:rFonts w:ascii="Arial" w:cs="Arial" w:eastAsia="Arial" w:hAnsi="Arial"/>
                <w:sz w:val="18"/>
                <w:szCs w:val="18"/>
                <w:color w:val="auto"/>
              </w:rPr>
              <w:t>Amendments in Writing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3.2</w:t>
            </w:r>
          </w:p>
        </w:tc>
        <w:tc>
          <w:tcPr>
            <w:tcW w:w="10180" w:type="dxa"/>
            <w:vAlign w:val="bottom"/>
          </w:tcPr>
          <w:p>
            <w:pPr>
              <w:ind w:left="14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3.3</w:t>
            </w:r>
          </w:p>
        </w:tc>
        <w:tc>
          <w:tcPr>
            <w:tcW w:w="10180" w:type="dxa"/>
            <w:vAlign w:val="bottom"/>
          </w:tcPr>
          <w:p>
            <w:pPr>
              <w:ind w:left="140"/>
              <w:spacing w:after="0"/>
              <w:rPr>
                <w:sz w:val="20"/>
                <w:szCs w:val="20"/>
                <w:color w:val="auto"/>
              </w:rPr>
            </w:pPr>
            <w:r>
              <w:rPr>
                <w:rFonts w:ascii="Arial" w:cs="Arial" w:eastAsia="Arial" w:hAnsi="Arial"/>
                <w:sz w:val="18"/>
                <w:szCs w:val="18"/>
                <w:color w:val="auto"/>
              </w:rPr>
              <w:t>No Waiver by Course of Conduct; Cumulative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3.4</w:t>
            </w:r>
          </w:p>
        </w:tc>
        <w:tc>
          <w:tcPr>
            <w:tcW w:w="10180" w:type="dxa"/>
            <w:vAlign w:val="bottom"/>
          </w:tcPr>
          <w:p>
            <w:pPr>
              <w:ind w:left="140"/>
              <w:spacing w:after="0"/>
              <w:rPr>
                <w:sz w:val="20"/>
                <w:szCs w:val="20"/>
                <w:color w:val="auto"/>
              </w:rPr>
            </w:pPr>
            <w:r>
              <w:rPr>
                <w:rFonts w:ascii="Arial" w:cs="Arial" w:eastAsia="Arial" w:hAnsi="Arial"/>
                <w:sz w:val="18"/>
                <w:szCs w:val="18"/>
                <w:color w:val="auto"/>
              </w:rPr>
              <w:t>Enforcement Expenses;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3.5</w:t>
            </w:r>
          </w:p>
        </w:tc>
        <w:tc>
          <w:tcPr>
            <w:tcW w:w="1018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3.6</w:t>
            </w:r>
          </w:p>
        </w:tc>
        <w:tc>
          <w:tcPr>
            <w:tcW w:w="10180" w:type="dxa"/>
            <w:vAlign w:val="bottom"/>
          </w:tcPr>
          <w:p>
            <w:pPr>
              <w:ind w:left="140"/>
              <w:spacing w:after="0"/>
              <w:rPr>
                <w:sz w:val="20"/>
                <w:szCs w:val="20"/>
                <w:color w:val="auto"/>
              </w:rPr>
            </w:pPr>
            <w:r>
              <w:rPr>
                <w:rFonts w:ascii="Arial" w:cs="Arial" w:eastAsia="Arial" w:hAnsi="Arial"/>
                <w:sz w:val="18"/>
                <w:szCs w:val="18"/>
                <w:color w:val="auto"/>
              </w:rPr>
              <w:t>Set-Off</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3.7</w:t>
            </w:r>
          </w:p>
        </w:tc>
        <w:tc>
          <w:tcPr>
            <w:tcW w:w="101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3.8</w:t>
            </w:r>
          </w:p>
        </w:tc>
        <w:tc>
          <w:tcPr>
            <w:tcW w:w="101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3.9</w:t>
            </w:r>
          </w:p>
        </w:tc>
        <w:tc>
          <w:tcPr>
            <w:tcW w:w="10180" w:type="dxa"/>
            <w:vAlign w:val="bottom"/>
          </w:tcPr>
          <w:p>
            <w:pPr>
              <w:ind w:left="140"/>
              <w:spacing w:after="0"/>
              <w:rPr>
                <w:sz w:val="20"/>
                <w:szCs w:val="20"/>
                <w:color w:val="auto"/>
              </w:rPr>
            </w:pPr>
            <w:r>
              <w:rPr>
                <w:rFonts w:ascii="Arial" w:cs="Arial" w:eastAsia="Arial" w:hAnsi="Arial"/>
                <w:sz w:val="18"/>
                <w:szCs w:val="18"/>
                <w:color w:val="auto"/>
              </w:rPr>
              <w:t>Section Headings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3.10</w:t>
            </w:r>
          </w:p>
        </w:tc>
        <w:tc>
          <w:tcPr>
            <w:tcW w:w="10180" w:type="dxa"/>
            <w:vAlign w:val="bottom"/>
          </w:tcPr>
          <w:p>
            <w:pPr>
              <w:ind w:left="140"/>
              <w:spacing w:after="0"/>
              <w:rPr>
                <w:sz w:val="20"/>
                <w:szCs w:val="20"/>
                <w:color w:val="auto"/>
              </w:rPr>
            </w:pPr>
            <w:r>
              <w:rPr>
                <w:rFonts w:ascii="Arial" w:cs="Arial" w:eastAsia="Arial" w:hAnsi="Arial"/>
                <w:sz w:val="18"/>
                <w:szCs w:val="18"/>
                <w:color w:val="auto"/>
              </w:rPr>
              <w:t>Integration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3.11</w:t>
            </w:r>
          </w:p>
        </w:tc>
        <w:tc>
          <w:tcPr>
            <w:tcW w:w="1018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3.12</w:t>
            </w:r>
          </w:p>
        </w:tc>
        <w:tc>
          <w:tcPr>
            <w:tcW w:w="10180" w:type="dxa"/>
            <w:vAlign w:val="bottom"/>
          </w:tcPr>
          <w:p>
            <w:pPr>
              <w:ind w:left="140"/>
              <w:spacing w:after="0"/>
              <w:rPr>
                <w:sz w:val="20"/>
                <w:szCs w:val="20"/>
                <w:color w:val="auto"/>
              </w:rPr>
            </w:pPr>
            <w:r>
              <w:rPr>
                <w:rFonts w:ascii="Arial" w:cs="Arial" w:eastAsia="Arial" w:hAnsi="Arial"/>
                <w:sz w:val="18"/>
                <w:szCs w:val="18"/>
                <w:color w:val="auto"/>
              </w:rPr>
              <w:t>Submission To Jurisdiction; Waivers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3.13</w:t>
            </w:r>
          </w:p>
        </w:tc>
        <w:tc>
          <w:tcPr>
            <w:tcW w:w="10180" w:type="dxa"/>
            <w:vAlign w:val="bottom"/>
          </w:tcPr>
          <w:p>
            <w:pPr>
              <w:ind w:left="140"/>
              <w:spacing w:after="0"/>
              <w:rPr>
                <w:sz w:val="20"/>
                <w:szCs w:val="20"/>
                <w:color w:val="auto"/>
              </w:rPr>
            </w:pPr>
            <w:r>
              <w:rPr>
                <w:rFonts w:ascii="Arial" w:cs="Arial" w:eastAsia="Arial" w:hAnsi="Arial"/>
                <w:sz w:val="18"/>
                <w:szCs w:val="18"/>
                <w:color w:val="auto"/>
              </w:rPr>
              <w:t>Acknowledgements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ind w:left="360"/>
              <w:spacing w:after="0"/>
              <w:rPr>
                <w:sz w:val="20"/>
                <w:szCs w:val="20"/>
                <w:color w:val="auto"/>
              </w:rPr>
            </w:pPr>
            <w:r>
              <w:rPr>
                <w:rFonts w:ascii="Arial" w:cs="Arial" w:eastAsia="Arial" w:hAnsi="Arial"/>
                <w:sz w:val="18"/>
                <w:szCs w:val="18"/>
                <w:color w:val="auto"/>
              </w:rPr>
              <w:t>3.14</w:t>
            </w:r>
          </w:p>
        </w:tc>
        <w:tc>
          <w:tcPr>
            <w:tcW w:w="10180" w:type="dxa"/>
            <w:vAlign w:val="bottom"/>
          </w:tcPr>
          <w:p>
            <w:pPr>
              <w:ind w:left="140"/>
              <w:spacing w:after="0"/>
              <w:rPr>
                <w:sz w:val="20"/>
                <w:szCs w:val="20"/>
                <w:color w:val="auto"/>
              </w:rPr>
            </w:pPr>
            <w:r>
              <w:rPr>
                <w:rFonts w:ascii="Arial" w:cs="Arial" w:eastAsia="Arial" w:hAnsi="Arial"/>
                <w:sz w:val="18"/>
                <w:szCs w:val="18"/>
                <w:color w:val="auto"/>
              </w:rPr>
              <w:t>Additional Guarantors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ind w:left="360"/>
              <w:spacing w:after="0"/>
              <w:rPr>
                <w:sz w:val="20"/>
                <w:szCs w:val="20"/>
                <w:color w:val="auto"/>
              </w:rPr>
            </w:pPr>
            <w:r>
              <w:rPr>
                <w:rFonts w:ascii="Arial" w:cs="Arial" w:eastAsia="Arial" w:hAnsi="Arial"/>
                <w:sz w:val="18"/>
                <w:szCs w:val="18"/>
                <w:color w:val="auto"/>
              </w:rPr>
              <w:t>3.15</w:t>
            </w:r>
          </w:p>
        </w:tc>
        <w:tc>
          <w:tcPr>
            <w:tcW w:w="1018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1 Notice Addresses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1 Form Assumption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02" w:name="page103"/>
    <w:bookmarkEnd w:id="10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 AGREEMENT</w:t>
      </w:r>
    </w:p>
    <w:p>
      <w:pPr>
        <w:spacing w:after="0" w:line="225"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GUARANTEE AGREEMENT, dated as of May 26, 2016, made by each of the signatories hereto, in favor of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banks and other financial institutions or entities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parties to the Credit Agreement, dated as of the date hereof (as amended,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COMCAST CORPORATION, a Pennsylvania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and the Administrative Agent.</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Borrower is a member of an affiliated group of companies that includes each Guarantor;</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WHEREAS, the proceeds of the extensions of credit under the Credit Agreement will be used in part to enable the Borrower to make valuable transfers to one or more of the Guarantors in connection with the operation of its and their respective businesses;</w:t>
      </w:r>
    </w:p>
    <w:p>
      <w:pPr>
        <w:spacing w:after="0" w:line="17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WHEREAS, the Borrower and Guarantors are engaged in related businesses, and each Guarantor will derive substantial direct and indirect benefit from the making of the extensions of credit under the Credit Agreement; and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WHEREAS, it is a condition precedent to the obligation of the Lenders to agree to the effectiveness of the Credit Agreement that the Guarantors shall have executed and delivered this Agreement to the Administrative Agent for the ratable benefit of the Lenders;</w:t>
      </w:r>
    </w:p>
    <w:p>
      <w:pPr>
        <w:spacing w:after="0" w:line="170" w:lineRule="exact"/>
        <w:rPr>
          <w:sz w:val="20"/>
          <w:szCs w:val="20"/>
          <w:color w:val="auto"/>
        </w:rPr>
      </w:pPr>
    </w:p>
    <w:p>
      <w:pPr>
        <w:ind w:right="520" w:firstLine="913"/>
        <w:spacing w:after="0" w:line="264"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Borrower thereunder, each Guarantor hereby agrees with the Administrative Agent, for the ratable benefit of the Lenders, as follows: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SECTION 1. DEFINED TERMS</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(a) Unless otherwise defined herein, terms defined in the Credit Agreement and used herein shall have the meanings given to them in the Credit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following terms shall have the following meanings: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Guarantee Agreement, as the same may be amended, supplemented or otherwise modified from time to time.</w:t>
      </w:r>
    </w:p>
    <w:p>
      <w:pPr>
        <w:sectPr>
          <w:pgSz w:w="11900" w:h="16838" w:orient="portrait"/>
          <w:cols w:equalWidth="0" w:num="1">
            <w:col w:w="11320"/>
          </w:cols>
          <w:pgMar w:left="240" w:top="274" w:right="339" w:bottom="1440" w:gutter="0" w:footer="0" w:header="0"/>
        </w:sectPr>
      </w:pPr>
    </w:p>
    <w:bookmarkStart w:id="103" w:name="page104"/>
    <w:bookmarkEnd w:id="103"/>
    <w:p>
      <w:pPr>
        <w:ind w:firstLine="913"/>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Borrower Obligations</w:t>
      </w:r>
      <w:r>
        <w:rPr>
          <w:rFonts w:ascii="Arial" w:cs="Arial" w:eastAsia="Arial" w:hAnsi="Arial"/>
          <w:sz w:val="16"/>
          <w:szCs w:val="16"/>
          <w:color w:val="auto"/>
        </w:rPr>
        <w:t>”: the collective reference to the unpaid principal of and interest on the Loans made to the Borrower and its reimbursement obligations under Section 2.03(c) of the Credit Agreement and all other obligations and liabilities of the Borrower (including, without limitation, interest accruing at the then applicable rate provided in the Credit Agreement after the maturity of the Loans made to it and its reimbursement obligations under Section 2.03(c) of the Credit Agreement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or any Lender (or, in the case of any Lender Swap Agreement of the Borrower,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Swap Agreement of the Borrower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11"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shall mean, with respect to any Guarantor, any Swap Obligation if, and to the extent that, and only for so long as, all or a portion of the guarantee of such Guarantor of, or the grant by such Guarantor of a security interest to secure, as applicable, such Swap Obligation (or any guarantee thereof) is or becomes illegal or is not permitted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2"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 Obligations</w:t>
      </w:r>
      <w:r>
        <w:rPr>
          <w:rFonts w:ascii="Arial" w:cs="Arial" w:eastAsia="Arial" w:hAnsi="Arial"/>
          <w:sz w:val="17"/>
          <w:szCs w:val="17"/>
          <w:color w:val="auto"/>
        </w:rPr>
        <w:t>”: with respect to any Guarantor, all obligations and liabilities of such Guarantor (other than any Excluded Swap Obligations of such Guarantor) which may arise under or in connection with this Agreement (including, without limitation, Section 2)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04" w:name="page105"/>
    <w:bookmarkEnd w:id="104"/>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Guarantors</w:t>
      </w:r>
      <w:r>
        <w:rPr>
          <w:rFonts w:ascii="Arial" w:cs="Arial" w:eastAsia="Arial" w:hAnsi="Arial"/>
          <w:sz w:val="18"/>
          <w:szCs w:val="18"/>
          <w:color w:val="auto"/>
        </w:rPr>
        <w:t>”: the collective reference to each of the signatories hereto and the other entities that may become a party hereto as provided herein (in each case, unless released pursuant to the terms of the Loan Documents).</w:t>
      </w:r>
    </w:p>
    <w:p>
      <w:pPr>
        <w:spacing w:after="0" w:line="170"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Swap Agreements</w:t>
      </w:r>
      <w:r>
        <w:rPr>
          <w:rFonts w:ascii="Arial" w:cs="Arial" w:eastAsia="Arial" w:hAnsi="Arial"/>
          <w:sz w:val="17"/>
          <w:szCs w:val="17"/>
          <w:color w:val="auto"/>
        </w:rPr>
        <w:t>”: all Swap Agreements in respect of interest rates, currency exchange rates or commodity prices entered into by the Borrower with any Person that is a Lender or an affiliate of a Lender at the time such Person enters into any such Swap Agreement.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in the case of each Guarantor, its Guarantor Obligations.</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Keepwell Provider</w:t>
      </w:r>
      <w:r>
        <w:rPr>
          <w:rFonts w:ascii="Arial" w:cs="Arial" w:eastAsia="Arial" w:hAnsi="Arial"/>
          <w:sz w:val="18"/>
          <w:szCs w:val="18"/>
          <w:color w:val="auto"/>
        </w:rPr>
        <w:t>” means in respect of any Swap Obligation, each Loan Party that, at the time the relevant guarantee (or grant of the relevant security interest, as applicable) becomes effective with respect to such Swap Obligation, has total assets exceeding $10,000,000 or otherwise constitutes an “eligible contract participant” under the Commodity Exchange Act or any regulations promulgated thereunder and can cause another person to qualify as an “eligible contract participant” with respect to such Swap Obligation at such time by entering into a keepwell pursuant to section 1a(18)(A)(v)(II) of the Commodity Exchange Act.</w:t>
      </w:r>
    </w:p>
    <w:p>
      <w:pPr>
        <w:spacing w:after="0" w:line="188"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of a Person means any obligation of such Person to pay or perform under any Swap Agreement.</w:t>
      </w:r>
    </w:p>
    <w:p>
      <w:pPr>
        <w:spacing w:after="0" w:line="225"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meanings given to terms defined herein shall be equally applicable to both the singular and plural forms of such terms.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2. GUARANTEE</w:t>
      </w:r>
    </w:p>
    <w:p>
      <w:pPr>
        <w:spacing w:after="0" w:line="22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Guarantee</w:t>
      </w:r>
      <w:r>
        <w:rPr>
          <w:rFonts w:ascii="Arial" w:cs="Arial" w:eastAsia="Arial" w:hAnsi="Arial"/>
          <w:sz w:val="17"/>
          <w:szCs w:val="17"/>
          <w:color w:val="auto"/>
        </w:rPr>
        <w:t>. (a) Subject to the provisions of Section 2.1(b), each of the Guarantors hereby, jointly and severally, unconditionally and irrevocably, guarantees to the Administrative Agent, for the ratable benefit of the Lenders and their respective successors, indorsees, transferees and assigns, the prompt and complete payment and performance by the Borrower when due (whether at the stated maturity, by acceleration or otherwise) of the Borrower Obligations (other than, with respect to any Guarantor, any Excluded Swap Obligations of such Guarantor).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05" w:name="page106"/>
    <w:bookmarkEnd w:id="105"/>
    <w:p>
      <w:pPr>
        <w:jc w:val="both"/>
        <w:ind w:right="100" w:firstLine="464"/>
        <w:spacing w:after="0" w:line="286" w:lineRule="auto"/>
        <w:tabs>
          <w:tab w:leader="none" w:pos="711" w:val="left"/>
        </w:tabs>
        <w:numPr>
          <w:ilvl w:val="0"/>
          <w:numId w:val="1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herein or in any other Loan Document to the contrary notwithstanding, the maximum liability of each Guarantor hereunder and under the other Loan Documents in its capacity as Guarantor shall in no event exceed the amount which can be guaranteed by such Guarantor under applicable federal and state laws relating to the insolvency of debtors (after giving effect to the right of contribution established in Section 2.2).</w:t>
      </w:r>
    </w:p>
    <w:p>
      <w:pPr>
        <w:spacing w:after="0" w:line="165" w:lineRule="exact"/>
        <w:rPr>
          <w:rFonts w:ascii="Arial" w:cs="Arial" w:eastAsia="Arial" w:hAnsi="Arial"/>
          <w:sz w:val="17"/>
          <w:szCs w:val="17"/>
          <w:color w:val="auto"/>
        </w:rPr>
      </w:pPr>
    </w:p>
    <w:p>
      <w:pPr>
        <w:ind w:right="260" w:firstLine="464"/>
        <w:spacing w:after="0" w:line="264" w:lineRule="auto"/>
        <w:tabs>
          <w:tab w:leader="none" w:pos="70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may at any time and from time to time exceed the amount of the liability of such Guarantor hereunder without impairing the guarantee contained in this Section 2 or affecting the rights and remedies of the Administrative Agent or any Lender hereunder.</w:t>
      </w:r>
    </w:p>
    <w:p>
      <w:pPr>
        <w:spacing w:after="0" w:line="181" w:lineRule="exact"/>
        <w:rPr>
          <w:rFonts w:ascii="Arial" w:cs="Arial" w:eastAsia="Arial" w:hAnsi="Arial"/>
          <w:sz w:val="18"/>
          <w:szCs w:val="18"/>
          <w:color w:val="auto"/>
        </w:rPr>
      </w:pPr>
    </w:p>
    <w:p>
      <w:pPr>
        <w:ind w:right="220" w:firstLine="464"/>
        <w:spacing w:after="0" w:line="257" w:lineRule="auto"/>
        <w:tabs>
          <w:tab w:leader="none" w:pos="7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Borrower Obligations and the obligations of each Guarantor under the guarantee contained in this Section 2 shall have been satisfied by payment in full (other than contingent indemnification and expense reimbursement obligations), no Letter of Credit shall be outstanding (unless such Letter of Credit shall have been cash collateralized in accordance with the terms of the Credit Agreement) and the Revolving Commitments shall be terminated, notwithstanding that from time to time during the term of the Credit Agreement the Borrower may be free from the Borrower Obligations.</w:t>
      </w:r>
    </w:p>
    <w:p>
      <w:pPr>
        <w:spacing w:after="0" w:line="188" w:lineRule="exact"/>
        <w:rPr>
          <w:rFonts w:ascii="Arial" w:cs="Arial" w:eastAsia="Arial" w:hAnsi="Arial"/>
          <w:sz w:val="18"/>
          <w:szCs w:val="18"/>
          <w:color w:val="auto"/>
        </w:rPr>
      </w:pPr>
    </w:p>
    <w:p>
      <w:pPr>
        <w:ind w:firstLine="464"/>
        <w:spacing w:after="0" w:line="290" w:lineRule="auto"/>
        <w:tabs>
          <w:tab w:leader="none" w:pos="70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shall be deemed to modify, reduce, release or otherwise affect the liability of any Guarantor hereunder which shall, notwithstanding any such payment (other than any payment made by such Guarantor in respect of the Borrower Obligations or any payment received or collected from such Guarantor in respect of the Borrower Obligations), remain liable for the Borrower Obligations up to the maximum liability of such Guarantor hereunder until the Borrower Obligations (other than contingent indemnification and expense reimbursement obligations) are paid in full, no Letter of Credit shall be outstanding (unless such Letter of Credit shall have been cash collateralized in accordance with the terms of the Credit Agreement) and the Revolving Commitments are terminated.</w:t>
      </w:r>
    </w:p>
    <w:p>
      <w:pPr>
        <w:spacing w:after="0" w:line="166"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For purposes of this Section 2.2, “proportionate share” means, as to any Guarantor a fraction the numerator of which shall be the net worth of such Guarantor and the denominator of which shall be the aggregate net worth of all Guarantors. Each Guarantor’s right of contribution shall be subject to the terms and conditions of Section 2.3. The provisions of this Section 2.2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6" w:name="page107"/>
    <w:bookmarkEnd w:id="106"/>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 or any Guarantor or any collateral security or guarantee or right of offset held by the Administrative Agent or any Lender for the payment of the Borrower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(other than contingent indemnification and expense reimbursement obligations) are paid in full, no Letter of Credit shall be outstanding (unless such Letter of Credit shall have been cash collateralized in accordance with the terms of the Credit Agreement) and the Revolving Commitments are terminated. If any amount shall be paid to any Guarantor on account of such subrogation rights at any time when all of the Borrower Obligations (other than contingent indemnification and expense reimbursement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Borrower Obligations, whether matured or unmatured, in such order as the Administrative Agent may determine.</w:t>
      </w:r>
    </w:p>
    <w:p>
      <w:pPr>
        <w:spacing w:after="0" w:line="188"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Amendments, etc. with respect to the Borrower Obligations</w:t>
      </w:r>
      <w:r>
        <w:rPr>
          <w:rFonts w:ascii="Arial" w:cs="Arial" w:eastAsia="Arial" w:hAnsi="Arial"/>
          <w:sz w:val="16"/>
          <w:szCs w:val="16"/>
          <w:color w:val="auto"/>
        </w:rPr>
        <w:t>. Each Guarantor shall remain obligated hereunder notwithstanding that, without any reservation of rights against any Guarantor and without notice to or further assent by any Guarantor, any demand for payment of any of the Borrower Obligations made by the Administrative Agent or any Lender may be rescinded by the Administrative Agent or such Lender and any of the Borrower Obligations continued, and the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may be sold, exchanged, waived, surrendered or released. Neither the Administrative Agent nor any Lender shall have any obligation to protect, secure, perfect or insure any Lien at any time held by it as security for the Borrower Obligations or for the guarantee contained in this Section 2 or any property subject thereto.</w:t>
      </w:r>
    </w:p>
    <w:p>
      <w:pPr>
        <w:spacing w:after="0" w:line="17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Guarantee Absolute and Unconditional</w:t>
      </w:r>
      <w:r>
        <w:rPr>
          <w:rFonts w:ascii="Arial" w:cs="Arial" w:eastAsia="Arial" w:hAnsi="Arial"/>
          <w:sz w:val="18"/>
          <w:szCs w:val="18"/>
          <w:color w:val="auto"/>
        </w:rPr>
        <w:t>. Each Guarantor waives any and all notice of the creation, renewal, extension or accrual of any of the Borrower Obligations and notice of or proof of reliance by the Administrative Agent or any Lender upon the guarantee contained in this Section 2 or acceptance of the guarantee contained in this Section 2; the Borrower Obligations, and any of them, shall conclusively be deemed to have been created, contracted or incurred, or renewed, extended, amended or waived, in reliance upon the guarantee contained in this Section 2; and all dealings between the Borrower and any of the Guarantors, 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7" w:name="page108"/>
    <w:bookmarkEnd w:id="10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one hand, and the Administrative Agent and the Lenders, on the other hand, likewise shall be conclusively presumed to have been had or consummated in reliance upon the guarantee contained in this Section 2. Each Guarantor waives diligence, presentment, protest, demand for payment and notice of default or nonpayment to or upon the Borrower or any of the Guarantors with respect to the Borrower Obligations. Each Guarantor understands and agrees that the guarantee contained in this Section 2 shall be construed as a continuing, absolute and unconditional guarantee of payment without regard to (a) the validity or enforceability of the Credit Agreement or any other Loan Document, any of the Borrower Obligations or any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of such Guarantor under the guarantee contained in this Section 2,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 Borrower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17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Borrower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88" w:lineRule="exact"/>
        <w:rPr>
          <w:sz w:val="20"/>
          <w:szCs w:val="20"/>
          <w:color w:val="auto"/>
        </w:rPr>
      </w:pPr>
    </w:p>
    <w:p>
      <w:pPr>
        <w:ind w:right="880" w:firstLine="913"/>
        <w:spacing w:after="0" w:line="308"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Payments</w:t>
      </w:r>
      <w:r>
        <w:rPr>
          <w:rFonts w:ascii="Arial" w:cs="Arial" w:eastAsia="Arial" w:hAnsi="Arial"/>
          <w:sz w:val="17"/>
          <w:szCs w:val="17"/>
          <w:color w:val="auto"/>
        </w:rPr>
        <w:t>. Each Guarantor hereby guarantees that payments hereunder will be paid to the Administrative Agent without set-off or counterclaim in the currency otherwise required pursuant to the terms of the Credit Agreement at the Administrative Agent’s Office.</w:t>
      </w:r>
    </w:p>
    <w:p>
      <w:pPr>
        <w:spacing w:after="0" w:line="147"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Keepwell</w:t>
      </w:r>
      <w:r>
        <w:rPr>
          <w:rFonts w:ascii="Arial" w:cs="Arial" w:eastAsia="Arial" w:hAnsi="Arial"/>
          <w:sz w:val="17"/>
          <w:szCs w:val="17"/>
          <w:color w:val="auto"/>
        </w:rPr>
        <w:t>. Each Qualified Keepwell Provider hereby jointly and severally absolutely, unconditionally, and irrevocably undertakes to provide such funds or other support as may be needed from time to time by each other Loan Party to honor all of its obligations under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8" w:name="page109"/>
    <w:bookmarkEnd w:id="108"/>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guarantee in respect of any Swap Obligation (provided, however, that each Qualified Keepwell Provider shall only be liable under this Section 2.8 for the maximum amount of such liability that can be hereby incurred without rendering its obligations under this Section 2.8, or otherwise under this guarantee, voidable under applicable law relating to fraudulent conveyance or fraudulent transfer, and not for any greater amount). The obligations of each Qualified Keepwell Provider under this Section 2.8 shall remain in full force and effect until all the Borrower Obligations and the obligations of each Guarantor under the guarantee contained in this Section 2 shall have been satisfied by payment in full, no Letter of Credit shall be outstanding (unless such Letter of Credit shall have been cash collateralized in accordance with the terms of the Credit Agreement) and the Revolving Commitments shall be terminated. Each Qualified Keepwell Provider intends that this Section 2.8 constitute, and this Section 2.8 shall be deemed to constitute, a “keepwell, support, or other agreement” for the benefit of each other Loan Party for all purposes of section 1a(18)(A)(v)(II) of the Commodity Exchange 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 MISCELLANEOUS</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10.01 of the Credit Agreement.</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Guarantor hereunder shall be effected in the manner provided for in Section 10.02 of the Credit Agreement; provided that any such notice, request or demand to or upon any Guarantor shall be addressed to such Guarantor at its notice address set forth on Schedule 1.</w:t>
      </w:r>
    </w:p>
    <w:p>
      <w:pPr>
        <w:spacing w:after="0" w:line="18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Waiver by Course of Conduct; Cumulative Remedies</w:t>
      </w:r>
      <w:r>
        <w:rPr>
          <w:rFonts w:ascii="Arial" w:cs="Arial" w:eastAsia="Arial" w:hAnsi="Arial"/>
          <w:sz w:val="17"/>
          <w:szCs w:val="17"/>
          <w:color w:val="auto"/>
        </w:rPr>
        <w:t>. Neither the Administrative Agent nor any Lender shall by any act (except by a written instrument pursuant to Section 3.1),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179"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 (a) Each Guarantor agrees to pay or reimburse each Lender and the Administrative Agent for all its costs and expenses incurred in collecting against such Guarantor under the guarantee contained in Section 2 or otherwise enforcing or preserving any rights under this Agreement and the other Loan Documents to which such Guarantor is a party, but solely to the extent such costs and expenses would be reimbursable by the Borrower pursuant to Section 10.03 of the Credit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9" w:name="page110"/>
    <w:bookmarkEnd w:id="109"/>
    <w:p>
      <w:pPr>
        <w:jc w:val="both"/>
        <w:ind w:firstLine="464"/>
        <w:spacing w:after="0" w:line="259" w:lineRule="auto"/>
        <w:tabs>
          <w:tab w:leader="none" w:pos="711"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10.03 of the Credit Agreement.</w:t>
      </w:r>
    </w:p>
    <w:p>
      <w:pPr>
        <w:spacing w:after="0" w:line="186"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agreements in this Section 3.4 shall survive repayment of the Obligations and all other amounts payable under the Credit Agreement and the other Loan Documents.</w:t>
      </w:r>
    </w:p>
    <w:p>
      <w:pPr>
        <w:spacing w:after="0" w:line="17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each Guarantor and shall inure to the benefit of the Administrative Agent and the Lenders and their successors and assigns; provided that no Guarantor may assign, transfer or delegate any of its rights or obligations under this Agreement (except pursuant to a merger, consolidation or similar transaction permitted by the Credit Agreement) without the prior written consent of the Administrative Agent.</w:t>
      </w:r>
    </w:p>
    <w:p>
      <w:pPr>
        <w:spacing w:after="0" w:line="18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Set-Off</w:t>
      </w:r>
      <w:r>
        <w:rPr>
          <w:rFonts w:ascii="Arial" w:cs="Arial" w:eastAsia="Arial" w:hAnsi="Arial"/>
          <w:sz w:val="17"/>
          <w:szCs w:val="17"/>
          <w:color w:val="auto"/>
        </w:rPr>
        <w:t>. Each Guarantor hereby irrevocably authorizes the Administrative Agent and each Lender at any time and from time to time while an Event of Default shall have occurred and be continuing, without notice to such Guarantor or any other Guarantor, any such notice being expressly waived by each Guarantor,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Guarantor, or any part thereof in such amounts as the Administrative Agent or such Lender may elect, against and on account of the obligations and liabilities of such Guarantor to the Administrative Agent or such Lender hereunder and claims of every nature and description of the Administrative Agent or such Lender against such Guarantor,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provided, that to the extent prohibited by applicable law as described in the definition of “Excluded Swap Obligation”, no amounts received from, or set off with respect to, any Guarantor shall be applied to any Excluded Swap Obligations of such Guarantor. The Administrative Agent and each Lender shall notify such Guarantor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3.6 are in addition to other rights and remedies (including, without limitation, other rights of set-off) which the Administrative Agent or such Lender may have.</w:t>
      </w:r>
    </w:p>
    <w:p>
      <w:pPr>
        <w:spacing w:after="0" w:line="183" w:lineRule="exact"/>
        <w:rPr>
          <w:sz w:val="20"/>
          <w:szCs w:val="20"/>
          <w:color w:val="auto"/>
        </w:rPr>
      </w:pPr>
    </w:p>
    <w:p>
      <w:pPr>
        <w:ind w:right="400" w:firstLine="913"/>
        <w:spacing w:after="0" w:line="308"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one or more of the parties to this Agreement on any number of separate counterparts (including in “.pdf” form), and all of said counterparts taken together shall be deemed to constitute one and the same instrument.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0" w:name="page111"/>
    <w:bookmarkEnd w:id="110"/>
    <w:p>
      <w:pPr>
        <w:ind w:right="52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3.8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6"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70" w:lineRule="exact"/>
        <w:rPr>
          <w:sz w:val="20"/>
          <w:szCs w:val="20"/>
          <w:color w:val="auto"/>
        </w:rPr>
      </w:pPr>
    </w:p>
    <w:p>
      <w:pPr>
        <w:jc w:val="both"/>
        <w:ind w:right="260" w:firstLine="913"/>
        <w:spacing w:after="0" w:line="31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Guarantors,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143" w:lineRule="exact"/>
        <w:rPr>
          <w:sz w:val="20"/>
          <w:szCs w:val="20"/>
          <w:color w:val="auto"/>
        </w:rPr>
      </w:pPr>
    </w:p>
    <w:p>
      <w:pPr>
        <w:ind w:right="820" w:firstLine="913"/>
        <w:spacing w:after="0" w:line="282"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SHALL BE GOVERNED BY, AND CONSTRUED AND INTERPRETED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LAW OF THE STATE OF NEW YORK.</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Guarantor hereby irrevocably and unconditionally:</w:t>
      </w:r>
    </w:p>
    <w:p>
      <w:pPr>
        <w:spacing w:after="0" w:line="117" w:lineRule="exact"/>
        <w:rPr>
          <w:sz w:val="20"/>
          <w:szCs w:val="20"/>
          <w:color w:val="auto"/>
        </w:rPr>
      </w:pPr>
    </w:p>
    <w:p>
      <w:pPr>
        <w:jc w:val="both"/>
        <w:ind w:firstLine="464"/>
        <w:spacing w:after="0" w:line="264"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to the exclusive general jurisdiction of the courts of the State of New York sitting in the Borough of Manhattan in the City of New York, the courts of the United States for the Southern District of New York, and appellate courts from any thereof;</w:t>
      </w:r>
    </w:p>
    <w:p>
      <w:pPr>
        <w:spacing w:after="0" w:line="181" w:lineRule="exact"/>
        <w:rPr>
          <w:rFonts w:ascii="Arial" w:cs="Arial" w:eastAsia="Arial" w:hAnsi="Arial"/>
          <w:sz w:val="18"/>
          <w:szCs w:val="18"/>
          <w:color w:val="auto"/>
        </w:rPr>
      </w:pPr>
    </w:p>
    <w:p>
      <w:pPr>
        <w:ind w:right="800" w:firstLine="464"/>
        <w:spacing w:after="0" w:line="277" w:lineRule="auto"/>
        <w:tabs>
          <w:tab w:leader="none" w:pos="7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agrees that a final judgment in any such suit, action or proceeding brought in any such court may be enforced in any other court to whose jurisdiction the applicable party is or may be subject, by suit upon judgment;</w:t>
      </w:r>
    </w:p>
    <w:p>
      <w:pPr>
        <w:spacing w:after="0" w:line="170" w:lineRule="exact"/>
        <w:rPr>
          <w:rFonts w:ascii="Arial" w:cs="Arial" w:eastAsia="Arial" w:hAnsi="Arial"/>
          <w:sz w:val="18"/>
          <w:szCs w:val="18"/>
          <w:color w:val="auto"/>
        </w:rPr>
      </w:pPr>
    </w:p>
    <w:p>
      <w:pPr>
        <w:jc w:val="both"/>
        <w:ind w:right="220" w:firstLine="464"/>
        <w:spacing w:after="0" w:line="264" w:lineRule="auto"/>
        <w:tabs>
          <w:tab w:leader="none" w:pos="7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consents that any such action or proceeding may only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jc w:val="both"/>
        <w:ind w:right="320" w:firstLine="464"/>
        <w:spacing w:after="0" w:line="264" w:lineRule="auto"/>
        <w:tabs>
          <w:tab w:leader="none" w:pos="7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Guarantor at its address referred to in Section 3.2 hereto or at such other address of which the Administrative Agent shall have been notified pursuant thereto;</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1" w:name="page112"/>
    <w:bookmarkEnd w:id="111"/>
    <w:p>
      <w:pPr>
        <w:ind w:right="180" w:firstLine="464"/>
        <w:spacing w:after="0" w:line="264" w:lineRule="auto"/>
        <w:tabs>
          <w:tab w:leader="none" w:pos="681"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waives, to the maximum extent not prohibited by law, any right it may have to claim or recover in any legal action or proceeding referred to in this Section any special, exemplary, punitive or consequential damages; provided that the waiver set forth in this clause (f) shall not affect any obligation of the Borrower or any Guarantor under Section 3.4 of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Acknowledgements</w:t>
      </w:r>
      <w:r>
        <w:rPr>
          <w:rFonts w:ascii="Arial" w:cs="Arial" w:eastAsia="Arial" w:hAnsi="Arial"/>
          <w:sz w:val="18"/>
          <w:szCs w:val="18"/>
          <w:color w:val="auto"/>
        </w:rPr>
        <w:t>. Each Guarantor hereby acknowledges that:</w:t>
      </w:r>
    </w:p>
    <w:p>
      <w:pPr>
        <w:spacing w:after="0" w:line="117" w:lineRule="exact"/>
        <w:rPr>
          <w:sz w:val="20"/>
          <w:szCs w:val="20"/>
          <w:color w:val="auto"/>
        </w:rPr>
      </w:pPr>
    </w:p>
    <w:p>
      <w:pPr>
        <w:ind w:left="700" w:hanging="236"/>
        <w:spacing w:after="0"/>
        <w:tabs>
          <w:tab w:leader="none" w:pos="7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248" w:lineRule="exact"/>
        <w:rPr>
          <w:rFonts w:ascii="Arial" w:cs="Arial" w:eastAsia="Arial" w:hAnsi="Arial"/>
          <w:sz w:val="16"/>
          <w:szCs w:val="16"/>
          <w:color w:val="auto"/>
        </w:rPr>
      </w:pPr>
    </w:p>
    <w:p>
      <w:pPr>
        <w:ind w:firstLine="464"/>
        <w:spacing w:after="0" w:line="302" w:lineRule="auto"/>
        <w:tabs>
          <w:tab w:leader="none" w:pos="71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neither the Administrative Agent nor any Lender shall be deemed to be in an advisory, fiduciary or agency relationship with any Guarantor or any of their Affiliates or have a fiduciary or other implied duty to any Guarantor or any of their Affiliates arising out of or in connection with this Agreement or any of the other Loan Documents and the transactions contemplated hereby and thereby, and the relationship between the Guarantors, on the one hand, and the Administrative Agent and Lenders, on the other hand, in connection herewith or therewith is solely that of debtor and creditor; and</w:t>
      </w:r>
    </w:p>
    <w:p>
      <w:pPr>
        <w:spacing w:after="0" w:line="154" w:lineRule="exact"/>
        <w:rPr>
          <w:rFonts w:ascii="Arial" w:cs="Arial" w:eastAsia="Arial" w:hAnsi="Arial"/>
          <w:sz w:val="16"/>
          <w:szCs w:val="16"/>
          <w:color w:val="auto"/>
        </w:rPr>
      </w:pPr>
    </w:p>
    <w:p>
      <w:pPr>
        <w:ind w:right="120" w:firstLine="464"/>
        <w:spacing w:after="0" w:line="277" w:lineRule="auto"/>
        <w:tabs>
          <w:tab w:leader="none" w:pos="7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Guarantors and the Lenders.</w:t>
      </w:r>
    </w:p>
    <w:p>
      <w:pPr>
        <w:spacing w:after="0" w:line="17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Each Subsidiary of the Borrower that executes and delivers an Assumption Agreement in the form of Annex 1 hereto shall become a Guarantor for all purposes of this Agreement, subject in all respects to the provisions of Section 6.08 and 6.10 of the Credit Agreement, which govern the release of Guarantors from this Agreement. If any Person shall be released as a Guarantor pursuant to Section 6.08 or 6.10 of the Credit Agreement (as applicable), such Person shall immediately and automatically, without need for further action, cease to be a Guarantor hereunder and shall be, and shall be deemed to be, released from all obligations under and in respect of this Agreement. In connection with the release of any Person as a Guarantor, the Administrative Agent agrees, and the Lenders authorize the Administrative Agent, to execute and deliver documents reasonably requested to evidence such release.</w:t>
      </w:r>
    </w:p>
    <w:p>
      <w:pPr>
        <w:spacing w:after="0" w:line="185"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GUARANTOR HEREBY IRREVOCABLY AND UNCONDITIONALLY WAIVES TRIAL BY</w:t>
      </w:r>
      <w:r>
        <w:rPr>
          <w:rFonts w:ascii="Arial" w:cs="Arial" w:eastAsia="Arial" w:hAnsi="Arial"/>
          <w:sz w:val="18"/>
          <w:szCs w:val="18"/>
          <w:color w:val="auto"/>
        </w:rPr>
        <w:t xml:space="preserve"> </w:t>
      </w:r>
      <w:r>
        <w:rPr>
          <w:rFonts w:ascii="Arial" w:cs="Arial" w:eastAsia="Arial" w:hAnsi="Arial"/>
          <w:sz w:val="18"/>
          <w:szCs w:val="18"/>
          <w:b w:val="1"/>
          <w:bCs w:val="1"/>
          <w:color w:val="auto"/>
        </w:rPr>
        <w:t>JURY IN ANY LEGAL ACTION OR PROCEEDING RELATING TO THIS AGREEMENT OR ANY OTHER LOAN DOCUMENT AND FOR ANY COUNTERCLAIM THEREIN.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2" w:name="page113"/>
    <w:bookmarkEnd w:id="11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caused this Guarantee Agreement to be duly executed and delivered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 Guarantee Agreement]</w:t>
      </w:r>
    </w:p>
    <w:p>
      <w:pPr>
        <w:sectPr>
          <w:pgSz w:w="11900" w:h="16838" w:orient="portrait"/>
          <w:cols w:equalWidth="0" w:num="1">
            <w:col w:w="11200"/>
          </w:cols>
          <w:pgMar w:left="240" w:top="274"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274"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(215) 286-1700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 286-7794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corporate_legal@comcast.com</w:t>
      </w:r>
    </w:p>
    <w:p>
      <w:pPr>
        <w:sectPr>
          <w:pgSz w:w="11900" w:h="16838" w:orient="portrait"/>
          <w:cols w:equalWidth="0" w:num="1">
            <w:col w:w="11420"/>
          </w:cols>
          <w:pgMar w:left="240" w:top="274" w:right="239" w:bottom="1440" w:gutter="0" w:footer="0" w:header="0"/>
        </w:sectPr>
      </w:pPr>
    </w:p>
    <w:bookmarkStart w:id="115" w:name="page116"/>
    <w:bookmarkEnd w:id="115"/>
    <w:tbl>
      <w:tblPr>
        <w:tblLayout w:type="fixed"/>
        <w:tblInd w:w="46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Annex 1 to</w:t>
            </w:r>
          </w:p>
        </w:tc>
      </w:tr>
      <w:tr>
        <w:trPr>
          <w:trHeight w:val="190"/>
        </w:trPr>
        <w:tc>
          <w:tcPr>
            <w:tcW w:w="3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87"/>
              </w:rPr>
              <w:t>Guarantee Agreement</w:t>
            </w:r>
          </w:p>
        </w:tc>
      </w:tr>
      <w:tr>
        <w:trPr>
          <w:trHeight w:val="412"/>
        </w:trPr>
        <w:tc>
          <w:tcPr>
            <w:tcW w:w="3220" w:type="dxa"/>
            <w:vAlign w:val="bottom"/>
          </w:tcPr>
          <w:p>
            <w:pPr>
              <w:spacing w:after="0"/>
              <w:rPr>
                <w:sz w:val="20"/>
                <w:szCs w:val="20"/>
                <w:color w:val="auto"/>
              </w:rPr>
            </w:pPr>
            <w:r>
              <w:rPr>
                <w:rFonts w:ascii="Arial" w:cs="Arial" w:eastAsia="Arial" w:hAnsi="Arial"/>
                <w:sz w:val="18"/>
                <w:szCs w:val="18"/>
                <w:color w:val="auto"/>
                <w:w w:val="94"/>
              </w:rPr>
              <w:t>ASSUMPTION AGREEMENT, dated as of</w:t>
            </w:r>
          </w:p>
        </w:tc>
        <w:tc>
          <w:tcPr>
            <w:tcW w:w="108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7"/>
              </w:rPr>
              <w:t>, 201  , made by</w:t>
            </w:r>
          </w:p>
        </w:tc>
        <w:tc>
          <w:tcPr>
            <w:tcW w:w="1800" w:type="dxa"/>
            <w:vAlign w:val="bottom"/>
          </w:tcPr>
          <w:p>
            <w:pPr>
              <w:spacing w:after="0"/>
              <w:rPr>
                <w:sz w:val="24"/>
                <w:szCs w:val="24"/>
                <w:color w:val="auto"/>
              </w:rPr>
            </w:pPr>
          </w:p>
        </w:tc>
        <w:tc>
          <w:tcPr>
            <w:tcW w:w="3580" w:type="dxa"/>
            <w:vAlign w:val="bottom"/>
            <w:gridSpan w:val="3"/>
          </w:tcPr>
          <w:p>
            <w:pPr>
              <w:jc w:val="right"/>
              <w:ind w:right="510"/>
              <w:spacing w:after="0"/>
              <w:rPr>
                <w:sz w:val="20"/>
                <w:szCs w:val="20"/>
                <w:color w:val="auto"/>
              </w:rPr>
            </w:pPr>
            <w:r>
              <w:rPr>
                <w:rFonts w:ascii="Arial" w:cs="Arial" w:eastAsia="Arial" w:hAnsi="Arial"/>
                <w:sz w:val="18"/>
                <w:szCs w:val="18"/>
                <w:color w:val="auto"/>
                <w:w w:val="96"/>
              </w:rPr>
              <w:t>(the “Additional Guarantor”), in favor of</w:t>
            </w:r>
          </w:p>
        </w:tc>
      </w:tr>
      <w:tr>
        <w:trPr>
          <w:trHeight w:val="20"/>
        </w:trPr>
        <w:tc>
          <w:tcPr>
            <w:tcW w:w="3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200"/>
        <w:spacing w:after="0" w:line="264" w:lineRule="auto"/>
        <w:rPr>
          <w:sz w:val="20"/>
          <w:szCs w:val="20"/>
          <w:color w:val="auto"/>
        </w:rPr>
      </w:pPr>
      <w:r>
        <w:rPr>
          <w:rFonts w:ascii="Arial" w:cs="Arial" w:eastAsia="Arial" w:hAnsi="Arial"/>
          <w:sz w:val="18"/>
          <w:szCs w:val="18"/>
          <w:color w:val="auto"/>
        </w:rPr>
        <w:t>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or entities (the “</w:t>
      </w:r>
      <w:r>
        <w:rPr>
          <w:rFonts w:ascii="Arial" w:cs="Arial" w:eastAsia="Arial" w:hAnsi="Arial"/>
          <w:sz w:val="18"/>
          <w:szCs w:val="18"/>
          <w:u w:val="single" w:color="auto"/>
          <w:color w:val="auto"/>
        </w:rPr>
        <w:t>Lenders</w:t>
      </w:r>
      <w:r>
        <w:rPr>
          <w:rFonts w:ascii="Arial" w:cs="Arial" w:eastAsia="Arial" w:hAnsi="Arial"/>
          <w:sz w:val="18"/>
          <w:szCs w:val="18"/>
          <w:color w:val="auto"/>
        </w:rPr>
        <w:t>”) parties to the Credit Agreement referred to below. All capitalized terms not defined herein shall have the meaning ascribed to them in such Credit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COMCAST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 the Lenders and the Administrative Agent are parties to that certain Credit Agreement, dated as of May 26, 2016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WHEREAS, in connection with the Credit Agreement, the Borrower and certain of its Affiliates (other than the Additional Guarantor) have entered into the Guarantee Agreement, dated as of May 26, 2016 (as amended, supplemented or otherwise modified from time to time, the “</w:t>
      </w:r>
      <w:r>
        <w:rPr>
          <w:rFonts w:ascii="Arial" w:cs="Arial" w:eastAsia="Arial" w:hAnsi="Arial"/>
          <w:sz w:val="18"/>
          <w:szCs w:val="18"/>
          <w:u w:val="single" w:color="auto"/>
          <w:color w:val="auto"/>
        </w:rPr>
        <w:t>Guarantee Agreement</w:t>
      </w:r>
      <w:r>
        <w:rPr>
          <w:rFonts w:ascii="Arial" w:cs="Arial" w:eastAsia="Arial" w:hAnsi="Arial"/>
          <w:sz w:val="18"/>
          <w:szCs w:val="18"/>
          <w:color w:val="auto"/>
        </w:rPr>
        <w:t>”) in favor of the Administrative Agent for the benefit of the Lenders; and</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WHEREAS, the Additional Guarantor has agreed to execute and deliver this Assumption Agreement in order to become a party to the Guarantee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40" w:firstLine="464"/>
        <w:spacing w:after="0" w:line="302" w:lineRule="auto"/>
        <w:tabs>
          <w:tab w:leader="none" w:pos="636"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Guarantee Agreement</w:t>
      </w:r>
      <w:r>
        <w:rPr>
          <w:rFonts w:ascii="Arial" w:cs="Arial" w:eastAsia="Arial" w:hAnsi="Arial"/>
          <w:sz w:val="16"/>
          <w:szCs w:val="16"/>
          <w:color w:val="auto"/>
        </w:rPr>
        <w:t>. By executing and delivering this Assumption Agreement, the Additional Guarantor, as provided in Section 3.14 of the Guarantee Agreement, hereby becomes a party to the Guarantee Agreement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Agreement.</w:t>
      </w:r>
    </w:p>
    <w:p>
      <w:pPr>
        <w:spacing w:after="0" w:line="150" w:lineRule="exact"/>
        <w:rPr>
          <w:rFonts w:ascii="Arial" w:cs="Arial" w:eastAsia="Arial" w:hAnsi="Arial"/>
          <w:sz w:val="16"/>
          <w:szCs w:val="16"/>
          <w:color w:val="auto"/>
        </w:rPr>
      </w:pPr>
    </w:p>
    <w:p>
      <w:pPr>
        <w:ind w:right="600" w:firstLine="464"/>
        <w:spacing w:after="0" w:line="282" w:lineRule="auto"/>
        <w:tabs>
          <w:tab w:leader="none" w:pos="636"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3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1</w:t>
      </w:r>
    </w:p>
    <w:p>
      <w:pPr>
        <w:sectPr>
          <w:pgSz w:w="11900" w:h="16838" w:orient="portrait"/>
          <w:cols w:equalWidth="0" w:num="1">
            <w:col w:w="10220"/>
          </w:cols>
          <w:pgMar w:left="1440" w:top="274" w:right="2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REQUEST FOR EXTENSION OF CREDIT</w:t>
      </w:r>
    </w:p>
    <w:p>
      <w:pPr>
        <w:spacing w:after="0" w:line="225" w:lineRule="exact"/>
        <w:rPr>
          <w:sz w:val="20"/>
          <w:szCs w:val="20"/>
          <w:color w:val="auto"/>
        </w:rPr>
      </w:pPr>
    </w:p>
    <w:p>
      <w:pPr>
        <w:ind w:left="9460"/>
        <w:spacing w:after="0"/>
        <w:tabs>
          <w:tab w:leader="none" w:pos="10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-10160</wp:posOffset>
            </wp:positionV>
            <wp:extent cx="9715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JPMorgan Chase Bank, N.A., as Administrative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[__] A Borrowing of Revolving Loans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[__] A Conversion or Continuation of Revolving Loans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80" w:type="dxa"/>
            <w:vAlign w:val="bottom"/>
          </w:tcPr>
          <w:p>
            <w:pPr>
              <w:ind w:left="20"/>
              <w:spacing w:after="0"/>
              <w:rPr>
                <w:sz w:val="20"/>
                <w:szCs w:val="20"/>
                <w:color w:val="auto"/>
              </w:rPr>
            </w:pPr>
            <w:r>
              <w:rPr>
                <w:rFonts w:ascii="Arial" w:cs="Arial" w:eastAsia="Arial" w:hAnsi="Arial"/>
                <w:sz w:val="18"/>
                <w:szCs w:val="18"/>
                <w:color w:val="auto"/>
                <w:w w:val="99"/>
              </w:rPr>
              <w:t>On</w:t>
            </w:r>
          </w:p>
        </w:tc>
        <w:tc>
          <w:tcPr>
            <w:tcW w:w="2040" w:type="dxa"/>
            <w:vAlign w:val="bottom"/>
            <w:tcBorders>
              <w:bottom w:val="single" w:sz="8" w:color="auto"/>
            </w:tcBorders>
            <w:gridSpan w:val="3"/>
          </w:tcPr>
          <w:p>
            <w:pPr>
              <w:spacing w:after="0"/>
              <w:rPr>
                <w:sz w:val="17"/>
                <w:szCs w:val="17"/>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(a Business Day).</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345"/>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920" w:type="dxa"/>
            <w:vAlign w:val="bottom"/>
            <w:gridSpan w:val="6"/>
          </w:tcPr>
          <w:p>
            <w:pPr>
              <w:ind w:left="20"/>
              <w:spacing w:after="0"/>
              <w:rPr>
                <w:sz w:val="20"/>
                <w:szCs w:val="20"/>
                <w:color w:val="auto"/>
              </w:rPr>
            </w:pPr>
            <w:r>
              <w:rPr>
                <w:rFonts w:ascii="Arial" w:cs="Arial" w:eastAsia="Arial" w:hAnsi="Arial"/>
                <w:sz w:val="18"/>
                <w:szCs w:val="18"/>
                <w:color w:val="auto"/>
              </w:rPr>
              <w:t>Denominated in the following currency:</w:t>
            </w:r>
            <w:r>
              <w:rPr>
                <w:rFonts w:ascii="Arial" w:cs="Arial" w:eastAsia="Arial" w:hAnsi="Arial"/>
                <w:sz w:val="15"/>
                <w:szCs w:val="15"/>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84"/>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3"/>
          </w:tcPr>
          <w:p>
            <w:pPr>
              <w:ind w:left="140"/>
              <w:spacing w:after="0"/>
              <w:rPr>
                <w:sz w:val="20"/>
                <w:szCs w:val="20"/>
                <w:color w:val="auto"/>
              </w:rPr>
            </w:pPr>
            <w:r>
              <w:rPr>
                <w:rFonts w:ascii="Arial" w:cs="Arial" w:eastAsia="Arial" w:hAnsi="Arial"/>
                <w:sz w:val="18"/>
                <w:szCs w:val="18"/>
                <w:color w:val="auto"/>
              </w:rPr>
              <w:t>In the amount of $</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04"/>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w w:val="93"/>
              </w:rPr>
              <w:t>Comprised of</w:t>
            </w:r>
          </w:p>
        </w:tc>
        <w:tc>
          <w:tcPr>
            <w:tcW w:w="30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.[type of Loan requested]</w:t>
            </w:r>
            <w:r>
              <w:rPr>
                <w:rFonts w:ascii="Arial" w:cs="Arial" w:eastAsia="Arial" w:hAnsi="Arial"/>
                <w:sz w:val="15"/>
                <w:szCs w:val="15"/>
                <w:color w:val="auto"/>
              </w:rPr>
              <w:t>2</w:t>
            </w:r>
          </w:p>
        </w:tc>
      </w:tr>
      <w:tr>
        <w:trPr>
          <w:trHeight w:val="304"/>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3920" w:type="dxa"/>
            <w:vAlign w:val="bottom"/>
            <w:gridSpan w:val="6"/>
          </w:tcPr>
          <w:p>
            <w:pPr>
              <w:ind w:left="20"/>
              <w:spacing w:after="0"/>
              <w:rPr>
                <w:sz w:val="20"/>
                <w:szCs w:val="20"/>
                <w:color w:val="auto"/>
              </w:rPr>
            </w:pPr>
            <w:r>
              <w:rPr>
                <w:rFonts w:ascii="Arial" w:cs="Arial" w:eastAsia="Arial" w:hAnsi="Arial"/>
                <w:sz w:val="18"/>
                <w:szCs w:val="18"/>
                <w:color w:val="auto"/>
                <w:w w:val="92"/>
              </w:rPr>
              <w:t>For Eurodollar Rate Loans: with an Interest Period of</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3"/>
              </w:rPr>
              <w:t>months</w:t>
            </w:r>
            <w:r>
              <w:rPr>
                <w:rFonts w:ascii="Arial" w:cs="Arial" w:eastAsia="Arial" w:hAnsi="Arial"/>
                <w:sz w:val="15"/>
                <w:szCs w:val="15"/>
                <w:color w:val="auto"/>
                <w:w w:val="93"/>
              </w:rPr>
              <w:t>3</w:t>
            </w:r>
            <w:r>
              <w:rPr>
                <w:rFonts w:ascii="Arial" w:cs="Arial" w:eastAsia="Arial" w:hAnsi="Arial"/>
                <w:sz w:val="18"/>
                <w:szCs w:val="18"/>
                <w:color w:val="auto"/>
                <w:w w:val="93"/>
              </w:rPr>
              <w:t xml:space="preserve"> (or</w:t>
            </w:r>
          </w:p>
        </w:tc>
        <w:tc>
          <w:tcPr>
            <w:tcW w:w="360" w:type="dxa"/>
            <w:vAlign w:val="bottom"/>
            <w:tcBorders>
              <w:bottom w:val="single" w:sz="8" w:color="auto"/>
            </w:tcBorders>
          </w:tcPr>
          <w:p>
            <w:pPr>
              <w:spacing w:after="0"/>
              <w:rPr>
                <w:sz w:val="24"/>
                <w:szCs w:val="24"/>
                <w:color w:val="auto"/>
              </w:rPr>
            </w:pPr>
          </w:p>
        </w:tc>
        <w:tc>
          <w:tcPr>
            <w:tcW w:w="3940" w:type="dxa"/>
            <w:vAlign w:val="bottom"/>
          </w:tcPr>
          <w:p>
            <w:pPr>
              <w:ind w:left="60"/>
              <w:spacing w:after="0"/>
              <w:rPr>
                <w:sz w:val="20"/>
                <w:szCs w:val="20"/>
                <w:color w:val="auto"/>
              </w:rPr>
            </w:pPr>
            <w:r>
              <w:rPr>
                <w:rFonts w:ascii="Arial" w:cs="Arial" w:eastAsia="Arial" w:hAnsi="Arial"/>
                <w:sz w:val="18"/>
                <w:szCs w:val="18"/>
                <w:color w:val="auto"/>
                <w:w w:val="90"/>
              </w:rPr>
              <w:t>days, if for an Interest Period of less than one month).</w:t>
            </w: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request complies with the requirements of Section 2 of the Credit Agreement. If the requested Extension of Credit is a Borrowing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the undersigned hereby certifies that the following statements will be true on the date of the requested Extension of Credit:</w:t>
      </w:r>
    </w:p>
    <w:p>
      <w:pPr>
        <w:spacing w:after="0" w:line="103" w:lineRule="exact"/>
        <w:rPr>
          <w:sz w:val="20"/>
          <w:szCs w:val="20"/>
          <w:color w:val="auto"/>
        </w:rPr>
      </w:pPr>
    </w:p>
    <w:p>
      <w:pPr>
        <w:jc w:val="both"/>
        <w:ind w:left="920" w:right="440" w:firstLine="841"/>
        <w:spacing w:after="0" w:line="259" w:lineRule="auto"/>
        <w:tabs>
          <w:tab w:leader="none" w:pos="20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the Credit Agreement are correct in all material respects on and as of the date hereof as if made on and as of such date, except to the extent any such representation and warranty specifically relates to any earlier date, in which case such representation and warranty shall have been true and correct in all material respects on and as of such earlier date; and</w:t>
      </w:r>
    </w:p>
    <w:p>
      <w:pPr>
        <w:spacing w:after="0" w:line="78" w:lineRule="exact"/>
        <w:rPr>
          <w:rFonts w:ascii="Arial" w:cs="Arial" w:eastAsia="Arial" w:hAnsi="Arial"/>
          <w:sz w:val="18"/>
          <w:szCs w:val="18"/>
          <w:color w:val="auto"/>
        </w:rPr>
      </w:pPr>
    </w:p>
    <w:p>
      <w:pPr>
        <w:ind w:left="2020" w:hanging="259"/>
        <w:spacing w:after="0"/>
        <w:tabs>
          <w:tab w:leader="none" w:pos="20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the requested Extension of Credit or the use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Must be Dollar or Alternative Currency.</w:t>
      </w:r>
    </w:p>
    <w:p>
      <w:pPr>
        <w:spacing w:after="0" w:line="131"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5"/>
          <w:szCs w:val="15"/>
          <w:color w:val="auto"/>
        </w:rPr>
      </w:pPr>
      <w:r>
        <w:rPr>
          <w:rFonts w:ascii="Arial" w:cs="Arial" w:eastAsia="Arial" w:hAnsi="Arial"/>
          <w:sz w:val="18"/>
          <w:szCs w:val="18"/>
          <w:color w:val="auto"/>
        </w:rPr>
        <w:t>Loans denominated in Alternative Currency must be maintained as Eurodollar Rate Loans.</w:t>
      </w:r>
    </w:p>
    <w:p>
      <w:pPr>
        <w:spacing w:after="0" w:line="13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One, two, three, six, or if agreed to by each Lender, twelve months.</w:t>
      </w:r>
    </w:p>
    <w:p>
      <w:pPr>
        <w:sectPr>
          <w:pgSz w:w="11900" w:h="16838" w:orient="portrait"/>
          <w:cols w:equalWidth="0" w:num="1">
            <w:col w:w="11380"/>
          </w:cols>
          <w:pgMar w:left="240" w:top="274" w:right="27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14605</wp:posOffset>
            </wp:positionV>
            <wp:extent cx="2718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14605</wp:posOffset>
            </wp:positionV>
            <wp:extent cx="25558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274"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pacing w:after="0" w:line="208" w:lineRule="exact"/>
        <w:rPr>
          <w:sz w:val="20"/>
          <w:szCs w:val="20"/>
          <w:color w:val="auto"/>
        </w:rPr>
      </w:pPr>
    </w:p>
    <w:tbl>
      <w:tblPr>
        <w:tblLayout w:type="fixed"/>
        <w:tblInd w:w="816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w w:val="91"/>
              </w:rPr>
              <w:t>Financial Statement Date:</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 20</w:t>
            </w:r>
          </w:p>
        </w:tc>
      </w:tr>
      <w:tr>
        <w:trPr>
          <w:trHeight w:val="20"/>
        </w:trPr>
        <w:tc>
          <w:tcPr>
            <w:tcW w:w="1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JPMorgan Chase Bank, N.A., as Administrative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(“Borrower”), Lenders from time to time party thereto, JPMorgan Chase Bank, N.A., as Administrative Agent, and the other agents party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ind w:left="460"/>
              <w:spacing w:after="0"/>
              <w:rPr>
                <w:sz w:val="20"/>
                <w:szCs w:val="20"/>
                <w:color w:val="auto"/>
              </w:rPr>
            </w:pPr>
            <w:r>
              <w:rPr>
                <w:rFonts w:ascii="Arial" w:cs="Arial" w:eastAsia="Arial" w:hAnsi="Arial"/>
                <w:sz w:val="18"/>
                <w:szCs w:val="18"/>
                <w:color w:val="auto"/>
                <w:w w:val="90"/>
              </w:rPr>
              <w:t>The undersigned Responsible Officer hereby certifies as of the date hereof that he is the</w:t>
            </w:r>
          </w:p>
        </w:tc>
        <w:tc>
          <w:tcPr>
            <w:tcW w:w="1260" w:type="dxa"/>
            <w:vAlign w:val="bottom"/>
            <w:tcBorders>
              <w:bottom w:val="single" w:sz="8" w:color="auto"/>
            </w:tcBorders>
          </w:tcPr>
          <w:p>
            <w:pPr>
              <w:spacing w:after="0"/>
              <w:rPr>
                <w:sz w:val="17"/>
                <w:szCs w:val="17"/>
                <w:color w:val="auto"/>
              </w:rPr>
            </w:pPr>
          </w:p>
        </w:tc>
        <w:tc>
          <w:tcPr>
            <w:tcW w:w="2640" w:type="dxa"/>
            <w:vAlign w:val="bottom"/>
          </w:tcPr>
          <w:p>
            <w:pPr>
              <w:ind w:left="40"/>
              <w:spacing w:after="0"/>
              <w:rPr>
                <w:sz w:val="20"/>
                <w:szCs w:val="20"/>
                <w:color w:val="auto"/>
              </w:rPr>
            </w:pPr>
            <w:r>
              <w:rPr>
                <w:rFonts w:ascii="Arial" w:cs="Arial" w:eastAsia="Arial" w:hAnsi="Arial"/>
                <w:sz w:val="18"/>
                <w:szCs w:val="18"/>
                <w:color w:val="auto"/>
                <w:w w:val="89"/>
              </w:rPr>
              <w:t>of Borrower, and that, as such, he is</w:t>
            </w:r>
          </w:p>
        </w:tc>
      </w:tr>
      <w:tr>
        <w:trPr>
          <w:trHeight w:val="237"/>
        </w:trPr>
        <w:tc>
          <w:tcPr>
            <w:tcW w:w="8080" w:type="dxa"/>
            <w:vAlign w:val="bottom"/>
            <w:gridSpan w:val="2"/>
          </w:tcPr>
          <w:p>
            <w:pPr>
              <w:spacing w:after="0"/>
              <w:rPr>
                <w:sz w:val="20"/>
                <w:szCs w:val="20"/>
                <w:color w:val="auto"/>
              </w:rPr>
            </w:pPr>
            <w:r>
              <w:rPr>
                <w:rFonts w:ascii="Arial" w:cs="Arial" w:eastAsia="Arial" w:hAnsi="Arial"/>
                <w:sz w:val="18"/>
                <w:szCs w:val="18"/>
                <w:color w:val="auto"/>
                <w:w w:val="96"/>
              </w:rPr>
              <w:t>authorized to execute and deliver this Certificate to Administrative Agent on behalf of Borrower, and that:</w:t>
            </w:r>
          </w:p>
        </w:tc>
        <w:tc>
          <w:tcPr>
            <w:tcW w:w="2640" w:type="dxa"/>
            <w:vAlign w:val="bottom"/>
          </w:tcPr>
          <w:p>
            <w:pPr>
              <w:spacing w:after="0"/>
              <w:rPr>
                <w:sz w:val="20"/>
                <w:szCs w:val="20"/>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following for fiscal year-end financial statements]</w:t>
      </w:r>
    </w:p>
    <w:p>
      <w:pPr>
        <w:spacing w:after="0" w:line="117" w:lineRule="exact"/>
        <w:rPr>
          <w:sz w:val="20"/>
          <w:szCs w:val="20"/>
          <w:color w:val="auto"/>
        </w:rPr>
      </w:pPr>
    </w:p>
    <w:p>
      <w:pPr>
        <w:ind w:right="180" w:firstLine="464"/>
        <w:spacing w:after="0" w:line="264" w:lineRule="auto"/>
        <w:tabs>
          <w:tab w:leader="none" w:pos="6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Attached hereto as Annex 1 are the year-end audited financial statements of Borrower and its consolidated Subsidiaries required by Section 6.01(a) of the Credit Agreement for the fiscal year of Borrower ended as of the above date, together with the report and opinion of independent certified public accountants required by such section.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 following for fiscal quarter-end financial statements]</w:t>
      </w:r>
    </w:p>
    <w:p>
      <w:pPr>
        <w:spacing w:after="0" w:line="117" w:lineRule="exact"/>
        <w:rPr>
          <w:sz w:val="20"/>
          <w:szCs w:val="20"/>
          <w:color w:val="auto"/>
        </w:rPr>
      </w:pPr>
    </w:p>
    <w:p>
      <w:pPr>
        <w:jc w:val="both"/>
        <w:ind w:right="160" w:firstLine="464"/>
        <w:spacing w:after="0" w:line="259" w:lineRule="auto"/>
        <w:tabs>
          <w:tab w:leader="none" w:pos="6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Attached hereto as Annex 1 are the unaudited financial statements of Borrower and its consolidated Subsidiaries required by Section 6.01(b) of the Credit Agreement for the fiscal quarter of Borrower ended as of the above date. Such financial statements fairly present in all material respects the financial condition, results of operations and cash flows of Borrower and its consolidated Subsidiaries in accordance with GAAP as at such date and for such periods, subject only to pro forma adjustments and normal year-end audit adjustments.</w:t>
      </w:r>
    </w:p>
    <w:p>
      <w:pPr>
        <w:spacing w:after="0" w:line="78" w:lineRule="exact"/>
        <w:rPr>
          <w:rFonts w:ascii="Arial" w:cs="Arial" w:eastAsia="Arial" w:hAnsi="Arial"/>
          <w:sz w:val="18"/>
          <w:szCs w:val="18"/>
          <w:color w:val="auto"/>
        </w:rPr>
      </w:pPr>
    </w:p>
    <w:p>
      <w:pPr>
        <w:ind w:right="80" w:firstLine="464"/>
        <w:spacing w:after="0" w:line="264" w:lineRule="auto"/>
        <w:tabs>
          <w:tab w:leader="none" w:pos="6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undersigned has reviewed and is familiar with the terms of the Credit Agreement and has made, or has caused to be made under his supervision, a detailed review of the transactions and conditions (financial or otherwise) of Borrower during the accounting period covered by the attached financial statements.</w:t>
      </w:r>
    </w:p>
    <w:p>
      <w:pPr>
        <w:spacing w:after="0" w:line="73" w:lineRule="exact"/>
        <w:rPr>
          <w:rFonts w:ascii="Arial" w:cs="Arial" w:eastAsia="Arial" w:hAnsi="Arial"/>
          <w:sz w:val="18"/>
          <w:szCs w:val="18"/>
          <w:color w:val="auto"/>
        </w:rPr>
      </w:pPr>
    </w:p>
    <w:p>
      <w:pPr>
        <w:ind w:right="360" w:firstLine="464"/>
        <w:spacing w:after="0" w:line="277" w:lineRule="auto"/>
        <w:tabs>
          <w:tab w:leader="none" w:pos="6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my supervision with a view to determining whether during such fiscal period Borrower performed and observed its Obligations under the Loan Documents,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[to the best knowledge of the undersigned during such fiscal period, Borrower performed and observed each covenant and condition of the Loan Documents applicable to 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274" w:right="239" w:bottom="1440" w:gutter="0" w:footer="0" w:header="0"/>
        </w:sectPr>
      </w:pPr>
    </w:p>
    <w:bookmarkStart w:id="120" w:name="page121"/>
    <w:bookmarkEnd w:id="12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covenants or conditions have not been performed or observed and the following is a list of each such Default or Event of Default and its nature and status:]</w:t>
      </w:r>
    </w:p>
    <w:p>
      <w:pPr>
        <w:spacing w:after="0" w:line="170" w:lineRule="exact"/>
        <w:rPr>
          <w:sz w:val="20"/>
          <w:szCs w:val="20"/>
          <w:color w:val="auto"/>
        </w:rPr>
      </w:pPr>
    </w:p>
    <w:p>
      <w:pPr>
        <w:ind w:right="60" w:firstLine="464"/>
        <w:spacing w:after="0" w:line="286" w:lineRule="auto"/>
        <w:tabs>
          <w:tab w:leader="none" w:pos="63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financial covenant analyses and information set forth on Annex 2 attached hereto are true and accurate. Such analyses and information set forth the necessary adjustments to exclude the Indebtedness and EBITDA attributed to Unrestricted Subsidiaries and give pro forma effect (in accordance with Section 1.07 of the Credit Agreement) to Material Acquisitions and Material Dispositions made during the period covered thereby.</w:t>
      </w:r>
    </w:p>
    <w:p>
      <w:pPr>
        <w:spacing w:after="0" w:line="14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660" w:type="dxa"/>
            <w:vAlign w:val="bottom"/>
          </w:tcPr>
          <w:p>
            <w:pPr>
              <w:spacing w:after="0"/>
              <w:rPr>
                <w:sz w:val="20"/>
                <w:szCs w:val="20"/>
                <w:color w:val="auto"/>
              </w:rPr>
            </w:pPr>
            <w:r>
              <w:rPr>
                <w:rFonts w:ascii="Arial" w:cs="Arial" w:eastAsia="Arial" w:hAnsi="Arial"/>
                <w:sz w:val="18"/>
                <w:szCs w:val="18"/>
                <w:color w:val="auto"/>
                <w:w w:val="91"/>
              </w:rPr>
              <w:t>IN WITNESS WHEREOF, the undersigned has executed this Certificate as of</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5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5558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FINANCIAL STATEMENTS OF BORROWER AND ITS SUBSIDIARIES</w:t>
      </w:r>
    </w:p>
    <w:p>
      <w:pPr>
        <w:sectPr>
          <w:pgSz w:w="11900" w:h="16838" w:orient="portrait"/>
          <w:cols w:equalWidth="0" w:num="1">
            <w:col w:w="9019"/>
          </w:cols>
          <w:pgMar w:left="1440" w:top="274"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Set forth detailed calculations</w:t>
      </w:r>
    </w:p>
    <w:p>
      <w:pPr>
        <w:sectPr>
          <w:pgSz w:w="11900" w:h="16838" w:orient="portrait"/>
          <w:cols w:equalWidth="0" w:num="1">
            <w:col w:w="9019"/>
          </w:cols>
          <w:pgMar w:left="1440" w:top="274"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between the Assignor named below (the “</w:t>
      </w:r>
      <w:r>
        <w:rPr>
          <w:rFonts w:ascii="Arial" w:cs="Arial" w:eastAsia="Arial" w:hAnsi="Arial"/>
          <w:sz w:val="18"/>
          <w:szCs w:val="18"/>
          <w:u w:val="single" w:color="auto"/>
          <w:color w:val="auto"/>
        </w:rPr>
        <w:t>Assignor</w:t>
      </w:r>
      <w:r>
        <w:rPr>
          <w:rFonts w:ascii="Arial" w:cs="Arial" w:eastAsia="Arial" w:hAnsi="Arial"/>
          <w:sz w:val="18"/>
          <w:szCs w:val="18"/>
          <w:color w:val="auto"/>
        </w:rPr>
        <w:t>”) and the Assignee named below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207" w:lineRule="exact"/>
        <w:rPr>
          <w:sz w:val="20"/>
          <w:szCs w:val="20"/>
          <w:color w:val="auto"/>
        </w:rPr>
      </w:pPr>
    </w:p>
    <w:p>
      <w:pPr>
        <w:ind w:left="360" w:hanging="352"/>
        <w:spacing w:after="0"/>
        <w:tabs>
          <w:tab w:leader="none" w:pos="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Assignor:</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Assignee:</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5565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-190500</wp:posOffset>
            </wp:positionV>
            <wp:extent cx="2023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23745"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-396240</wp:posOffset>
            </wp:positionV>
            <wp:extent cx="2023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210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9000" w:type="dxa"/>
            <w:vAlign w:val="bottom"/>
          </w:tcPr>
          <w:p>
            <w:pPr>
              <w:ind w:left="400"/>
              <w:spacing w:after="0"/>
              <w:rPr>
                <w:sz w:val="20"/>
                <w:szCs w:val="20"/>
                <w:color w:val="auto"/>
              </w:rPr>
            </w:pPr>
            <w:r>
              <w:rPr>
                <w:rFonts w:ascii="Arial" w:cs="Arial" w:eastAsia="Arial" w:hAnsi="Arial"/>
                <w:sz w:val="18"/>
                <w:szCs w:val="18"/>
                <w:color w:val="auto"/>
              </w:rPr>
              <w:t>JPMorgan Chase Bank, N.A., as administrative agent under the Credit Agreement</w:t>
            </w:r>
          </w:p>
        </w:tc>
      </w:tr>
      <w:tr>
        <w:trPr>
          <w:trHeight w:val="310"/>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2100" w:type="dxa"/>
            <w:vAlign w:val="bottom"/>
          </w:tcPr>
          <w:p>
            <w:pPr>
              <w:ind w:left="100"/>
              <w:spacing w:after="0"/>
              <w:rPr>
                <w:sz w:val="20"/>
                <w:szCs w:val="20"/>
                <w:color w:val="auto"/>
              </w:rPr>
            </w:pPr>
            <w:r>
              <w:rPr>
                <w:rFonts w:ascii="Arial" w:cs="Arial" w:eastAsia="Arial" w:hAnsi="Arial"/>
                <w:sz w:val="18"/>
                <w:szCs w:val="18"/>
                <w:color w:val="auto"/>
              </w:rPr>
              <w:t>Credit Agreement:</w:t>
            </w:r>
          </w:p>
        </w:tc>
        <w:tc>
          <w:tcPr>
            <w:tcW w:w="9000" w:type="dxa"/>
            <w:vAlign w:val="bottom"/>
          </w:tcPr>
          <w:p>
            <w:pPr>
              <w:ind w:left="400"/>
              <w:spacing w:after="0"/>
              <w:rPr>
                <w:sz w:val="20"/>
                <w:szCs w:val="20"/>
                <w:color w:val="auto"/>
              </w:rPr>
            </w:pPr>
            <w:r>
              <w:rPr>
                <w:rFonts w:ascii="Arial" w:cs="Arial" w:eastAsia="Arial" w:hAnsi="Arial"/>
                <w:sz w:val="18"/>
                <w:szCs w:val="18"/>
                <w:color w:val="auto"/>
                <w:w w:val="89"/>
              </w:rPr>
              <w:t>The Credit Agreement dated as of May 26, 2016 among Comcast Corporation, the Lenders party thereto and JPMorgan</w:t>
            </w:r>
          </w:p>
        </w:tc>
      </w:tr>
      <w:tr>
        <w:trPr>
          <w:trHeight w:val="230"/>
        </w:trPr>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Chase Bank, N.A., as Administrative Agent, and the other agents party thereto</w:t>
            </w:r>
          </w:p>
        </w:tc>
      </w:tr>
    </w:tbl>
    <w:p>
      <w:pPr>
        <w:ind w:left="360" w:hanging="352"/>
        <w:spacing w:after="0"/>
        <w:tabs>
          <w:tab w:leader="none" w:pos="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80" w:type="dxa"/>
            <w:vAlign w:val="bottom"/>
            <w:gridSpan w:val="2"/>
          </w:tcPr>
          <w:p>
            <w:pPr>
              <w:jc w:val="center"/>
              <w:ind w:right="1920"/>
              <w:spacing w:after="0"/>
              <w:rPr>
                <w:sz w:val="20"/>
                <w:szCs w:val="20"/>
                <w:color w:val="auto"/>
              </w:rPr>
            </w:pPr>
            <w:r>
              <w:rPr>
                <w:rFonts w:ascii="Arial" w:cs="Arial" w:eastAsia="Arial" w:hAnsi="Arial"/>
                <w:sz w:val="14"/>
                <w:szCs w:val="14"/>
                <w:color w:val="auto"/>
                <w:w w:val="92"/>
              </w:rPr>
              <w:t>Aggregate</w:t>
            </w:r>
          </w:p>
        </w:tc>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080" w:type="dxa"/>
            <w:vAlign w:val="bottom"/>
            <w:gridSpan w:val="2"/>
          </w:tcPr>
          <w:p>
            <w:pPr>
              <w:jc w:val="center"/>
              <w:ind w:right="1900"/>
              <w:spacing w:after="0" w:line="149" w:lineRule="exact"/>
              <w:rPr>
                <w:sz w:val="20"/>
                <w:szCs w:val="20"/>
                <w:color w:val="auto"/>
              </w:rPr>
            </w:pPr>
            <w:r>
              <w:rPr>
                <w:rFonts w:ascii="Arial" w:cs="Arial" w:eastAsia="Arial" w:hAnsi="Arial"/>
                <w:sz w:val="14"/>
                <w:szCs w:val="14"/>
                <w:color w:val="auto"/>
                <w:w w:val="97"/>
              </w:rPr>
              <w:t>Amount of</w:t>
            </w:r>
          </w:p>
        </w:tc>
        <w:tc>
          <w:tcPr>
            <w:tcW w:w="30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Amount of</w:t>
            </w:r>
          </w:p>
        </w:tc>
        <w:tc>
          <w:tcPr>
            <w:tcW w:w="1420" w:type="dxa"/>
            <w:vAlign w:val="bottom"/>
            <w:gridSpan w:val="2"/>
          </w:tcPr>
          <w:p>
            <w:pPr>
              <w:jc w:val="center"/>
              <w:ind w:right="110"/>
              <w:spacing w:after="0" w:line="149" w:lineRule="exact"/>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Facility Assigned</w:t>
            </w:r>
            <w:r>
              <w:rPr>
                <w:rFonts w:ascii="Arial" w:cs="Arial" w:eastAsia="Arial" w:hAnsi="Arial"/>
                <w:sz w:val="12"/>
                <w:szCs w:val="12"/>
                <w:color w:val="auto"/>
              </w:rPr>
              <w:t>4</w:t>
            </w: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Commitment/Loans</w:t>
            </w: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Commitment/Loans</w:t>
            </w:r>
          </w:p>
        </w:tc>
        <w:tc>
          <w:tcPr>
            <w:tcW w:w="1420" w:type="dxa"/>
            <w:vAlign w:val="bottom"/>
            <w:gridSpan w:val="2"/>
          </w:tcPr>
          <w:p>
            <w:pPr>
              <w:jc w:val="center"/>
              <w:ind w:right="110"/>
              <w:spacing w:after="0" w:line="149" w:lineRule="exact"/>
              <w:rPr>
                <w:sz w:val="20"/>
                <w:szCs w:val="20"/>
                <w:color w:val="auto"/>
              </w:rPr>
            </w:pPr>
            <w:r>
              <w:rPr>
                <w:rFonts w:ascii="Arial" w:cs="Arial" w:eastAsia="Arial" w:hAnsi="Arial"/>
                <w:sz w:val="14"/>
                <w:szCs w:val="14"/>
                <w:color w:val="auto"/>
                <w:w w:val="95"/>
              </w:rPr>
              <w:t>Assigned of</w:t>
            </w:r>
          </w:p>
        </w:tc>
        <w:tc>
          <w:tcPr>
            <w:tcW w:w="0" w:type="dxa"/>
            <w:vAlign w:val="bottom"/>
          </w:tcPr>
          <w:p>
            <w:pPr>
              <w:spacing w:after="0"/>
              <w:rPr>
                <w:sz w:val="1"/>
                <w:szCs w:val="1"/>
                <w:color w:val="auto"/>
              </w:rPr>
            </w:pPr>
          </w:p>
        </w:tc>
      </w:tr>
      <w:tr>
        <w:trPr>
          <w:trHeight w:val="161"/>
        </w:trPr>
        <w:tc>
          <w:tcPr>
            <w:tcW w:w="3840" w:type="dxa"/>
            <w:vAlign w:val="bottom"/>
            <w:gridSpan w:val="2"/>
            <w:vMerge w:val="continue"/>
          </w:tcPr>
          <w:p>
            <w:pPr>
              <w:spacing w:after="0"/>
              <w:rPr>
                <w:sz w:val="13"/>
                <w:szCs w:val="13"/>
                <w:color w:val="auto"/>
              </w:rPr>
            </w:pPr>
          </w:p>
        </w:tc>
        <w:tc>
          <w:tcPr>
            <w:tcW w:w="3080" w:type="dxa"/>
            <w:vAlign w:val="bottom"/>
            <w:gridSpan w:val="2"/>
          </w:tcPr>
          <w:p>
            <w:pPr>
              <w:jc w:val="center"/>
              <w:ind w:right="1920"/>
              <w:spacing w:after="0" w:line="154" w:lineRule="exact"/>
              <w:rPr>
                <w:sz w:val="20"/>
                <w:szCs w:val="20"/>
                <w:color w:val="auto"/>
              </w:rPr>
            </w:pPr>
            <w:r>
              <w:rPr>
                <w:rFonts w:ascii="Arial" w:cs="Arial" w:eastAsia="Arial" w:hAnsi="Arial"/>
                <w:sz w:val="14"/>
                <w:szCs w:val="14"/>
                <w:color w:val="auto"/>
                <w:w w:val="94"/>
              </w:rPr>
              <w:t>for all Lenders</w:t>
            </w:r>
          </w:p>
        </w:tc>
        <w:tc>
          <w:tcPr>
            <w:tcW w:w="3080" w:type="dxa"/>
            <w:vAlign w:val="bottom"/>
            <w:gridSpan w:val="2"/>
          </w:tcPr>
          <w:p>
            <w:pPr>
              <w:ind w:left="320"/>
              <w:spacing w:after="0" w:line="154" w:lineRule="exact"/>
              <w:rPr>
                <w:sz w:val="20"/>
                <w:szCs w:val="20"/>
                <w:color w:val="auto"/>
              </w:rPr>
            </w:pPr>
            <w:r>
              <w:rPr>
                <w:rFonts w:ascii="Arial" w:cs="Arial" w:eastAsia="Arial" w:hAnsi="Arial"/>
                <w:sz w:val="14"/>
                <w:szCs w:val="14"/>
                <w:color w:val="auto"/>
              </w:rPr>
              <w:t>Assigned</w:t>
            </w:r>
          </w:p>
        </w:tc>
        <w:tc>
          <w:tcPr>
            <w:tcW w:w="1420" w:type="dxa"/>
            <w:vAlign w:val="bottom"/>
            <w:gridSpan w:val="2"/>
          </w:tcPr>
          <w:p>
            <w:pPr>
              <w:jc w:val="center"/>
              <w:ind w:right="110"/>
              <w:spacing w:after="0" w:line="154" w:lineRule="exact"/>
              <w:rPr>
                <w:sz w:val="20"/>
                <w:szCs w:val="20"/>
                <w:color w:val="auto"/>
              </w:rPr>
            </w:pPr>
            <w:r>
              <w:rPr>
                <w:rFonts w:ascii="Arial" w:cs="Arial" w:eastAsia="Arial" w:hAnsi="Arial"/>
                <w:sz w:val="14"/>
                <w:szCs w:val="14"/>
                <w:color w:val="auto"/>
                <w:w w:val="95"/>
              </w:rPr>
              <w:t>Commitment/Loans</w:t>
            </w:r>
            <w:r>
              <w:rPr>
                <w:rFonts w:ascii="Arial" w:cs="Arial" w:eastAsia="Arial" w:hAnsi="Arial"/>
                <w:sz w:val="12"/>
                <w:szCs w:val="12"/>
                <w:color w:val="auto"/>
                <w:w w:val="95"/>
              </w:rPr>
              <w:t>5</w:t>
            </w:r>
          </w:p>
        </w:tc>
        <w:tc>
          <w:tcPr>
            <w:tcW w:w="0" w:type="dxa"/>
            <w:vAlign w:val="bottom"/>
          </w:tcPr>
          <w:p>
            <w:pPr>
              <w:spacing w:after="0"/>
              <w:rPr>
                <w:sz w:val="1"/>
                <w:szCs w:val="1"/>
                <w:color w:val="auto"/>
              </w:rPr>
            </w:pPr>
          </w:p>
        </w:tc>
      </w:tr>
      <w:tr>
        <w:trPr>
          <w:trHeight w:val="216"/>
        </w:trPr>
        <w:tc>
          <w:tcPr>
            <w:tcW w:w="106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Fill in either “Revolving Commitment” or “Revolving Loans”.</w:t>
      </w:r>
    </w:p>
    <w:p>
      <w:pPr>
        <w:spacing w:after="0" w:line="1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Set forth, to at least 9 decimals, as a percentage of the Commitment/Loans of all Lenders.</w:t>
      </w:r>
    </w:p>
    <w:p>
      <w:pPr>
        <w:sectPr>
          <w:pgSz w:w="11900" w:h="16838" w:orient="portrait"/>
          <w:cols w:equalWidth="0" w:num="1">
            <w:col w:w="11420"/>
          </w:cols>
          <w:pgMar w:left="240" w:top="274" w:right="239" w:bottom="1440" w:gutter="0" w:footer="0" w:header="0"/>
        </w:sectPr>
      </w:pPr>
    </w:p>
    <w:bookmarkStart w:id="124" w:name="page125"/>
    <w:bookmarkEnd w:id="124"/>
    <w:p>
      <w:pPr>
        <w:spacing w:after="0"/>
        <w:tabs>
          <w:tab w:leader="none" w:pos="2200" w:val="left"/>
          <w:tab w:leader="none" w:pos="2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7"/>
          <w:szCs w:val="17"/>
          <w:color w:val="auto"/>
        </w:rPr>
        <w:t>[TO BE INSERTED BY ADMINISTRATIVE AGENT AND WHICH SHALL BE THE EFFECTIVE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-10160</wp:posOffset>
            </wp:positionV>
            <wp:extent cx="9715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Loan Parties and their Affiliates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200" w:lineRule="exact"/>
        <w:rPr>
          <w:sz w:val="20"/>
          <w:szCs w:val="20"/>
          <w:color w:val="auto"/>
        </w:rPr>
      </w:pPr>
    </w:p>
    <w:p>
      <w:pPr>
        <w:spacing w:after="0" w:line="25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100"/>
          </w:cols>
          <w:pgMar w:left="240" w:top="274" w:right="5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Consented to and 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Administrative Agent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as 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5"/>
          <w:szCs w:val="15"/>
          <w:color w:val="auto"/>
        </w:rPr>
        <w:t>7</w:t>
      </w:r>
    </w:p>
    <w:p>
      <w:pPr>
        <w:spacing w:after="0" w:line="117" w:lineRule="exact"/>
        <w:rPr>
          <w:sz w:val="20"/>
          <w:szCs w:val="20"/>
          <w:color w:val="auto"/>
        </w:rPr>
      </w:pPr>
    </w:p>
    <w:p>
      <w:pPr>
        <w:ind w:left="1140" w:hanging="1132"/>
        <w:spacing w:after="0"/>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as Issuing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2752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7"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4"/>
          <w:szCs w:val="14"/>
          <w:color w:val="auto"/>
        </w:rPr>
      </w:pPr>
      <w:r>
        <w:rPr>
          <w:rFonts w:ascii="Arial" w:cs="Arial" w:eastAsia="Arial" w:hAnsi="Arial"/>
          <w:sz w:val="16"/>
          <w:szCs w:val="16"/>
          <w:color w:val="auto"/>
        </w:rPr>
        <w:t>If Borrower consent is required for under the terms of Section 10.04(b) of the Credit Agreement.</w:t>
      </w:r>
    </w:p>
    <w:p>
      <w:pPr>
        <w:spacing w:after="0" w:line="154"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5"/>
          <w:szCs w:val="15"/>
          <w:color w:val="auto"/>
        </w:rPr>
      </w:pPr>
      <w:r>
        <w:rPr>
          <w:rFonts w:ascii="Arial" w:cs="Arial" w:eastAsia="Arial" w:hAnsi="Arial"/>
          <w:sz w:val="18"/>
          <w:szCs w:val="18"/>
          <w:color w:val="auto"/>
        </w:rPr>
        <w:t>Add applicable Issuing Lenders.</w:t>
      </w:r>
    </w:p>
    <w:p>
      <w:pPr>
        <w:sectPr>
          <w:pgSz w:w="11900" w:h="16838" w:orient="portrait"/>
          <w:cols w:equalWidth="0" w:num="1">
            <w:col w:w="10219"/>
          </w:cols>
          <w:pgMar w:left="240" w:top="274" w:right="1440" w:bottom="1440" w:gutter="0" w:footer="0" w:header="0"/>
        </w:sectPr>
      </w:pPr>
    </w:p>
    <w:bookmarkStart w:id="126" w:name="page127"/>
    <w:bookmarkEnd w:id="126"/>
    <w:p>
      <w:pPr>
        <w:ind w:left="7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237" w:lineRule="exact"/>
        <w:rPr>
          <w:sz w:val="20"/>
          <w:szCs w:val="20"/>
          <w:color w:val="auto"/>
        </w:rPr>
      </w:pPr>
    </w:p>
    <w:p>
      <w:pPr>
        <w:jc w:val="center"/>
        <w:spacing w:after="0" w:line="286" w:lineRule="auto"/>
        <w:rPr>
          <w:sz w:val="20"/>
          <w:szCs w:val="20"/>
          <w:color w:val="auto"/>
        </w:rPr>
      </w:pPr>
      <w:r>
        <w:rPr>
          <w:rFonts w:ascii="Arial" w:cs="Arial" w:eastAsia="Arial" w:hAnsi="Arial"/>
          <w:sz w:val="17"/>
          <w:szCs w:val="17"/>
          <w:color w:val="auto"/>
        </w:rPr>
        <w:t>Credit Agreement dated as of May 26, 2016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Comcast Corporation, a Pennsylvania corporation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parties thereto, and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other agents party thereto.</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100" w:hanging="179"/>
        <w:spacing w:after="0"/>
        <w:tabs>
          <w:tab w:leader="none" w:pos="11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any of its respective Subsidiaries or Affiliates or any other Person obligated in respect of any Loan Document or (iv) the performance or observance by Borrower, any of its respective Subsidiaries or Affiliates or any other Person of any of their respective obligations under any Loan Document.</w:t>
      </w:r>
    </w:p>
    <w:p>
      <w:pPr>
        <w:spacing w:after="0" w:line="16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(including that it be an Eligible Assignee and that it otherwise satisfy the requirements set forth in Section 10.04(b) of the Credit Agreement), (iii) it is capable of extending credit in all Alternative Currencies provided for under the Credit Agreement, (iv) from and after the Effective Date, it shall be bound by the provisions of the Credit Agreement as a Lender thereunder and, to the extent of the Assigned Interest, shall have the obligations of a Lender thereunder, (v) it has received a copy of the Credit Agreement, together with copies of the most recent financial statements delivered pursuant to Section 6.01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Issuing Lender or any other Lender and (vi) if it is a foreign Lender, attached to the Assignment and Assumption is any documentation required to be delivered by it pursuant to the terms of the Credit Agreement (including, without limitation, Section 10.20), duly completed and executed by the Assignee and (b) agrees that (i) it will, independently and without reliance on the Administrative Agent, any Issuing Lender,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ectPr>
          <w:pgSz w:w="11900" w:h="16838" w:orient="portrait"/>
          <w:cols w:equalWidth="0" w:num="1">
            <w:col w:w="11420"/>
          </w:cols>
          <w:pgMar w:left="240" w:top="274" w:right="239" w:bottom="1440" w:gutter="0" w:footer="0" w:header="0"/>
        </w:sectPr>
      </w:pPr>
    </w:p>
    <w:bookmarkStart w:id="127" w:name="page128"/>
    <w:bookmarkEnd w:id="127"/>
    <w:p>
      <w:pPr>
        <w:ind w:left="-921" w:right="40" w:firstLine="921"/>
        <w:spacing w:after="0" w:line="264" w:lineRule="auto"/>
        <w:tabs>
          <w:tab w:leader="none" w:pos="17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w:t>
      </w:r>
      <w:r>
        <w:rPr>
          <w:rFonts w:ascii="Arial" w:cs="Arial" w:eastAsia="Arial" w:hAnsi="Arial"/>
          <w:sz w:val="18"/>
          <w:szCs w:val="18"/>
          <w:color w:val="auto"/>
        </w:rPr>
        <w:t>. From and after the Effective Date, Administrative Agent shall make all payments in respect of the Assigned Interest (including payments of principal, interest, fees and other amounts) to Assignor for amounts which have accrued to but excluding the Effective Date and to the Assignee for amounts which have accrued from and after the Effective Date.</w:t>
      </w:r>
    </w:p>
    <w:p>
      <w:pPr>
        <w:spacing w:after="0" w:line="181" w:lineRule="exact"/>
        <w:rPr>
          <w:rFonts w:ascii="Arial" w:cs="Arial" w:eastAsia="Arial" w:hAnsi="Arial"/>
          <w:sz w:val="18"/>
          <w:szCs w:val="18"/>
          <w:color w:val="auto"/>
        </w:rPr>
      </w:pPr>
    </w:p>
    <w:p>
      <w:pPr>
        <w:ind w:left="-921" w:firstLine="921"/>
        <w:spacing w:after="0" w:line="257" w:lineRule="auto"/>
        <w:tabs>
          <w:tab w:leader="none" w:pos="17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email or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419"/>
          </w:cols>
          <w:pgMar w:left="1161" w:top="274" w:right="31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LENDER SUPPLEMENT</w:t>
      </w:r>
    </w:p>
    <w:p>
      <w:pPr>
        <w:spacing w:after="0" w:line="211"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Reference is made to the Credit Agreement dated as of May 26, 2016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Comcast Corporation,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party thereto, JPMorgan Chase Bank, N.A., as Administrative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New Lender identified on Schedule l hereto (the “</w:t>
      </w:r>
      <w:r>
        <w:rPr>
          <w:rFonts w:ascii="Arial" w:cs="Arial" w:eastAsia="Arial" w:hAnsi="Arial"/>
          <w:sz w:val="18"/>
          <w:szCs w:val="18"/>
          <w:u w:val="single" w:color="auto"/>
          <w:color w:val="auto"/>
        </w:rPr>
        <w:t>New Lender</w:t>
      </w:r>
      <w:r>
        <w:rPr>
          <w:rFonts w:ascii="Arial" w:cs="Arial" w:eastAsia="Arial" w:hAnsi="Arial"/>
          <w:sz w:val="18"/>
          <w:szCs w:val="18"/>
          <w:color w:val="auto"/>
        </w:rPr>
        <w:t>”), the Administrative Agent and the Borrower agree as follows:</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New Lender hereby irrevocably makes a Revolving Commitment to the Borrower in the amount set forth on Schedule 1 hereto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pursuant to Section 2.01(b) of the Credit Agreement. From and after the Effective Date (as defined below), the New Lender will be a Lender under the Credit Agreement with respect to the New Commitment.</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Each of the Administrative Agent and the Issuing Lenders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9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New Lender (a) represents and warrants that it is legally authorized to enter into this New Lender Supplement; (b) 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New Lender Supplement; (c) agrees that it will, independently and without reliance upon the Administrative Agent, any Issuing Lender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w:t>
      </w:r>
    </w:p>
    <w:p>
      <w:pPr>
        <w:spacing w:after="0" w:line="1" w:lineRule="exact"/>
        <w:rPr>
          <w:sz w:val="20"/>
          <w:szCs w:val="20"/>
          <w:color w:val="auto"/>
        </w:rPr>
      </w:pPr>
    </w:p>
    <w:p>
      <w:pPr>
        <w:ind w:right="40" w:firstLine="8"/>
        <w:spacing w:after="0" w:line="290" w:lineRule="auto"/>
        <w:tabs>
          <w:tab w:leader="none" w:pos="24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agrees that it will be bound by the provisions of the Credit Agreement and will perform in accordance with its terms all the obligations which by the terms of the Credit Agreement are required to be performed by it as a Lender (including the obligation to lend in any Alternative Currency).</w:t>
      </w:r>
    </w:p>
    <w:p>
      <w:pPr>
        <w:spacing w:after="0" w:line="162" w:lineRule="exact"/>
        <w:rPr>
          <w:sz w:val="20"/>
          <w:szCs w:val="20"/>
          <w:color w:val="auto"/>
        </w:rPr>
      </w:pPr>
    </w:p>
    <w:p>
      <w:pPr>
        <w:ind w:right="300" w:firstLine="913"/>
        <w:spacing w:after="0" w:line="257" w:lineRule="auto"/>
        <w:rPr>
          <w:sz w:val="20"/>
          <w:szCs w:val="20"/>
          <w:color w:val="auto"/>
        </w:rPr>
      </w:pPr>
      <w:r>
        <w:rPr>
          <w:rFonts w:ascii="Arial" w:cs="Arial" w:eastAsia="Arial" w:hAnsi="Arial"/>
          <w:sz w:val="18"/>
          <w:szCs w:val="18"/>
          <w:color w:val="auto"/>
        </w:rPr>
        <w:t>The effective date of this New Lender Supplement shall be the Effective Date of the New Commitment described in Schedule 1 hereto (the “</w:t>
      </w:r>
      <w:r>
        <w:rPr>
          <w:rFonts w:ascii="Arial" w:cs="Arial" w:eastAsia="Arial" w:hAnsi="Arial"/>
          <w:sz w:val="18"/>
          <w:szCs w:val="18"/>
          <w:u w:val="single" w:color="auto"/>
          <w:color w:val="auto"/>
        </w:rPr>
        <w:t>Effective Date</w:t>
      </w:r>
      <w:r>
        <w:rPr>
          <w:rFonts w:ascii="Arial" w:cs="Arial" w:eastAsia="Arial" w:hAnsi="Arial"/>
          <w:sz w:val="18"/>
          <w:szCs w:val="18"/>
          <w:color w:val="auto"/>
        </w:rPr>
        <w:t>”). Following the execution of this New Lender Supplement by each of the New Lender and the Borrower, it will be delivered to the Administrative Agent for acceptance and recording by it pursuant to the Credit Agreement, effective as of the Effective Date (which shall not, unless otherwise agreed to by the Administrative Agent, be earlier than five Business Days after the date of such acceptance and recording by the Administrative Agent).</w:t>
      </w:r>
    </w:p>
    <w:p>
      <w:pPr>
        <w:sectPr>
          <w:pgSz w:w="11900" w:h="16838" w:orient="portrait"/>
          <w:cols w:equalWidth="0" w:num="1">
            <w:col w:w="11400"/>
          </w:cols>
          <w:pgMar w:left="240" w:top="274" w:right="259" w:bottom="1440" w:gutter="0" w:footer="0" w:header="0"/>
        </w:sectPr>
      </w:pPr>
    </w:p>
    <w:bookmarkStart w:id="129" w:name="page130"/>
    <w:bookmarkEnd w:id="129"/>
    <w:p>
      <w:pPr>
        <w:jc w:val="both"/>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such acceptance and recording, from and after the Effective Date, the Administrative Agent shall make all payments in respect of the New Commitment (including payments of principal, interest, fees and other amounts) to the New Lender for amounts which have accrued on and subsequent to the Effective Date.</w:t>
      </w:r>
    </w:p>
    <w:p>
      <w:pPr>
        <w:spacing w:after="0" w:line="18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From and after the Effective Date, the New Lender shall be a party to the Credit Agreement and, to the extent provided in this New Lender Supplement, have the rights and obligations of a Lender thereunder and shall be bound by the provisions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New Lender Supplement shall be governed by and construed and interpreted in accordance with the laws of the State of New York.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tcPr>
          <w:p>
            <w:pPr>
              <w:ind w:left="920"/>
              <w:spacing w:after="0"/>
              <w:rPr>
                <w:sz w:val="20"/>
                <w:szCs w:val="20"/>
                <w:color w:val="auto"/>
              </w:rPr>
            </w:pPr>
            <w:r>
              <w:rPr>
                <w:rFonts w:ascii="Arial" w:cs="Arial" w:eastAsia="Arial" w:hAnsi="Arial"/>
                <w:sz w:val="18"/>
                <w:szCs w:val="18"/>
                <w:color w:val="auto"/>
                <w:w w:val="90"/>
              </w:rPr>
              <w:t>IN WITNESS WHEREOF, the parties hereto have caused this New Lender Supplement to be executed as of</w:t>
            </w:r>
          </w:p>
        </w:tc>
        <w:tc>
          <w:tcPr>
            <w:tcW w:w="9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w w:val="97"/>
              </w:rPr>
              <w:t>, 20   by their</w:t>
            </w:r>
          </w:p>
        </w:tc>
      </w:tr>
      <w:tr>
        <w:trPr>
          <w:trHeight w:val="237"/>
        </w:trPr>
        <w:tc>
          <w:tcPr>
            <w:tcW w:w="8760" w:type="dxa"/>
            <w:vAlign w:val="bottom"/>
          </w:tcPr>
          <w:p>
            <w:pPr>
              <w:spacing w:after="0"/>
              <w:rPr>
                <w:sz w:val="20"/>
                <w:szCs w:val="20"/>
                <w:color w:val="auto"/>
              </w:rPr>
            </w:pPr>
            <w:r>
              <w:rPr>
                <w:rFonts w:ascii="Arial" w:cs="Arial" w:eastAsia="Arial" w:hAnsi="Arial"/>
                <w:sz w:val="18"/>
                <w:szCs w:val="18"/>
                <w:color w:val="auto"/>
              </w:rPr>
              <w:t>respective duly authorized officers on Schedule 1 hereto.</w:t>
            </w: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540"/>
        </w:trPr>
        <w:tc>
          <w:tcPr>
            <w:tcW w:w="8760" w:type="dxa"/>
            <w:vAlign w:val="bottom"/>
          </w:tcPr>
          <w:p>
            <w:pPr>
              <w:ind w:left="3320"/>
              <w:spacing w:after="0"/>
              <w:rPr>
                <w:sz w:val="20"/>
                <w:szCs w:val="20"/>
                <w:color w:val="auto"/>
              </w:rPr>
            </w:pPr>
            <w:r>
              <w:rPr>
                <w:rFonts w:ascii="Arial" w:cs="Arial" w:eastAsia="Arial" w:hAnsi="Arial"/>
                <w:sz w:val="18"/>
                <w:szCs w:val="18"/>
                <w:i w:val="1"/>
                <w:iCs w:val="1"/>
                <w:color w:val="auto"/>
              </w:rPr>
              <w:t>[Remainder of page intentionally left blank. Schedule 1 to follow.]</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30" w:name="page131"/>
    <w:bookmarkEnd w:id="13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to New Lender Supplement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New Commitment:</w:t>
      </w:r>
    </w:p>
    <w:p>
      <w:pPr>
        <w:spacing w:after="0" w:line="117"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Principal Amount of New Commitment:</w:t>
      </w:r>
      <w:r>
        <w:rPr>
          <w:sz w:val="20"/>
          <w:szCs w:val="20"/>
          <w:color w:val="auto"/>
        </w:rPr>
        <w:tab/>
      </w:r>
      <w:r>
        <w:rPr>
          <w:rFonts w:ascii="Arial" w:cs="Arial" w:eastAsia="Arial" w:hAnsi="Arial"/>
          <w:sz w:val="14"/>
          <w:szCs w:val="14"/>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NEW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-10160</wp:posOffset>
            </wp:positionV>
            <wp:extent cx="11715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r>
        <w:rPr>
          <w:rFonts w:ascii="Arial" w:cs="Arial" w:eastAsia="Arial" w:hAnsi="Arial"/>
          <w:sz w:val="15"/>
          <w:szCs w:val="15"/>
          <w:color w:val="auto"/>
        </w:rPr>
        <w:t>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Each Issuing Lender at the applicable time to be inserted.</w:t>
      </w:r>
    </w:p>
    <w:p>
      <w:pPr>
        <w:sectPr>
          <w:pgSz w:w="11900" w:h="16838" w:orient="portrait"/>
          <w:cols w:equalWidth="0" w:num="1">
            <w:col w:w="10219"/>
          </w:cols>
          <w:pgMar w:left="240" w:top="274"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INCREASED REVOLVING COMMITMENT ACTIVATION NOTICE</w:t>
      </w:r>
    </w:p>
    <w:p>
      <w:pPr>
        <w:spacing w:after="0" w:line="211"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Reference is made to the Credit Agreement, dated as of May 26, 2016 (as amended, supplemented or modified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Comcast Corporation,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party thereto, JPMorgan Chase Bank, N.A., as Administrative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Increasing Lender identified on Schedule l hereto (the “</w:t>
      </w:r>
      <w:r>
        <w:rPr>
          <w:rFonts w:ascii="Arial" w:cs="Arial" w:eastAsia="Arial" w:hAnsi="Arial"/>
          <w:sz w:val="16"/>
          <w:szCs w:val="16"/>
          <w:u w:val="single" w:color="auto"/>
          <w:color w:val="auto"/>
        </w:rPr>
        <w:t>Increasing Lender</w:t>
      </w:r>
      <w:r>
        <w:rPr>
          <w:rFonts w:ascii="Arial" w:cs="Arial" w:eastAsia="Arial" w:hAnsi="Arial"/>
          <w:sz w:val="16"/>
          <w:szCs w:val="16"/>
          <w:color w:val="auto"/>
        </w:rPr>
        <w:t>”), the Administrative Agent and the Borrower agree as follows:</w:t>
      </w:r>
    </w:p>
    <w:p>
      <w:pPr>
        <w:spacing w:after="0" w:line="140"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The Increasing Lender hereby irrevocably increases its Revolving Commitment to the Borrower by the amount set forth on Schedule 1 hereto under the heading “Principal Amount of Increased Revolving Commitment” (the “</w:t>
      </w:r>
      <w:r>
        <w:rPr>
          <w:rFonts w:ascii="Arial" w:cs="Arial" w:eastAsia="Arial" w:hAnsi="Arial"/>
          <w:sz w:val="17"/>
          <w:szCs w:val="17"/>
          <w:u w:val="single" w:color="auto"/>
          <w:color w:val="auto"/>
        </w:rPr>
        <w:t>Increased Revolving Commitment</w:t>
      </w:r>
      <w:r>
        <w:rPr>
          <w:rFonts w:ascii="Arial" w:cs="Arial" w:eastAsia="Arial" w:hAnsi="Arial"/>
          <w:sz w:val="17"/>
          <w:szCs w:val="17"/>
          <w:color w:val="auto"/>
        </w:rPr>
        <w:t>”) pursuant to Section 2.01(b) of the Credit Agreement. From and after the Effective Date (as defined below), the Increasing Lender will be a Lender under the Credit Agreement with respect to the Increased Revolving Commitment as well as its existing Revolving Commitment under the Credit Agreement.</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Each of the Administrative Agent and the Issuing Lenders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93"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The Increasing Lender (a) represents and warrants that it is legally authorized to enter into this Increased Revolving Commitment Activation Notice; (b) 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Increased Revolving Commitment Activation Notice; (c) agrees that it will, independently and without reliance upon the Administrative Agent, any Issuing Lender or any other Lender and based on such documents and information as it shall deem appropriate at the time, continue to make its own credit decisions in taking or not taking action under the Credit Agreement or any other instrument or document furnished pursuant hereto or thereto;</w:t>
      </w:r>
    </w:p>
    <w:p>
      <w:pPr>
        <w:spacing w:after="0" w:line="5" w:lineRule="exact"/>
        <w:rPr>
          <w:sz w:val="20"/>
          <w:szCs w:val="20"/>
          <w:color w:val="auto"/>
        </w:rPr>
      </w:pPr>
    </w:p>
    <w:p>
      <w:pPr>
        <w:ind w:right="300" w:firstLine="8"/>
        <w:spacing w:after="0" w:line="295" w:lineRule="auto"/>
        <w:tabs>
          <w:tab w:leader="none" w:pos="2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62"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effective date of this Increased Revolving Commitment Activation Notice shall be the increased revolving commitment closing date set forth Schedule 1 hereto (the “</w:t>
      </w:r>
      <w:r>
        <w:rPr>
          <w:rFonts w:ascii="Arial" w:cs="Arial" w:eastAsia="Arial" w:hAnsi="Arial"/>
          <w:sz w:val="17"/>
          <w:szCs w:val="17"/>
          <w:u w:val="single" w:color="auto"/>
          <w:color w:val="auto"/>
        </w:rPr>
        <w:t>Increased Revolving Commitment Closing Date</w:t>
      </w:r>
      <w:r>
        <w:rPr>
          <w:rFonts w:ascii="Arial" w:cs="Arial" w:eastAsia="Arial" w:hAnsi="Arial"/>
          <w:sz w:val="17"/>
          <w:szCs w:val="17"/>
          <w:color w:val="auto"/>
        </w:rPr>
        <w:t>”). Following the execution of this Increased Revolving Commitment Activation Notice by each of the Increasing Lender and the Borrower, it will be delivered to the Administrative Agent for acceptance and recording by it pursuant to the Credit Agreement, effective as of the Increased Revolving Commitment Closing Date (which shall not, unless otherwise agreed to by the Administrative Agent, be earlier than five Business Days after the date of such acceptance and recording by the Administrative Agent).</w:t>
      </w:r>
    </w:p>
    <w:p>
      <w:pPr>
        <w:sectPr>
          <w:pgSz w:w="11900" w:h="16838" w:orient="portrait"/>
          <w:cols w:equalWidth="0" w:num="1">
            <w:col w:w="11420"/>
          </w:cols>
          <w:pgMar w:left="240" w:top="274" w:right="239" w:bottom="1440" w:gutter="0" w:footer="0" w:header="0"/>
        </w:sectPr>
      </w:pPr>
    </w:p>
    <w:bookmarkStart w:id="132" w:name="page133"/>
    <w:bookmarkEnd w:id="132"/>
    <w:p>
      <w:pPr>
        <w:jc w:val="both"/>
        <w:ind w:right="4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such acceptance and recording, from and after the Effective Date, the Administrative Agent shall make all payments in respect of the Increased Revolving Commitment (including payments of principal, interest, fees and other amounts) to the Increasing Lender for amounts which have accrued on and subsequent to the Effective Date.</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This Increased Revolving Commitment Activation Notice shall be governed by and construed and interpreted in accordance with the laws of the State of New York.</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60" w:type="dxa"/>
            <w:vAlign w:val="bottom"/>
          </w:tcPr>
          <w:p>
            <w:pPr>
              <w:ind w:left="920"/>
              <w:spacing w:after="0"/>
              <w:rPr>
                <w:sz w:val="20"/>
                <w:szCs w:val="20"/>
                <w:color w:val="auto"/>
              </w:rPr>
            </w:pPr>
            <w:r>
              <w:rPr>
                <w:rFonts w:ascii="Arial" w:cs="Arial" w:eastAsia="Arial" w:hAnsi="Arial"/>
                <w:sz w:val="18"/>
                <w:szCs w:val="18"/>
                <w:color w:val="auto"/>
                <w:w w:val="90"/>
              </w:rPr>
              <w:t>IN WITNESS WHEREOF, the parties hereto have caused this Commitment Increase Supplement to be executed as of</w:t>
            </w:r>
          </w:p>
        </w:tc>
        <w:tc>
          <w:tcPr>
            <w:tcW w:w="1940" w:type="dxa"/>
            <w:vAlign w:val="bottom"/>
            <w:gridSpan w:val="4"/>
          </w:tcPr>
          <w:p>
            <w:pPr>
              <w:ind w:left="900"/>
              <w:spacing w:after="0"/>
              <w:rPr>
                <w:sz w:val="20"/>
                <w:szCs w:val="20"/>
                <w:color w:val="auto"/>
              </w:rPr>
            </w:pPr>
            <w:r>
              <w:rPr>
                <w:rFonts w:ascii="Arial" w:cs="Arial" w:eastAsia="Arial" w:hAnsi="Arial"/>
                <w:sz w:val="18"/>
                <w:szCs w:val="18"/>
                <w:color w:val="auto"/>
                <w:w w:val="97"/>
              </w:rPr>
              <w:t>, 20   by their</w:t>
            </w:r>
          </w:p>
        </w:tc>
      </w:tr>
      <w:tr>
        <w:trPr>
          <w:trHeight w:val="237"/>
        </w:trPr>
        <w:tc>
          <w:tcPr>
            <w:tcW w:w="9460" w:type="dxa"/>
            <w:vAlign w:val="bottom"/>
          </w:tcPr>
          <w:p>
            <w:pPr>
              <w:spacing w:after="0"/>
              <w:rPr>
                <w:sz w:val="20"/>
                <w:szCs w:val="20"/>
                <w:color w:val="auto"/>
              </w:rPr>
            </w:pPr>
            <w:r>
              <w:rPr>
                <w:rFonts w:ascii="Arial" w:cs="Arial" w:eastAsia="Arial" w:hAnsi="Arial"/>
                <w:sz w:val="18"/>
                <w:szCs w:val="18"/>
                <w:color w:val="auto"/>
              </w:rPr>
              <w:t>respective duly authorized officers on Schedule 1 hereto.</w:t>
            </w: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540"/>
        </w:trPr>
        <w:tc>
          <w:tcPr>
            <w:tcW w:w="9460" w:type="dxa"/>
            <w:vAlign w:val="bottom"/>
          </w:tcPr>
          <w:p>
            <w:pPr>
              <w:ind w:left="3320"/>
              <w:spacing w:after="0"/>
              <w:rPr>
                <w:sz w:val="20"/>
                <w:szCs w:val="20"/>
                <w:color w:val="auto"/>
              </w:rPr>
            </w:pPr>
            <w:r>
              <w:rPr>
                <w:rFonts w:ascii="Arial" w:cs="Arial" w:eastAsia="Arial" w:hAnsi="Arial"/>
                <w:sz w:val="18"/>
                <w:szCs w:val="18"/>
                <w:i w:val="1"/>
                <w:iCs w:val="1"/>
                <w:color w:val="auto"/>
              </w:rPr>
              <w:t>[Remainder of page intentionally left blank. Schedule 1 to follow.]</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Increased Revolving Commitment Activation Notice</w:t>
      </w:r>
    </w:p>
    <w:p>
      <w:pPr>
        <w:sectPr>
          <w:pgSz w:w="11900" w:h="16838" w:orient="portrait"/>
          <w:cols w:equalWidth="0" w:num="1">
            <w:col w:w="11420"/>
          </w:cols>
          <w:pgMar w:left="240" w:top="274"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 of Increasing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Increased Revolving Commitment Closing Date:</w:t>
      </w:r>
    </w:p>
    <w:p>
      <w:pPr>
        <w:spacing w:after="0" w:line="244" w:lineRule="exact"/>
        <w:rPr>
          <w:sz w:val="20"/>
          <w:szCs w:val="20"/>
          <w:color w:val="auto"/>
        </w:rPr>
      </w:pPr>
    </w:p>
    <w:p>
      <w:pPr>
        <w:jc w:val="center"/>
        <w:ind w:left="1980"/>
        <w:spacing w:after="0"/>
        <w:rPr>
          <w:sz w:val="20"/>
          <w:szCs w:val="20"/>
          <w:color w:val="auto"/>
        </w:rPr>
      </w:pPr>
      <w:r>
        <w:rPr>
          <w:rFonts w:ascii="Arial" w:cs="Arial" w:eastAsia="Arial" w:hAnsi="Arial"/>
          <w:sz w:val="14"/>
          <w:szCs w:val="14"/>
          <w:b w:val="1"/>
          <w:bCs w:val="1"/>
          <w:color w:val="auto"/>
        </w:rPr>
        <w:t>Principal</w:t>
      </w:r>
    </w:p>
    <w:p>
      <w:pPr>
        <w:jc w:val="center"/>
        <w:ind w:left="1980"/>
        <w:spacing w:after="0" w:line="226" w:lineRule="auto"/>
        <w:rPr>
          <w:sz w:val="20"/>
          <w:szCs w:val="20"/>
          <w:color w:val="auto"/>
        </w:rPr>
      </w:pPr>
      <w:r>
        <w:rPr>
          <w:rFonts w:ascii="Arial" w:cs="Arial" w:eastAsia="Arial" w:hAnsi="Arial"/>
          <w:sz w:val="14"/>
          <w:szCs w:val="14"/>
          <w:b w:val="1"/>
          <w:bCs w:val="1"/>
          <w:color w:val="auto"/>
        </w:rPr>
        <w:t>Amount of</w:t>
      </w:r>
    </w:p>
    <w:p>
      <w:pPr>
        <w:spacing w:after="0" w:line="1" w:lineRule="exact"/>
        <w:rPr>
          <w:sz w:val="20"/>
          <w:szCs w:val="20"/>
          <w:color w:val="auto"/>
        </w:rPr>
      </w:pPr>
    </w:p>
    <w:p>
      <w:pPr>
        <w:jc w:val="center"/>
        <w:ind w:left="1980"/>
        <w:spacing w:after="0"/>
        <w:rPr>
          <w:sz w:val="20"/>
          <w:szCs w:val="20"/>
          <w:color w:val="auto"/>
        </w:rPr>
      </w:pPr>
      <w:r>
        <w:rPr>
          <w:rFonts w:ascii="Arial" w:cs="Arial" w:eastAsia="Arial" w:hAnsi="Arial"/>
          <w:sz w:val="13"/>
          <w:szCs w:val="13"/>
          <w:b w:val="1"/>
          <w:bCs w:val="1"/>
          <w:u w:val="single" w:color="auto"/>
          <w:color w:val="auto"/>
        </w:rPr>
        <w:t>Increased Revolving Commitment:</w:t>
      </w:r>
    </w:p>
    <w:p>
      <w:pPr>
        <w:spacing w:after="0" w:line="32" w:lineRule="exact"/>
        <w:rPr>
          <w:sz w:val="20"/>
          <w:szCs w:val="20"/>
          <w:color w:val="auto"/>
        </w:rPr>
      </w:pPr>
    </w:p>
    <w:p>
      <w:pPr>
        <w:jc w:val="center"/>
        <w:ind w:left="104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[NAME OF INCREASING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-10160</wp:posOffset>
            </wp:positionV>
            <wp:extent cx="11715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r>
        <w:rPr>
          <w:rFonts w:ascii="Arial" w:cs="Arial" w:eastAsia="Arial" w:hAnsi="Arial"/>
          <w:sz w:val="15"/>
          <w:szCs w:val="15"/>
          <w:color w:val="auto"/>
        </w:rPr>
        <w:t>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4"/>
          <w:szCs w:val="14"/>
          <w:color w:val="auto"/>
        </w:rPr>
      </w:pPr>
      <w:r>
        <w:rPr>
          <w:rFonts w:ascii="Arial" w:cs="Arial" w:eastAsia="Arial" w:hAnsi="Arial"/>
          <w:sz w:val="17"/>
          <w:szCs w:val="17"/>
          <w:color w:val="auto"/>
        </w:rPr>
        <w:t>Each Issuing Lender at the applicable time to be inserted.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80"/>
        <w:spacing w:after="0"/>
        <w:rPr>
          <w:sz w:val="20"/>
          <w:szCs w:val="20"/>
          <w:color w:val="auto"/>
        </w:rPr>
      </w:pPr>
      <w:r>
        <w:rPr>
          <w:rFonts w:ascii="Arial" w:cs="Arial" w:eastAsia="Arial" w:hAnsi="Arial"/>
          <w:sz w:val="14"/>
          <w:szCs w:val="14"/>
          <w:b w:val="1"/>
          <w:bCs w:val="1"/>
          <w:color w:val="auto"/>
        </w:rPr>
        <w:t>Total Amount of Revolving Commitment</w:t>
      </w:r>
    </w:p>
    <w:p>
      <w:pPr>
        <w:jc w:val="center"/>
        <w:ind w:right="2180"/>
        <w:spacing w:after="0" w:line="226" w:lineRule="auto"/>
        <w:rPr>
          <w:sz w:val="20"/>
          <w:szCs w:val="20"/>
          <w:color w:val="auto"/>
        </w:rPr>
      </w:pPr>
      <w:r>
        <w:rPr>
          <w:rFonts w:ascii="Arial" w:cs="Arial" w:eastAsia="Arial" w:hAnsi="Arial"/>
          <w:sz w:val="14"/>
          <w:szCs w:val="14"/>
          <w:b w:val="1"/>
          <w:bCs w:val="1"/>
          <w:color w:val="auto"/>
        </w:rPr>
        <w:t>of Increasing Lender</w:t>
      </w:r>
    </w:p>
    <w:p>
      <w:pPr>
        <w:spacing w:after="0" w:line="1" w:lineRule="exact"/>
        <w:rPr>
          <w:sz w:val="20"/>
          <w:szCs w:val="20"/>
          <w:color w:val="auto"/>
        </w:rPr>
      </w:pPr>
    </w:p>
    <w:p>
      <w:pPr>
        <w:jc w:val="center"/>
        <w:ind w:right="2180"/>
        <w:spacing w:after="0"/>
        <w:rPr>
          <w:sz w:val="20"/>
          <w:szCs w:val="20"/>
          <w:color w:val="auto"/>
        </w:rPr>
      </w:pPr>
      <w:r>
        <w:rPr>
          <w:rFonts w:ascii="Arial" w:cs="Arial" w:eastAsia="Arial" w:hAnsi="Arial"/>
          <w:sz w:val="13"/>
          <w:szCs w:val="13"/>
          <w:b w:val="1"/>
          <w:bCs w:val="1"/>
          <w:color w:val="auto"/>
        </w:rPr>
        <w:t>(including Increased 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-2879090</wp:posOffset>
            </wp:positionH>
            <wp:positionV relativeFrom="paragraph">
              <wp:posOffset>12065</wp:posOffset>
            </wp:positionV>
            <wp:extent cx="4922520"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660" w:space="720"/>
            <w:col w:w="5040"/>
          </w:cols>
          <w:pgMar w:left="240" w:top="274" w:right="239" w:bottom="1440" w:gutter="0" w:footer="0" w:header="0"/>
          <w:type w:val="continuous"/>
        </w:sectPr>
      </w:pPr>
    </w:p>
    <w:bookmarkStart w:id="134" w:name="page135"/>
    <w:bookmarkEnd w:id="13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1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Pursuant to the provisions of Section 10.20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1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Pursuant to the provisions of Section 10.20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1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Pursuant to the provisions of Section 10.20 of the Credit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with respect such participation, neither the undersigned nor any of its direct or indirect partners/members is a bank extending credit pursuant to a loan</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3"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1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Reference is made to that certain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May 26, 2016,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Lenders from time to time party thereto, JPMorgan Chase Bank, N.A., as Administrative Agent and the other agents party thereto.</w:t>
      </w:r>
    </w:p>
    <w:p>
      <w:pPr>
        <w:spacing w:after="0" w:line="18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Pursuant to the provisions of Section 10.20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A"/>
      <w:numFmt w:val="bullet"/>
      <w:start w:val="1"/>
    </w:lvl>
  </w:abstractNum>
  <w:abstractNum w:abstractNumId="2">
    <w:nsid w:val="5F5E7FD0"/>
    <w:multiLevelType w:val="hybridMultilevel"/>
    <w:lvl w:ilvl="0">
      <w:lvlJc w:val="left"/>
      <w:lvlText w:val="B"/>
      <w:numFmt w:val="bullet"/>
      <w:start w:val="1"/>
    </w:lvl>
  </w:abstractNum>
  <w:abstractNum w:abstractNumId="3">
    <w:nsid w:val="98A3148"/>
    <w:multiLevelType w:val="hybridMultilevel"/>
    <w:lvl w:ilvl="0">
      <w:lvlJc w:val="left"/>
      <w:lvlText w:val="C"/>
      <w:numFmt w:val="bullet"/>
      <w:start w:val="1"/>
    </w:lvl>
  </w:abstractNum>
  <w:abstractNum w:abstractNumId="4">
    <w:nsid w:val="799D0247"/>
    <w:multiLevelType w:val="hybridMultilevel"/>
    <w:lvl w:ilvl="0">
      <w:lvlJc w:val="left"/>
      <w:lvlText w:val="D"/>
      <w:numFmt w:val="bullet"/>
      <w:start w:val="1"/>
    </w:lvl>
  </w:abstractNum>
  <w:abstractNum w:abstractNumId="5">
    <w:nsid w:val="6B94764"/>
    <w:multiLevelType w:val="hybridMultilevel"/>
    <w:lvl w:ilvl="0">
      <w:lvlJc w:val="left"/>
      <w:lvlText w:val="F"/>
      <w:numFmt w:val="bullet"/>
      <w:start w:val="1"/>
    </w:lvl>
  </w:abstractNum>
  <w:abstractNum w:abstractNumId="6">
    <w:nsid w:val="42C296BD"/>
    <w:multiLevelType w:val="hybridMultilevel"/>
    <w:lvl w:ilvl="0">
      <w:lvlJc w:val="left"/>
      <w:lvlText w:val="A"/>
      <w:numFmt w:val="bullet"/>
      <w:start w:val="1"/>
    </w:lvl>
  </w:abstractNum>
  <w:abstractNum w:abstractNumId="7">
    <w:nsid w:val="168E121F"/>
    <w:multiLevelType w:val="hybridMultilevel"/>
    <w:lvl w:ilvl="0">
      <w:lvlJc w:val="left"/>
      <w:lvlText w:val="(%1)"/>
      <w:numFmt w:val="lowerRoman"/>
      <w:start w:val="10"/>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1)"/>
      <w:numFmt w:val="lowerLetter"/>
      <w:start w:val="2"/>
    </w:lvl>
  </w:abstractNum>
  <w:abstractNum w:abstractNumId="10">
    <w:nsid w:val="5DC79EA8"/>
    <w:multiLevelType w:val="hybridMultilevel"/>
    <w:lvl w:ilvl="0">
      <w:lvlJc w:val="left"/>
      <w:lvlText w:val="(%1)"/>
      <w:numFmt w:val="lowerLetter"/>
      <w:start w:val="1"/>
    </w:lvl>
  </w:abstractNum>
  <w:abstractNum w:abstractNumId="11">
    <w:nsid w:val="540A471C"/>
    <w:multiLevelType w:val="hybridMultilevel"/>
    <w:lvl w:ilvl="0">
      <w:lvlJc w:val="left"/>
      <w:lvlText w:val="(%1)"/>
      <w:numFmt w:val="lowerLetter"/>
      <w:start w:val="1"/>
    </w:lvl>
  </w:abstractNum>
  <w:abstractNum w:abstractNumId="12">
    <w:nsid w:val="7BD3EE7B"/>
    <w:multiLevelType w:val="hybridMultilevel"/>
    <w:lvl w:ilvl="0">
      <w:lvlJc w:val="left"/>
      <w:lvlText w:val="(%1)"/>
      <w:numFmt w:val="lowerLetter"/>
      <w:start w:val="1"/>
    </w:lvl>
  </w:abstractNum>
  <w:abstractNum w:abstractNumId="13">
    <w:nsid w:val="51D9C564"/>
    <w:multiLevelType w:val="hybridMultilevel"/>
    <w:lvl w:ilvl="0">
      <w:lvlJc w:val="left"/>
      <w:lvlText w:val="(%1)"/>
      <w:numFmt w:val="lowerLetter"/>
      <w:start w:val="2"/>
    </w:lvl>
  </w:abstractNum>
  <w:abstractNum w:abstractNumId="14">
    <w:nsid w:val="613EFDC5"/>
    <w:multiLevelType w:val="hybridMultilevel"/>
    <w:lvl w:ilvl="0">
      <w:lvlJc w:val="left"/>
      <w:lvlText w:val="(%1)"/>
      <w:numFmt w:val="lowerLetter"/>
      <w:start w:val="8"/>
    </w:lvl>
  </w:abstractNum>
  <w:abstractNum w:abstractNumId="15">
    <w:nsid w:val="BF72B14"/>
    <w:multiLevelType w:val="hybridMultilevel"/>
    <w:lvl w:ilvl="0">
      <w:lvlJc w:val="left"/>
      <w:lvlText w:val="(%1)"/>
      <w:numFmt w:val="lowerLetter"/>
      <w:start w:val="1"/>
    </w:lvl>
  </w:abstractNum>
  <w:abstractNum w:abstractNumId="16">
    <w:nsid w:val="11447B73"/>
    <w:multiLevelType w:val="hybridMultilevel"/>
    <w:lvl w:ilvl="0">
      <w:lvlJc w:val="left"/>
      <w:lvlText w:val="(%1)"/>
      <w:numFmt w:val="lowerRoman"/>
      <w:start w:val="1"/>
    </w:lvl>
  </w:abstractNum>
  <w:abstractNum w:abstractNumId="17">
    <w:nsid w:val="42963E5A"/>
    <w:multiLevelType w:val="hybridMultilevel"/>
    <w:lvl w:ilvl="0">
      <w:lvlJc w:val="left"/>
      <w:lvlText w:val="(%1)"/>
      <w:numFmt w:val="lowerLetter"/>
      <w:start w:val="2"/>
    </w:lvl>
  </w:abstractNum>
  <w:abstractNum w:abstractNumId="18">
    <w:nsid w:val="A0382C5"/>
    <w:multiLevelType w:val="hybridMultilevel"/>
    <w:lvl w:ilvl="0">
      <w:lvlJc w:val="left"/>
      <w:lvlText w:val="(%1)"/>
      <w:numFmt w:val="lowerLetter"/>
      <w:start w:val="2"/>
    </w:lvl>
  </w:abstractNum>
  <w:abstractNum w:abstractNumId="19">
    <w:nsid w:val="8F2B15E"/>
    <w:multiLevelType w:val="hybridMultilevel"/>
    <w:lvl w:ilvl="0">
      <w:lvlJc w:val="left"/>
      <w:lvlText w:val="(%1)"/>
      <w:numFmt w:val="lowerRoman"/>
      <w:start w:val="2"/>
    </w:lvl>
  </w:abstractNum>
  <w:abstractNum w:abstractNumId="20">
    <w:nsid w:val="1A32234B"/>
    <w:multiLevelType w:val="hybridMultilevel"/>
    <w:lvl w:ilvl="0">
      <w:lvlJc w:val="left"/>
      <w:lvlText w:val="(%1)"/>
      <w:numFmt w:val="lowerLetter"/>
      <w:start w:val="1"/>
    </w:lvl>
  </w:abstractNum>
  <w:abstractNum w:abstractNumId="21">
    <w:nsid w:val="3B0FD379"/>
    <w:multiLevelType w:val="hybridMultilevel"/>
    <w:lvl w:ilvl="0">
      <w:lvlJc w:val="left"/>
      <w:lvlText w:val="(%1)"/>
      <w:numFmt w:val="lowerLetter"/>
      <w:start w:val="1"/>
    </w:lvl>
  </w:abstractNum>
  <w:abstractNum w:abstractNumId="22">
    <w:nsid w:val="68EB2F63"/>
    <w:multiLevelType w:val="hybridMultilevel"/>
    <w:lvl w:ilvl="0">
      <w:lvlJc w:val="left"/>
      <w:lvlText w:val="(%1)"/>
      <w:numFmt w:val="lowerLetter"/>
      <w:start w:val="1"/>
    </w:lvl>
  </w:abstractNum>
  <w:abstractNum w:abstractNumId="23">
    <w:nsid w:val="4962813B"/>
    <w:multiLevelType w:val="hybridMultilevel"/>
    <w:lvl w:ilvl="0">
      <w:lvlJc w:val="left"/>
      <w:lvlText w:val="(%1)"/>
      <w:numFmt w:val="lowerLetter"/>
      <w:start w:val="1"/>
    </w:lvl>
  </w:abstractNum>
  <w:abstractNum w:abstractNumId="24">
    <w:nsid w:val="60B6DF70"/>
    <w:multiLevelType w:val="hybridMultilevel"/>
    <w:lvl w:ilvl="0">
      <w:lvlJc w:val="left"/>
      <w:lvlText w:val="(%1)"/>
      <w:numFmt w:val="lowerLetter"/>
      <w:start w:val="3"/>
    </w:lvl>
  </w:abstractNum>
  <w:abstractNum w:abstractNumId="25">
    <w:nsid w:val="6A5EE64"/>
    <w:multiLevelType w:val="hybridMultilevel"/>
    <w:lvl w:ilvl="0">
      <w:lvlJc w:val="left"/>
      <w:lvlText w:val="(%1)"/>
      <w:numFmt w:val="lowerLetter"/>
      <w:start w:val="1"/>
    </w:lvl>
  </w:abstractNum>
  <w:abstractNum w:abstractNumId="26">
    <w:nsid w:val="14330624"/>
    <w:multiLevelType w:val="hybridMultilevel"/>
    <w:lvl w:ilvl="0">
      <w:lvlJc w:val="left"/>
      <w:lvlText w:val="(%1)"/>
      <w:numFmt w:val="lowerLetter"/>
      <w:start w:val="1"/>
    </w:lvl>
  </w:abstractNum>
  <w:abstractNum w:abstractNumId="27">
    <w:nsid w:val="7FFFCA11"/>
    <w:multiLevelType w:val="hybridMultilevel"/>
    <w:lvl w:ilvl="0">
      <w:lvlJc w:val="left"/>
      <w:lvlText w:val="(%1)"/>
      <w:numFmt w:val="lowerLetter"/>
      <w:start w:val="2"/>
    </w:lvl>
  </w:abstractNum>
  <w:abstractNum w:abstractNumId="28">
    <w:nsid w:val="1A27709E"/>
    <w:multiLevelType w:val="hybridMultilevel"/>
    <w:lvl w:ilvl="0">
      <w:lvlJc w:val="left"/>
      <w:lvlText w:val="%1"/>
      <w:numFmt w:val="lowerLetter"/>
      <w:start w:val="1"/>
    </w:lvl>
    <w:lvl w:ilvl="1">
      <w:lvlJc w:val="left"/>
      <w:lvlText w:val="(%2)"/>
      <w:numFmt w:val="lowerLetter"/>
      <w:start w:val="4"/>
    </w:lvl>
  </w:abstractNum>
  <w:abstractNum w:abstractNumId="29">
    <w:nsid w:val="71EA1109"/>
    <w:multiLevelType w:val="hybridMultilevel"/>
    <w:lvl w:ilvl="0">
      <w:lvlJc w:val="left"/>
      <w:lvlText w:val="(%1)"/>
      <w:numFmt w:val="lowerLetter"/>
      <w:start w:val="1"/>
    </w:lvl>
    <w:lvl w:ilvl="1">
      <w:lvlJc w:val="left"/>
      <w:lvlText w:val="%2"/>
      <w:numFmt w:val="lowerLetter"/>
      <w:start w:val="1"/>
    </w:lvl>
  </w:abstractNum>
  <w:abstractNum w:abstractNumId="30">
    <w:nsid w:val="100F59DC"/>
    <w:multiLevelType w:val="hybridMultilevel"/>
    <w:lvl w:ilvl="0">
      <w:lvlJc w:val="left"/>
      <w:lvlText w:val="(%1)"/>
      <w:numFmt w:val="lowerLetter"/>
      <w:start w:val="6"/>
    </w:lvl>
    <w:lvl w:ilvl="1">
      <w:lvlJc w:val="left"/>
      <w:lvlText w:val="(%2)"/>
      <w:numFmt w:val="lowerRoman"/>
      <w:start w:val="1"/>
    </w:lvl>
  </w:abstractNum>
  <w:abstractNum w:abstractNumId="31">
    <w:nsid w:val="7FB7E0AA"/>
    <w:multiLevelType w:val="hybridMultilevel"/>
    <w:lvl w:ilvl="0">
      <w:lvlJc w:val="left"/>
      <w:lvlText w:val="(%1)"/>
      <w:numFmt w:val="lowerRoman"/>
      <w:start w:val="7"/>
    </w:lvl>
  </w:abstractNum>
  <w:abstractNum w:abstractNumId="32">
    <w:nsid w:val="6EB5BD4"/>
    <w:multiLevelType w:val="hybridMultilevel"/>
    <w:lvl w:ilvl="0">
      <w:lvlJc w:val="left"/>
      <w:lvlText w:val="(%1)"/>
      <w:numFmt w:val="lowerLetter"/>
      <w:start w:val="8"/>
    </w:lvl>
  </w:abstractNum>
  <w:abstractNum w:abstractNumId="33">
    <w:nsid w:val="6F6DD9AC"/>
    <w:multiLevelType w:val="hybridMultilevel"/>
    <w:lvl w:ilvl="0">
      <w:lvlJc w:val="left"/>
      <w:lvlText w:val="(%1)"/>
      <w:numFmt w:val="lowerLetter"/>
      <w:start w:val="10"/>
    </w:lvl>
  </w:abstractNum>
  <w:abstractNum w:abstractNumId="34">
    <w:nsid w:val="94211F2"/>
    <w:multiLevelType w:val="hybridMultilevel"/>
    <w:lvl w:ilvl="0">
      <w:lvlJc w:val="left"/>
      <w:lvlText w:val="(%1)"/>
      <w:numFmt w:val="lowerRoman"/>
      <w:start w:val="1"/>
    </w:lvl>
  </w:abstractNum>
  <w:abstractNum w:abstractNumId="35">
    <w:nsid w:val="885E1B"/>
    <w:multiLevelType w:val="hybridMultilevel"/>
    <w:lvl w:ilvl="0">
      <w:lvlJc w:val="left"/>
      <w:lvlText w:val="(%1)"/>
      <w:numFmt w:val="lowerRoman"/>
      <w:start w:val="3"/>
    </w:lvl>
  </w:abstractNum>
  <w:abstractNum w:abstractNumId="36">
    <w:nsid w:val="76272110"/>
    <w:multiLevelType w:val="hybridMultilevel"/>
    <w:lvl w:ilvl="0">
      <w:lvlJc w:val="left"/>
      <w:lvlText w:val="(%1)"/>
      <w:numFmt w:val="lowerLetter"/>
      <w:start w:val="2"/>
    </w:lvl>
  </w:abstractNum>
  <w:abstractNum w:abstractNumId="37">
    <w:nsid w:val="4C04A8AF"/>
    <w:multiLevelType w:val="hybridMultilevel"/>
    <w:lvl w:ilvl="0">
      <w:lvlJc w:val="left"/>
      <w:lvlText w:val="(%1)"/>
      <w:numFmt w:val="lowerLetter"/>
      <w:start w:val="5"/>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1)"/>
      <w:numFmt w:val="lowerLetter"/>
      <w:start w:val="1"/>
    </w:lvl>
  </w:abstractNum>
  <w:abstractNum w:abstractNumId="40">
    <w:nsid w:val="3222E7CD"/>
    <w:multiLevelType w:val="hybridMultilevel"/>
    <w:lvl w:ilvl="0">
      <w:lvlJc w:val="left"/>
      <w:lvlText w:val="(%1)"/>
      <w:numFmt w:val="lowerLetter"/>
      <w:start w:val="2"/>
    </w:lvl>
  </w:abstractNum>
  <w:abstractNum w:abstractNumId="41">
    <w:nsid w:val="74DE0EE3"/>
    <w:multiLevelType w:val="hybridMultilevel"/>
    <w:lvl w:ilvl="0">
      <w:lvlJc w:val="left"/>
      <w:lvlText w:val="(%1)"/>
      <w:numFmt w:val="lowerLetter"/>
      <w:start w:val="1"/>
    </w:lvl>
  </w:abstractNum>
  <w:abstractNum w:abstractNumId="42">
    <w:nsid w:val="68EBC550"/>
    <w:multiLevelType w:val="hybridMultilevel"/>
    <w:lvl w:ilvl="0">
      <w:lvlJc w:val="left"/>
      <w:lvlText w:val="(%1)"/>
      <w:numFmt w:val="lowerLetter"/>
      <w:start w:val="3"/>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1)"/>
      <w:numFmt w:val="lowerRoman"/>
      <w:start w:val="1"/>
    </w:lvl>
  </w:abstractNum>
  <w:abstractNum w:abstractNumId="45">
    <w:nsid w:val="4A2AC315"/>
    <w:multiLevelType w:val="hybridMultilevel"/>
    <w:lvl w:ilvl="0">
      <w:lvlJc w:val="left"/>
      <w:lvlText w:val="(%1)"/>
      <w:numFmt w:val="lowerLetter"/>
      <w:start w:val="2"/>
    </w:lvl>
  </w:abstractNum>
  <w:abstractNum w:abstractNumId="46">
    <w:nsid w:val="39EE015C"/>
    <w:multiLevelType w:val="hybridMultilevel"/>
    <w:lvl w:ilvl="0">
      <w:lvlJc w:val="left"/>
      <w:lvlText w:val="(%1)"/>
      <w:numFmt w:val="lowerLetter"/>
      <w:start w:val="1"/>
    </w:lvl>
  </w:abstractNum>
  <w:abstractNum w:abstractNumId="47">
    <w:nsid w:val="57FC4FBB"/>
    <w:multiLevelType w:val="hybridMultilevel"/>
    <w:lvl w:ilvl="0">
      <w:lvlJc w:val="left"/>
      <w:lvlText w:val="(%1)"/>
      <w:numFmt w:val="lowerLetter"/>
      <w:start w:val="2"/>
    </w:lvl>
  </w:abstractNum>
  <w:abstractNum w:abstractNumId="48">
    <w:nsid w:val="CC1016F"/>
    <w:multiLevelType w:val="hybridMultilevel"/>
    <w:lvl w:ilvl="0">
      <w:lvlJc w:val="left"/>
      <w:lvlText w:val="(%1)"/>
      <w:numFmt w:val="lowerLetter"/>
      <w:start w:val="1"/>
    </w:lvl>
    <w:lvl w:ilvl="1">
      <w:lvlJc w:val="left"/>
      <w:lvlText w:val="(%2)"/>
      <w:numFmt w:val="lowerLetter"/>
      <w:start w:val="9"/>
    </w:lvl>
  </w:abstractNum>
  <w:abstractNum w:abstractNumId="49">
    <w:nsid w:val="43F18422"/>
    <w:multiLevelType w:val="hybridMultilevel"/>
    <w:lvl w:ilvl="0">
      <w:lvlJc w:val="left"/>
      <w:lvlText w:val="%1"/>
      <w:numFmt w:val="lowerLetter"/>
      <w:start w:val="1"/>
    </w:lvl>
    <w:lvl w:ilvl="1">
      <w:lvlJc w:val="left"/>
      <w:lvlText w:val="(%2)"/>
      <w:numFmt w:val="lowerLetter"/>
      <w:start w:val="35"/>
    </w:lvl>
  </w:abstractNum>
  <w:abstractNum w:abstractNumId="50">
    <w:nsid w:val="60EF0119"/>
    <w:multiLevelType w:val="hybridMultilevel"/>
    <w:lvl w:ilvl="0">
      <w:lvlJc w:val="left"/>
      <w:lvlText w:val="(%1)"/>
      <w:numFmt w:val="lowerLetter"/>
      <w:start w:val="5"/>
    </w:lvl>
    <w:lvl w:ilvl="1">
      <w:lvlJc w:val="left"/>
      <w:lvlText w:val="%2"/>
      <w:numFmt w:val="lowerLetter"/>
      <w:start w:val="1"/>
    </w:lvl>
  </w:abstractNum>
  <w:abstractNum w:abstractNumId="51">
    <w:nsid w:val="26F324BA"/>
    <w:multiLevelType w:val="hybridMultilevel"/>
    <w:lvl w:ilvl="0">
      <w:lvlJc w:val="left"/>
      <w:lvlText w:val="(%1)"/>
      <w:numFmt w:val="lowerLetter"/>
      <w:start w:val="1"/>
    </w:lvl>
  </w:abstractNum>
  <w:abstractNum w:abstractNumId="52">
    <w:nsid w:val="7F01579B"/>
    <w:multiLevelType w:val="hybridMultilevel"/>
    <w:lvl w:ilvl="0">
      <w:lvlJc w:val="left"/>
      <w:lvlText w:val="(%1)"/>
      <w:numFmt w:val="lowerLetter"/>
      <w:start w:val="4"/>
    </w:lvl>
    <w:lvl w:ilvl="1">
      <w:lvlJc w:val="left"/>
      <w:lvlText w:val="(%2)"/>
      <w:numFmt w:val="lowerRoman"/>
      <w:start w:val="1"/>
    </w:lvl>
  </w:abstractNum>
  <w:abstractNum w:abstractNumId="53">
    <w:nsid w:val="49DA307D"/>
    <w:multiLevelType w:val="hybridMultilevel"/>
    <w:lvl w:ilvl="0">
      <w:lvlJc w:val="left"/>
      <w:lvlText w:val="%1"/>
      <w:numFmt w:val="upperLetter"/>
      <w:start w:val="1"/>
    </w:lvl>
    <w:lvl w:ilvl="1">
      <w:lvlJc w:val="left"/>
      <w:lvlText w:val="(%2)"/>
      <w:numFmt w:val="lowerLetter"/>
      <w:start w:val="1"/>
    </w:lvl>
  </w:abstractNum>
  <w:abstractNum w:abstractNumId="54">
    <w:nsid w:val="7055A5F5"/>
    <w:multiLevelType w:val="hybridMultilevel"/>
    <w:lvl w:ilvl="0">
      <w:lvlJc w:val="left"/>
      <w:lvlText w:val="(%1)"/>
      <w:numFmt w:val="upperLetter"/>
      <w:start w:val="2"/>
    </w:lvl>
    <w:lvl w:ilvl="1">
      <w:lvlJc w:val="left"/>
      <w:lvlText w:val="(%2)"/>
      <w:numFmt w:val="lowerLetter"/>
      <w:start w:val="2"/>
    </w:lvl>
  </w:abstractNum>
  <w:abstractNum w:abstractNumId="55">
    <w:nsid w:val="5FB8370B"/>
    <w:multiLevelType w:val="hybridMultilevel"/>
    <w:lvl w:ilvl="0">
      <w:lvlJc w:val="left"/>
      <w:lvlText w:val="(%1)"/>
      <w:numFmt w:val="lowerLetter"/>
      <w:start w:val="1"/>
    </w:lvl>
  </w:abstractNum>
  <w:abstractNum w:abstractNumId="56">
    <w:nsid w:val="50801EE1"/>
    <w:multiLevelType w:val="hybridMultilevel"/>
    <w:lvl w:ilvl="0">
      <w:lvlJc w:val="left"/>
      <w:lvlText w:val="(%1)"/>
      <w:numFmt w:val="lowerLetter"/>
      <w:start w:val="2"/>
    </w:lvl>
  </w:abstractNum>
  <w:abstractNum w:abstractNumId="57">
    <w:nsid w:val="488AC1A"/>
    <w:multiLevelType w:val="hybridMultilevel"/>
    <w:lvl w:ilvl="0">
      <w:lvlJc w:val="left"/>
      <w:lvlText w:val="(%1)"/>
      <w:numFmt w:val="lowerLetter"/>
      <w:start w:val="1"/>
    </w:lvl>
  </w:abstractNum>
  <w:abstractNum w:abstractNumId="58">
    <w:nsid w:val="5FB8011C"/>
    <w:multiLevelType w:val="hybridMultilevel"/>
    <w:lvl w:ilvl="0">
      <w:lvlJc w:val="left"/>
      <w:lvlText w:val="(%1)"/>
      <w:numFmt w:val="lowerRoman"/>
      <w:start w:val="1"/>
    </w:lvl>
  </w:abstractNum>
  <w:abstractNum w:abstractNumId="59">
    <w:nsid w:val="6AA78F7F"/>
    <w:multiLevelType w:val="hybridMultilevel"/>
    <w:lvl w:ilvl="0">
      <w:lvlJc w:val="left"/>
      <w:lvlText w:val="(%1)"/>
      <w:numFmt w:val="lowerRoman"/>
      <w:start w:val="3"/>
    </w:lvl>
  </w:abstractNum>
  <w:abstractNum w:abstractNumId="60">
    <w:nsid w:val="7672BD23"/>
    <w:multiLevelType w:val="hybridMultilevel"/>
    <w:lvl w:ilvl="0">
      <w:lvlJc w:val="left"/>
      <w:lvlText w:val="(%1)"/>
      <w:numFmt w:val="lowerLetter"/>
      <w:start w:val="2"/>
    </w:lvl>
  </w:abstractNum>
  <w:abstractNum w:abstractNumId="61">
    <w:nsid w:val="6FC75AF8"/>
    <w:multiLevelType w:val="hybridMultilevel"/>
    <w:lvl w:ilvl="0">
      <w:lvlJc w:val="left"/>
      <w:lvlText w:val="(%1)"/>
      <w:numFmt w:val="lowerLetter"/>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1)"/>
      <w:numFmt w:val="lowerLetter"/>
      <w:start w:val="1"/>
    </w:lvl>
    <w:lvl w:ilvl="1">
      <w:lvlJc w:val="left"/>
      <w:lvlText w:val="(%2)"/>
      <w:numFmt w:val="lowerLetter"/>
      <w:start w:val="9"/>
    </w:lvl>
  </w:abstractNum>
  <w:abstractNum w:abstractNumId="64">
    <w:nsid w:val="5F3534A4"/>
    <w:multiLevelType w:val="hybridMultilevel"/>
    <w:lvl w:ilvl="0">
      <w:lvlJc w:val="left"/>
      <w:lvlText w:val="%1"/>
      <w:numFmt w:val="lowerLetter"/>
      <w:start w:val="1"/>
    </w:lvl>
    <w:lvl w:ilvl="1">
      <w:lvlJc w:val="left"/>
      <w:lvlText w:val="(%2)"/>
      <w:numFmt w:val="lowerRoman"/>
      <w:start w:val="2"/>
    </w:lvl>
  </w:abstractNum>
  <w:abstractNum w:abstractNumId="65">
    <w:nsid w:val="73A1821B"/>
    <w:multiLevelType w:val="hybridMultilevel"/>
    <w:lvl w:ilvl="0">
      <w:lvlJc w:val="left"/>
      <w:lvlText w:val="(%1)"/>
      <w:numFmt w:val="lowerLetter"/>
      <w:start w:val="2"/>
    </w:lvl>
    <w:lvl w:ilvl="1">
      <w:lvlJc w:val="left"/>
      <w:lvlText w:val="%2"/>
      <w:numFmt w:val="lowerRoman"/>
      <w:start w:val="1"/>
    </w:lvl>
  </w:abstractNum>
  <w:abstractNum w:abstractNumId="66">
    <w:nsid w:val="7DE67713"/>
    <w:multiLevelType w:val="hybridMultilevel"/>
    <w:lvl w:ilvl="0">
      <w:lvlJc w:val="left"/>
      <w:lvlText w:val="(%1)"/>
      <w:numFmt w:val="lowerLetter"/>
      <w:start w:val="5"/>
    </w:lvl>
  </w:abstractNum>
  <w:abstractNum w:abstractNumId="67">
    <w:nsid w:val="555C55B5"/>
    <w:multiLevelType w:val="hybridMultilevel"/>
    <w:lvl w:ilvl="0">
      <w:lvlJc w:val="left"/>
      <w:lvlText w:val="(%1)"/>
      <w:numFmt w:val="lowerLetter"/>
      <w:start w:val="1"/>
    </w:lvl>
  </w:abstractNum>
  <w:abstractNum w:abstractNumId="68">
    <w:nsid w:val="3FA62ACA"/>
    <w:multiLevelType w:val="hybridMultilevel"/>
    <w:lvl w:ilvl="0">
      <w:lvlJc w:val="left"/>
      <w:lvlText w:val="(%1)"/>
      <w:numFmt w:val="lowerLetter"/>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1"/>
    </w:lvl>
  </w:abstractNum>
  <w:abstractNum w:abstractNumId="71">
    <w:nsid w:val="71C91298"/>
    <w:multiLevelType w:val="hybridMultilevel"/>
    <w:lvl w:ilvl="0">
      <w:lvlJc w:val="left"/>
      <w:lvlText w:val="(%1)"/>
      <w:numFmt w:val="lowerLetter"/>
      <w:start w:val="2"/>
    </w:lvl>
  </w:abstractNum>
  <w:abstractNum w:abstractNumId="72">
    <w:nsid w:val="9DAF632"/>
    <w:multiLevelType w:val="hybridMultilevel"/>
    <w:lvl w:ilvl="0">
      <w:lvlJc w:val="left"/>
      <w:lvlText w:val="(%1)"/>
      <w:numFmt w:val="lowerLetter"/>
      <w:start w:val="3"/>
    </w:lvl>
  </w:abstractNum>
  <w:abstractNum w:abstractNumId="73">
    <w:nsid w:val="53299938"/>
    <w:multiLevelType w:val="hybridMultilevel"/>
    <w:lvl w:ilvl="0">
      <w:lvlJc w:val="left"/>
      <w:lvlText w:val="%1"/>
      <w:numFmt w:val="lowerLetter"/>
      <w:start w:val="1"/>
    </w:lvl>
    <w:lvl w:ilvl="1">
      <w:lvlJc w:val="left"/>
      <w:lvlText w:val="(%2)"/>
      <w:numFmt w:val="lowerLetter"/>
      <w:start w:val="1"/>
    </w:lvl>
  </w:abstractNum>
  <w:abstractNum w:abstractNumId="74">
    <w:nsid w:val="1FBFE8E0"/>
    <w:multiLevelType w:val="hybridMultilevel"/>
    <w:lvl w:ilvl="0">
      <w:lvlJc w:val="left"/>
      <w:lvlText w:val="(%1)"/>
      <w:numFmt w:val="lowerLetter"/>
      <w:start w:val="25"/>
    </w:lvl>
    <w:lvl w:ilvl="1">
      <w:lvlJc w:val="left"/>
      <w:lvlText w:val="%2"/>
      <w:numFmt w:val="lowerLetter"/>
      <w:start w:val="1"/>
    </w:lvl>
  </w:abstractNum>
  <w:abstractNum w:abstractNumId="75">
    <w:nsid w:val="5092CA79"/>
    <w:multiLevelType w:val="hybridMultilevel"/>
    <w:lvl w:ilvl="0">
      <w:lvlJc w:val="left"/>
      <w:lvlText w:val="(%1)"/>
      <w:numFmt w:val="lowerLetter"/>
      <w:start w:val="1"/>
    </w:lvl>
  </w:abstractNum>
  <w:abstractNum w:abstractNumId="76">
    <w:nsid w:val="1D545C4D"/>
    <w:multiLevelType w:val="hybridMultilevel"/>
    <w:lvl w:ilvl="0">
      <w:lvlJc w:val="left"/>
      <w:lvlText w:val="(%1)"/>
      <w:numFmt w:val="lowerLetter"/>
      <w:start w:val="2"/>
    </w:lvl>
  </w:abstractNum>
  <w:abstractNum w:abstractNumId="77">
    <w:nsid w:val="59ADEA3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78">
    <w:nsid w:val="288F1A34"/>
    <w:multiLevelType w:val="hybridMultilevel"/>
    <w:lvl w:ilvl="0">
      <w:lvlJc w:val="left"/>
      <w:lvlText w:val="(%1)"/>
      <w:numFmt w:val="lowerRoman"/>
      <w:start w:val="1"/>
    </w:lvl>
  </w:abstractNum>
  <w:abstractNum w:abstractNumId="79">
    <w:nsid w:val="2A155DBC"/>
    <w:multiLevelType w:val="hybridMultilevel"/>
    <w:lvl w:ilvl="0">
      <w:lvlJc w:val="left"/>
      <w:lvlText w:val="(%1)"/>
      <w:numFmt w:val="upperLetter"/>
      <w:start w:val="1"/>
    </w:lvl>
  </w:abstractNum>
  <w:abstractNum w:abstractNumId="80">
    <w:nsid w:val="1D9F6E5F"/>
    <w:multiLevelType w:val="hybridMultilevel"/>
    <w:lvl w:ilvl="0">
      <w:lvlJc w:val="left"/>
      <w:lvlText w:val="(%1)"/>
      <w:numFmt w:val="lowerLetter"/>
      <w:start w:val="2"/>
    </w:lvl>
  </w:abstractNum>
  <w:abstractNum w:abstractNumId="81">
    <w:nsid w:val="97E1B4E"/>
    <w:multiLevelType w:val="hybridMultilevel"/>
    <w:lvl w:ilvl="0">
      <w:lvlJc w:val="left"/>
      <w:lvlText w:val="(%1)"/>
      <w:numFmt w:val="lowerLetter"/>
      <w:start w:val="8"/>
    </w:lvl>
  </w:abstractNum>
  <w:abstractNum w:abstractNumId="82">
    <w:nsid w:val="51088277"/>
    <w:multiLevelType w:val="hybridMultilevel"/>
    <w:lvl w:ilvl="0">
      <w:lvlJc w:val="left"/>
      <w:lvlText w:val="(%1)"/>
      <w:numFmt w:val="lowerLetter"/>
      <w:start w:val="1"/>
    </w:lvl>
    <w:lvl w:ilvl="1">
      <w:lvlJc w:val="left"/>
      <w:lvlText w:val="(%2)"/>
      <w:numFmt w:val="lowerRoman"/>
      <w:start w:val="1"/>
    </w:lvl>
  </w:abstractNum>
  <w:abstractNum w:abstractNumId="83">
    <w:nsid w:val="1CA0C5FA"/>
    <w:multiLevelType w:val="hybridMultilevel"/>
    <w:lvl w:ilvl="0">
      <w:lvlJc w:val="left"/>
      <w:lvlText w:val="%1"/>
      <w:numFmt w:val="lowerLetter"/>
      <w:start w:val="1"/>
    </w:lvl>
    <w:lvl w:ilvl="1">
      <w:lvlJc w:val="left"/>
      <w:lvlText w:val="(%2)"/>
      <w:numFmt w:val="lowerLetter"/>
      <w:start w:val="61"/>
    </w:lvl>
  </w:abstractNum>
  <w:abstractNum w:abstractNumId="84">
    <w:nsid w:val="53584BCB"/>
    <w:multiLevelType w:val="hybridMultilevel"/>
    <w:lvl w:ilvl="0">
      <w:lvlJc w:val="left"/>
      <w:lvlText w:val="(%1)"/>
      <w:numFmt w:val="lowerLetter"/>
      <w:start w:val="3"/>
    </w:lvl>
    <w:lvl w:ilvl="1">
      <w:lvlJc w:val="left"/>
      <w:lvlText w:val="%2"/>
      <w:numFmt w:val="lowerLetter"/>
      <w:start w:val="1"/>
    </w:lvl>
  </w:abstractNum>
  <w:abstractNum w:abstractNumId="85">
    <w:nsid w:val="415E286C"/>
    <w:multiLevelType w:val="hybridMultilevel"/>
    <w:lvl w:ilvl="0">
      <w:lvlJc w:val="left"/>
      <w:lvlText w:val="(%1)"/>
      <w:numFmt w:val="lowerLetter"/>
      <w:start w:val="2"/>
    </w:lvl>
  </w:abstractNum>
  <w:abstractNum w:abstractNumId="86">
    <w:nsid w:val="7C58FD05"/>
    <w:multiLevelType w:val="hybridMultilevel"/>
    <w:lvl w:ilvl="0">
      <w:lvlJc w:val="left"/>
      <w:lvlText w:val="(%1)"/>
      <w:numFmt w:val="lowerLetter"/>
      <w:start w:val="1"/>
    </w:lvl>
  </w:abstractNum>
  <w:abstractNum w:abstractNumId="87">
    <w:nsid w:val="23D86AAC"/>
    <w:multiLevelType w:val="hybridMultilevel"/>
    <w:lvl w:ilvl="0">
      <w:lvlJc w:val="left"/>
      <w:lvlText w:val="(%1)"/>
      <w:numFmt w:val="lowerLetter"/>
      <w:start w:val="4"/>
    </w:lvl>
  </w:abstractNum>
  <w:abstractNum w:abstractNumId="88">
    <w:nsid w:val="45E6D486"/>
    <w:multiLevelType w:val="hybridMultilevel"/>
    <w:lvl w:ilvl="0">
      <w:lvlJc w:val="left"/>
      <w:lvlText w:val="(%1)"/>
      <w:numFmt w:val="lowerRoman"/>
      <w:start w:val="6"/>
    </w:lvl>
  </w:abstractNum>
  <w:abstractNum w:abstractNumId="89">
    <w:nsid w:val="5C10FE21"/>
    <w:multiLevelType w:val="hybridMultilevel"/>
    <w:lvl w:ilvl="0">
      <w:lvlJc w:val="left"/>
      <w:lvlText w:val="%1"/>
      <w:numFmt w:val="lowerLetter"/>
      <w:start w:val="1"/>
    </w:lvl>
    <w:lvl w:ilvl="1">
      <w:lvlJc w:val="left"/>
      <w:lvlText w:val="(%2)"/>
      <w:numFmt w:val="lowerLetter"/>
      <w:start w:val="1"/>
    </w:lvl>
  </w:abstractNum>
  <w:abstractNum w:abstractNumId="90">
    <w:nsid w:val="E7FFA2B"/>
    <w:multiLevelType w:val="hybridMultilevel"/>
    <w:lvl w:ilvl="0">
      <w:lvlJc w:val="left"/>
      <w:lvlText w:val="(%1)"/>
      <w:numFmt w:val="lowerLetter"/>
      <w:start w:val="9"/>
    </w:lvl>
    <w:lvl w:ilvl="1">
      <w:lvlJc w:val="left"/>
      <w:lvlText w:val="%2"/>
      <w:numFmt w:val="lowerLetter"/>
      <w:start w:val="1"/>
    </w:lvl>
  </w:abstractNum>
  <w:abstractNum w:abstractNumId="91">
    <w:nsid w:val="3C5991AA"/>
    <w:multiLevelType w:val="hybridMultilevel"/>
    <w:lvl w:ilvl="0">
      <w:lvlJc w:val="left"/>
      <w:lvlText w:val="(%1)"/>
      <w:numFmt w:val="lowerLetter"/>
      <w:start w:val="2"/>
    </w:lvl>
  </w:abstractNum>
  <w:abstractNum w:abstractNumId="92">
    <w:nsid w:val="4BD8591A"/>
    <w:multiLevelType w:val="hybridMultilevel"/>
    <w:lvl w:ilvl="0">
      <w:lvlJc w:val="left"/>
      <w:lvlText w:val="(%1)"/>
      <w:numFmt w:val="lowerLetter"/>
      <w:start w:val="4"/>
    </w:lvl>
  </w:abstractNum>
  <w:abstractNum w:abstractNumId="93">
    <w:nsid w:val="78DF6A55"/>
    <w:multiLevelType w:val="hybridMultilevel"/>
    <w:lvl w:ilvl="0">
      <w:lvlJc w:val="left"/>
      <w:lvlText w:val="(%1)"/>
      <w:numFmt w:val="lowerLetter"/>
      <w:start w:val="5"/>
    </w:lvl>
    <w:lvl w:ilvl="1">
      <w:lvlJc w:val="left"/>
      <w:lvlText w:val="(%2)"/>
      <w:numFmt w:val="lowerRoman"/>
      <w:start w:val="1"/>
    </w:lvl>
  </w:abstractNum>
  <w:abstractNum w:abstractNumId="94">
    <w:nsid w:val="39B7AAA2"/>
    <w:multiLevelType w:val="hybridMultilevel"/>
    <w:lvl w:ilvl="0">
      <w:lvlJc w:val="left"/>
      <w:lvlText w:val="(%1)"/>
      <w:numFmt w:val="lowerLetter"/>
      <w:start w:val="1"/>
    </w:lvl>
  </w:abstractNum>
  <w:abstractNum w:abstractNumId="95">
    <w:nsid w:val="2B0D8DBE"/>
    <w:multiLevelType w:val="hybridMultilevel"/>
    <w:lvl w:ilvl="0">
      <w:lvlJc w:val="left"/>
      <w:lvlText w:val="(%1)"/>
      <w:numFmt w:val="lowerLetter"/>
      <w:start w:val="3"/>
    </w:lvl>
  </w:abstractNum>
  <w:abstractNum w:abstractNumId="96">
    <w:nsid w:val="6C80EC70"/>
    <w:multiLevelType w:val="hybridMultilevel"/>
    <w:lvl w:ilvl="0">
      <w:lvlJc w:val="left"/>
      <w:lvlText w:val="(%1)"/>
      <w:numFmt w:val="lowerLetter"/>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1)"/>
      <w:numFmt w:val="lowerLetter"/>
      <w:start w:val="4"/>
    </w:lvl>
  </w:abstractNum>
  <w:abstractNum w:abstractNumId="99">
    <w:nsid w:val="2C27173B"/>
    <w:multiLevelType w:val="hybridMultilevel"/>
    <w:lvl w:ilvl="0">
      <w:lvlJc w:val="left"/>
      <w:lvlText w:val="(%1)"/>
      <w:numFmt w:val="lowerLetter"/>
      <w:start w:val="1"/>
    </w:lvl>
  </w:abstractNum>
  <w:abstractNum w:abstractNumId="100">
    <w:nsid w:val="4C9B0904"/>
    <w:multiLevelType w:val="hybridMultilevel"/>
    <w:lvl w:ilvl="0">
      <w:lvlJc w:val="left"/>
      <w:lvlText w:val="(%1)"/>
      <w:numFmt w:val="lowerLetter"/>
      <w:start w:val="9"/>
    </w:lvl>
    <w:lvl w:ilvl="1">
      <w:lvlJc w:val="left"/>
      <w:lvlText w:val="(%2)"/>
      <w:numFmt w:val="lowerLetter"/>
      <w:start w:val="2"/>
    </w:lvl>
  </w:abstractNum>
  <w:abstractNum w:abstractNumId="101">
    <w:nsid w:val="6AA7B75C"/>
    <w:multiLevelType w:val="hybridMultilevel"/>
    <w:lvl w:ilvl="0">
      <w:lvlJc w:val="left"/>
      <w:lvlText w:val="(%1)"/>
      <w:numFmt w:val="lowerLetter"/>
      <w:start w:val="1"/>
    </w:lvl>
  </w:abstractNum>
  <w:abstractNum w:abstractNumId="102">
    <w:nsid w:val="1DF029D3"/>
    <w:multiLevelType w:val="hybridMultilevel"/>
    <w:lvl w:ilvl="0">
      <w:lvlJc w:val="left"/>
      <w:lvlText w:val="(%1)"/>
      <w:numFmt w:val="lowerLetter"/>
      <w:start w:val="2"/>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Roman"/>
      <w:start w:val="1"/>
    </w:lvl>
  </w:abstractNum>
  <w:abstractNum w:abstractNumId="105">
    <w:nsid w:val="3DB012B3"/>
    <w:multiLevelType w:val="hybridMultilevel"/>
    <w:lvl w:ilvl="0">
      <w:lvlJc w:val="left"/>
      <w:lvlText w:val="(%1)"/>
      <w:numFmt w:val="lowerRoman"/>
      <w:start w:val="3"/>
    </w:lvl>
  </w:abstractNum>
  <w:abstractNum w:abstractNumId="106">
    <w:nsid w:val="2708C9AF"/>
    <w:multiLevelType w:val="hybridMultilevel"/>
    <w:lvl w:ilvl="0">
      <w:lvlJc w:val="left"/>
      <w:lvlText w:val="(%1)"/>
      <w:numFmt w:val="lowerLetter"/>
      <w:start w:val="1"/>
    </w:lvl>
  </w:abstractNum>
  <w:abstractNum w:abstractNumId="107">
    <w:nsid w:val="5B25ACE2"/>
    <w:multiLevelType w:val="hybridMultilevel"/>
    <w:lvl w:ilvl="0">
      <w:lvlJc w:val="left"/>
      <w:lvlText w:val="(%1)"/>
      <w:numFmt w:val="lowerLetter"/>
      <w:start w:val="1"/>
    </w:lvl>
    <w:lvl w:ilvl="1">
      <w:lvlJc w:val="left"/>
      <w:lvlText w:val="(%2)"/>
      <w:numFmt w:val="lowerRoman"/>
      <w:start w:val="1"/>
    </w:lvl>
  </w:abstractNum>
  <w:abstractNum w:abstractNumId="108">
    <w:nsid w:val="175DFCF0"/>
    <w:multiLevelType w:val="hybridMultilevel"/>
    <w:lvl w:ilvl="0">
      <w:lvlJc w:val="left"/>
      <w:lvlText w:val="%1."/>
      <w:numFmt w:val="decimal"/>
      <w:start w:val="1"/>
    </w:lvl>
  </w:abstractNum>
  <w:abstractNum w:abstractNumId="109">
    <w:nsid w:val="4F97E3E4"/>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
    </w:lvl>
  </w:abstractNum>
  <w:abstractNum w:abstractNumId="110">
    <w:nsid w:val="53B0A9E"/>
    <w:multiLevelType w:val="hybridMultilevel"/>
    <w:lvl w:ilvl="0">
      <w:lvlJc w:val="left"/>
      <w:lvlText w:val="(%1)"/>
      <w:numFmt w:val="lowerLetter"/>
      <w:start w:val="2"/>
    </w:lvl>
  </w:abstractNum>
  <w:abstractNum w:abstractNumId="111">
    <w:nsid w:val="34FD6B4F"/>
    <w:multiLevelType w:val="hybridMultilevel"/>
    <w:lvl w:ilvl="0">
      <w:lvlJc w:val="left"/>
      <w:lvlText w:val="(%1)"/>
      <w:numFmt w:val="lowerLetter"/>
      <w:start w:val="2"/>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lowerLetter"/>
      <w:start w:val="6"/>
    </w:lvl>
  </w:abstractNum>
  <w:abstractNum w:abstractNumId="114">
    <w:nsid w:val="519E3149"/>
    <w:multiLevelType w:val="hybridMultilevel"/>
    <w:lvl w:ilvl="0">
      <w:lvlJc w:val="left"/>
      <w:lvlText w:val="(%1)"/>
      <w:numFmt w:val="lowerLetter"/>
      <w:start w:val="1"/>
    </w:lvl>
  </w:abstractNum>
  <w:abstractNum w:abstractNumId="115">
    <w:nsid w:val="2C6E4AFD"/>
    <w:multiLevelType w:val="hybridMultilevel"/>
    <w:lvl w:ilvl="0">
      <w:lvlJc w:val="left"/>
      <w:lvlText w:val="%1."/>
      <w:numFmt w:val="decimal"/>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1"/>
      <w:numFmt w:val="bullet"/>
      <w:start w:val="1"/>
    </w:lvl>
  </w:abstractNum>
  <w:abstractNum w:abstractNumId="118">
    <w:nsid w:val="5046B5A9"/>
    <w:multiLevelType w:val="hybridMultilevel"/>
    <w:lvl w:ilvl="0">
      <w:lvlJc w:val="left"/>
      <w:lvlText w:val="2"/>
      <w:numFmt w:val="bullet"/>
      <w:start w:val="1"/>
    </w:lvl>
  </w:abstractNum>
  <w:abstractNum w:abstractNumId="119">
    <w:nsid w:val="5D888A08"/>
    <w:multiLevelType w:val="hybridMultilevel"/>
    <w:lvl w:ilvl="0">
      <w:lvlJc w:val="left"/>
      <w:lvlText w:val="3"/>
      <w:numFmt w:val="bullet"/>
      <w:start w:val="1"/>
    </w:lvl>
  </w:abstractNum>
  <w:abstractNum w:abstractNumId="120">
    <w:nsid w:val="2A082C70"/>
    <w:multiLevelType w:val="hybridMultilevel"/>
    <w:lvl w:ilvl="0">
      <w:lvlJc w:val="left"/>
      <w:lvlText w:val="%1."/>
      <w:numFmt w:val="decimal"/>
      <w:start w:val="1"/>
    </w:lvl>
  </w:abstractNum>
  <w:abstractNum w:abstractNumId="121">
    <w:nsid w:val="5EC6AFD4"/>
    <w:multiLevelType w:val="hybridMultilevel"/>
    <w:lvl w:ilvl="0">
      <w:lvlJc w:val="left"/>
      <w:lvlText w:val="%1."/>
      <w:numFmt w:val="decimal"/>
      <w:start w:val="1"/>
    </w:lvl>
  </w:abstractNum>
  <w:abstractNum w:abstractNumId="122">
    <w:nsid w:val="19E21BB2"/>
    <w:multiLevelType w:val="hybridMultilevel"/>
    <w:lvl w:ilvl="0">
      <w:lvlJc w:val="left"/>
      <w:lvlText w:val="%1."/>
      <w:numFmt w:val="decimal"/>
      <w:start w:val="4"/>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decimal"/>
      <w:start w:val="6"/>
    </w:lvl>
  </w:abstractNum>
  <w:abstractNum w:abstractNumId="125">
    <w:nsid w:val="5399C654"/>
    <w:multiLevelType w:val="hybridMultilevel"/>
    <w:lvl w:ilvl="0">
      <w:lvlJc w:val="left"/>
      <w:lvlText w:val="4"/>
      <w:numFmt w:val="bullet"/>
      <w:start w:val="1"/>
    </w:lvl>
  </w:abstractNum>
  <w:abstractNum w:abstractNumId="126">
    <w:nsid w:val="20EE1348"/>
    <w:multiLevelType w:val="hybridMultilevel"/>
    <w:lvl w:ilvl="0">
      <w:lvlJc w:val="left"/>
      <w:lvlText w:val="5"/>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6"/>
      <w:numFmt w:val="bullet"/>
      <w:start w:val="1"/>
    </w:lvl>
  </w:abstractNum>
  <w:abstractNum w:abstractNumId="129">
    <w:nsid w:val="2157F6BC"/>
    <w:multiLevelType w:val="hybridMultilevel"/>
    <w:lvl w:ilvl="0">
      <w:lvlJc w:val="left"/>
      <w:lvlText w:val="7"/>
      <w:numFmt w:val="bullet"/>
      <w:start w:val="1"/>
    </w:lvl>
  </w:abstractNum>
  <w:abstractNum w:abstractNumId="130">
    <w:nsid w:val="704E1DD5"/>
    <w:multiLevelType w:val="hybridMultilevel"/>
    <w:lvl w:ilvl="0">
      <w:lvlJc w:val="left"/>
      <w:lvlText w:val="%1."/>
      <w:numFmt w:val="decimal"/>
      <w:start w:val="1"/>
    </w:lvl>
  </w:abstractNum>
  <w:abstractNum w:abstractNumId="131">
    <w:nsid w:val="57D2F10E"/>
    <w:multiLevelType w:val="hybridMultilevel"/>
    <w:lvl w:ilvl="0">
      <w:lvlJc w:val="left"/>
      <w:lvlText w:val="%1."/>
      <w:numFmt w:val="decimal"/>
      <w:start w:val="2"/>
    </w:lvl>
  </w:abstractNum>
  <w:abstractNum w:abstractNumId="132">
    <w:nsid w:val="BFFAE18"/>
    <w:multiLevelType w:val="hybridMultilevel"/>
    <w:lvl w:ilvl="0">
      <w:lvlJc w:val="left"/>
      <w:lvlText w:val="(%1)"/>
      <w:numFmt w:val="lowerLetter"/>
      <w:start w:val="5"/>
    </w:lvl>
  </w:abstractNum>
  <w:abstractNum w:abstractNumId="133">
    <w:nsid w:val="E3E47A8"/>
    <w:multiLevelType w:val="hybridMultilevel"/>
    <w:lvl w:ilvl="0">
      <w:lvlJc w:val="left"/>
      <w:lvlText w:val="8"/>
      <w:numFmt w:val="bullet"/>
      <w:start w:val="1"/>
    </w:lvl>
  </w:abstractNum>
  <w:abstractNum w:abstractNumId="134">
    <w:nsid w:val="2E48F044"/>
    <w:multiLevelType w:val="hybridMultilevel"/>
    <w:lvl w:ilvl="0">
      <w:lvlJc w:val="left"/>
      <w:lvlText w:val="(%1)"/>
      <w:numFmt w:val="lowerLetter"/>
      <w:start w:val="4"/>
    </w:lvl>
  </w:abstractNum>
  <w:abstractNum w:abstractNumId="135">
    <w:nsid w:val="49D0FEAC"/>
    <w:multiLevelType w:val="hybridMultilevel"/>
    <w:lvl w:ilvl="0">
      <w:lvlJc w:val="left"/>
      <w:lvlText w:val="9"/>
      <w:numFmt w:val="bullet"/>
      <w:start w:val="1"/>
    </w:lvl>
  </w:abstractNum>
  <w:abstractNum w:abstractNumId="136">
    <w:nsid w:val="4BEE5A5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2019-12-07T15:47:11Z</dcterms:created>
  <dcterms:modified xsi:type="dcterms:W3CDTF">2019-12-07T15:47:11Z</dcterms:modified>
</cp:coreProperties>
</file>