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1060"/>
          </w:cols>
          <w:pgMar w:left="240" w:top="250"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220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hours per response . . . 14.90</w:t>
      </w:r>
    </w:p>
    <w:p>
      <w:pPr>
        <w:spacing w:after="0" w:line="200" w:lineRule="exact"/>
        <w:rPr>
          <w:sz w:val="24"/>
          <w:szCs w:val="24"/>
          <w:color w:val="auto"/>
        </w:rPr>
      </w:pPr>
    </w:p>
    <w:p>
      <w:pPr>
        <w:sectPr>
          <w:pgSz w:w="11900" w:h="16838" w:orient="portrait"/>
          <w:cols w:equalWidth="0" w:num="2">
            <w:col w:w="7180" w:space="720"/>
            <w:col w:w="3160"/>
          </w:cols>
          <w:pgMar w:left="240" w:top="250" w:right="599" w:bottom="1440" w:gutter="0" w:footer="0" w:header="0"/>
          <w:type w:val="continuous"/>
        </w:sectPr>
      </w:pPr>
    </w:p>
    <w:p>
      <w:pPr>
        <w:spacing w:after="0" w:line="221"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1060"/>
          </w:cols>
          <w:pgMar w:left="240" w:top="250" w:right="599" w:bottom="1440" w:gutter="0" w:footer="0" w:header="0"/>
          <w:type w:val="continuous"/>
        </w:sectPr>
      </w:pPr>
    </w:p>
    <w:p>
      <w:pPr>
        <w:spacing w:after="0" w:line="224"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3 )*</w:t>
      </w:r>
    </w:p>
    <w:p>
      <w:pPr>
        <w:spacing w:after="0" w:line="16" w:lineRule="exact"/>
        <w:rPr>
          <w:sz w:val="24"/>
          <w:szCs w:val="24"/>
          <w:color w:val="auto"/>
        </w:rPr>
      </w:pPr>
    </w:p>
    <w:p>
      <w:pPr>
        <w:sectPr>
          <w:pgSz w:w="11900" w:h="16838" w:orient="portrait"/>
          <w:cols w:equalWidth="0" w:num="2">
            <w:col w:w="4740" w:space="220"/>
            <w:col w:w="6100"/>
          </w:cols>
          <w:pgMar w:left="240" w:top="250" w:right="599" w:bottom="1440" w:gutter="0" w:footer="0" w:header="0"/>
          <w:type w:val="continuous"/>
        </w:sectPr>
      </w:pPr>
    </w:p>
    <w:p>
      <w:pPr>
        <w:ind w:left="4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COMCAST</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720"/>
        <w:spacing w:after="0"/>
        <w:rPr>
          <w:sz w:val="20"/>
          <w:szCs w:val="20"/>
          <w:color w:val="auto"/>
        </w:rPr>
      </w:pPr>
      <w:r>
        <w:rPr>
          <w:rFonts w:ascii="Courier New" w:cs="Courier New" w:eastAsia="Courier New" w:hAnsi="Courier New"/>
          <w:sz w:val="18"/>
          <w:szCs w:val="18"/>
          <w:color w:val="auto"/>
        </w:rPr>
        <w:t>CLASS A</w:t>
      </w:r>
    </w:p>
    <w:p>
      <w:pPr>
        <w:jc w:val="center"/>
        <w:ind w:right="26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200300101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72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84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84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1 of 4 pages</w:t>
      </w:r>
    </w:p>
    <w:p>
      <w:pPr>
        <w:sectPr>
          <w:pgSz w:w="11900" w:h="16838" w:orient="portrait"/>
          <w:cols w:equalWidth="0" w:num="1">
            <w:col w:w="11060"/>
          </w:cols>
          <w:pgMar w:left="240" w:top="250" w:right="5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2</w:t>
            </w:r>
          </w:p>
        </w:tc>
        <w:tc>
          <w:tcPr>
            <w:tcW w:w="23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CUSIP No. 200300101</w:t>
            </w:r>
          </w:p>
        </w:tc>
        <w:tc>
          <w:tcPr>
            <w:tcW w:w="23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13G</w:t>
            </w:r>
          </w:p>
        </w:tc>
        <w:tc>
          <w:tcPr>
            <w:tcW w:w="2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Page 2 OF 4 PAGES</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740" w:right="4319" w:hanging="416"/>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INC.</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r>
      <w:tr>
        <w:trPr>
          <w:trHeight w:val="203"/>
        </w:trPr>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2</w:t>
            </w:r>
          </w:p>
        </w:tc>
        <w:tc>
          <w:tcPr>
            <w:tcW w:w="6700" w:type="dxa"/>
            <w:vAlign w:val="bottom"/>
          </w:tcPr>
          <w:p>
            <w:pPr>
              <w:ind w:left="5960"/>
              <w:spacing w:after="0" w:line="203" w:lineRule="exact"/>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6700" w:type="dxa"/>
            <w:vAlign w:val="bottom"/>
          </w:tcPr>
          <w:p>
            <w:pPr>
              <w:ind w:left="5960"/>
              <w:spacing w:after="0" w:line="203" w:lineRule="exact"/>
              <w:rPr>
                <w:sz w:val="20"/>
                <w:szCs w:val="20"/>
                <w:color w:val="auto"/>
              </w:rPr>
            </w:pPr>
            <w:r>
              <w:rPr>
                <w:rFonts w:ascii="Courier New" w:cs="Courier New" w:eastAsia="Courier New" w:hAnsi="Courier New"/>
                <w:sz w:val="18"/>
                <w:szCs w:val="18"/>
                <w:color w:val="auto"/>
                <w:w w:val="95"/>
              </w:rPr>
              <w:t>(b) [ ]</w:t>
            </w: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 USE ONLY</w:t>
      </w:r>
    </w:p>
    <w:p>
      <w:pPr>
        <w:ind w:left="320"/>
        <w:spacing w:after="0" w:line="238" w:lineRule="auto"/>
        <w:rPr>
          <w:sz w:val="20"/>
          <w:szCs w:val="20"/>
          <w:color w:val="auto"/>
        </w:rPr>
      </w:pPr>
      <w:r>
        <w:rPr>
          <w:rFonts w:ascii="Courier New" w:cs="Courier New" w:eastAsia="Courier New" w:hAnsi="Courier New"/>
          <w:sz w:val="18"/>
          <w:szCs w:val="18"/>
          <w:color w:val="auto"/>
        </w:rPr>
        <w:t>3</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line="238" w:lineRule="auto"/>
        <w:rPr>
          <w:sz w:val="20"/>
          <w:szCs w:val="20"/>
          <w:color w:val="auto"/>
        </w:rPr>
      </w:pPr>
      <w:r>
        <w:rPr>
          <w:rFonts w:ascii="Courier New" w:cs="Courier New" w:eastAsia="Courier New" w:hAnsi="Courier New"/>
          <w:sz w:val="18"/>
          <w:szCs w:val="18"/>
          <w:color w:val="auto"/>
        </w:rPr>
        <w:t>4</w:t>
      </w:r>
    </w:p>
    <w:tbl>
      <w:tblPr>
        <w:tblLayout w:type="fixed"/>
        <w:tblInd w:w="74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640" w:type="dxa"/>
            <w:vAlign w:val="bottom"/>
          </w:tcPr>
          <w:p>
            <w:pPr>
              <w:spacing w:after="0"/>
              <w:rPr>
                <w:sz w:val="17"/>
                <w:szCs w:val="17"/>
                <w:color w:val="auto"/>
              </w:rPr>
            </w:pPr>
          </w:p>
        </w:tc>
      </w:tr>
      <w:tr>
        <w:trPr>
          <w:trHeight w:val="405"/>
        </w:trPr>
        <w:tc>
          <w:tcPr>
            <w:tcW w:w="1840" w:type="dxa"/>
            <w:vAlign w:val="bottom"/>
          </w:tcPr>
          <w:p>
            <w:pPr>
              <w:spacing w:after="0"/>
              <w:rPr>
                <w:sz w:val="24"/>
                <w:szCs w:val="24"/>
                <w:color w:val="auto"/>
              </w:rPr>
            </w:pPr>
          </w:p>
        </w:tc>
        <w:tc>
          <w:tcPr>
            <w:tcW w:w="3640" w:type="dxa"/>
            <w:vAlign w:val="bottom"/>
          </w:tcPr>
          <w:p>
            <w:pPr>
              <w:ind w:left="1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40" w:type="dxa"/>
            <w:vAlign w:val="bottom"/>
          </w:tcPr>
          <w:p>
            <w:pPr>
              <w:spacing w:after="0"/>
              <w:rPr>
                <w:sz w:val="17"/>
                <w:szCs w:val="17"/>
                <w:color w:val="auto"/>
              </w:rPr>
            </w:pP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3640" w:type="dxa"/>
            <w:vAlign w:val="bottom"/>
          </w:tcPr>
          <w:p>
            <w:pPr>
              <w:ind w:left="1120"/>
              <w:spacing w:after="0"/>
              <w:rPr>
                <w:sz w:val="20"/>
                <w:szCs w:val="20"/>
                <w:color w:val="auto"/>
              </w:rPr>
            </w:pPr>
            <w:r>
              <w:rPr>
                <w:rFonts w:ascii="Courier New" w:cs="Courier New" w:eastAsia="Courier New" w:hAnsi="Courier New"/>
                <w:sz w:val="18"/>
                <w:szCs w:val="18"/>
                <w:color w:val="auto"/>
              </w:rPr>
              <w:t>206,000</w:t>
            </w:r>
          </w:p>
        </w:tc>
      </w:tr>
      <w:tr>
        <w:trPr>
          <w:trHeight w:val="405"/>
        </w:trPr>
        <w:tc>
          <w:tcPr>
            <w:tcW w:w="18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8"/>
              </w:rPr>
              <w:t>SHARES</w:t>
            </w:r>
          </w:p>
        </w:tc>
        <w:tc>
          <w:tcPr>
            <w:tcW w:w="364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640" w:type="dxa"/>
            <w:vAlign w:val="bottom"/>
          </w:tcPr>
          <w:p>
            <w:pPr>
              <w:spacing w:after="0"/>
              <w:rPr>
                <w:sz w:val="17"/>
                <w:szCs w:val="17"/>
                <w:color w:val="auto"/>
              </w:rPr>
            </w:pPr>
          </w:p>
        </w:tc>
      </w:tr>
      <w:tr>
        <w:trPr>
          <w:trHeight w:val="405"/>
        </w:trPr>
        <w:tc>
          <w:tcPr>
            <w:tcW w:w="184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EACH</w:t>
            </w:r>
          </w:p>
        </w:tc>
        <w:tc>
          <w:tcPr>
            <w:tcW w:w="3640" w:type="dxa"/>
            <w:vAlign w:val="bottom"/>
          </w:tcPr>
          <w:p>
            <w:pPr>
              <w:ind w:left="1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40" w:type="dxa"/>
            <w:vAlign w:val="bottom"/>
          </w:tcPr>
          <w:p>
            <w:pPr>
              <w:spacing w:after="0"/>
              <w:rPr>
                <w:sz w:val="17"/>
                <w:szCs w:val="17"/>
                <w:color w:val="auto"/>
              </w:rPr>
            </w:pP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3640" w:type="dxa"/>
            <w:vAlign w:val="bottom"/>
          </w:tcPr>
          <w:p>
            <w:pPr>
              <w:ind w:left="1120"/>
              <w:spacing w:after="0"/>
              <w:rPr>
                <w:sz w:val="20"/>
                <w:szCs w:val="20"/>
                <w:color w:val="auto"/>
              </w:rPr>
            </w:pPr>
            <w:r>
              <w:rPr>
                <w:rFonts w:ascii="Courier New" w:cs="Courier New" w:eastAsia="Courier New" w:hAnsi="Courier New"/>
                <w:sz w:val="18"/>
                <w:szCs w:val="18"/>
                <w:color w:val="auto"/>
              </w:rPr>
              <w:t>3,185,640</w:t>
            </w:r>
          </w:p>
        </w:tc>
      </w:tr>
      <w:tr>
        <w:trPr>
          <w:trHeight w:val="608"/>
        </w:trPr>
        <w:tc>
          <w:tcPr>
            <w:tcW w:w="18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8"/>
              </w:rPr>
              <w:t>PERSON</w:t>
            </w:r>
          </w:p>
        </w:tc>
        <w:tc>
          <w:tcPr>
            <w:tcW w:w="364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3,185,640</w:t>
        <w:tab/>
        <w:t>Beneficial ownership disclaimed pursuant to Rule 13d-4</w:t>
      </w:r>
    </w:p>
    <w:p>
      <w:pPr>
        <w:spacing w:after="0" w:line="200" w:lineRule="exact"/>
        <w:rPr>
          <w:sz w:val="20"/>
          <w:szCs w:val="20"/>
          <w:color w:val="auto"/>
        </w:rPr>
      </w:pPr>
    </w:p>
    <w:p>
      <w:pPr>
        <w:spacing w:after="0" w:line="20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220"/>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8.07%</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12</w:t>
      </w:r>
    </w:p>
    <w:p>
      <w:pPr>
        <w:ind w:left="740"/>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2 of 4 pages</w:t>
      </w:r>
    </w:p>
    <w:p>
      <w:pPr>
        <w:sectPr>
          <w:pgSz w:w="11900" w:h="16838" w:orient="portrait"/>
          <w:cols w:equalWidth="0" w:num="1">
            <w:col w:w="10219"/>
          </w:cols>
          <w:pgMar w:left="240" w:top="31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3</w:t>
            </w:r>
          </w:p>
        </w:tc>
        <w:tc>
          <w:tcPr>
            <w:tcW w:w="23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CUSIP No. 200300101</w:t>
            </w:r>
          </w:p>
        </w:tc>
        <w:tc>
          <w:tcPr>
            <w:tcW w:w="23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13G</w:t>
            </w:r>
          </w:p>
        </w:tc>
        <w:tc>
          <w:tcPr>
            <w:tcW w:w="2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Page 3 OF 4 PAGES</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740" w:right="4319" w:hanging="416"/>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CHECK THE APPROPRIATE BOX IF A MEMBER OF A GROUP*</w:t>
      </w:r>
    </w:p>
    <w:tbl>
      <w:tblPr>
        <w:tblLayout w:type="fixed"/>
        <w:tblInd w:w="320" w:type="dxa"/>
        <w:tblCellMar>
          <w:top w:w="0" w:type="dxa"/>
          <w:left w:w="0" w:type="dxa"/>
          <w:bottom w:w="0" w:type="dxa"/>
          <w:right w:w="0" w:type="dxa"/>
        </w:tblCellMar>
      </w:tblPr>
      <w:tr>
        <w:trPr>
          <w:trHeight w:val="203"/>
        </w:trPr>
        <w:tc>
          <w:tcPr>
            <w:tcW w:w="3000" w:type="dxa"/>
            <w:vAlign w:val="bottom"/>
          </w:tcPr>
          <w:p>
            <w:pPr>
              <w:jc w:val="right"/>
              <w:ind w:right="2812"/>
              <w:spacing w:after="0" w:line="203" w:lineRule="exact"/>
              <w:rPr>
                <w:sz w:val="20"/>
                <w:szCs w:val="20"/>
                <w:color w:val="auto"/>
              </w:rPr>
            </w:pPr>
            <w:r>
              <w:rPr>
                <w:rFonts w:ascii="Courier New" w:cs="Courier New" w:eastAsia="Courier New" w:hAnsi="Courier New"/>
                <w:sz w:val="18"/>
                <w:szCs w:val="18"/>
                <w:color w:val="auto"/>
                <w:w w:val="73"/>
              </w:rPr>
              <w:t>2</w:t>
            </w:r>
          </w:p>
        </w:tc>
        <w:tc>
          <w:tcPr>
            <w:tcW w:w="328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00" w:type="dxa"/>
            <w:vAlign w:val="bottom"/>
          </w:tcPr>
          <w:p>
            <w:pPr>
              <w:spacing w:after="0"/>
              <w:rPr>
                <w:sz w:val="17"/>
                <w:szCs w:val="17"/>
                <w:color w:val="auto"/>
              </w:rPr>
            </w:pPr>
          </w:p>
        </w:tc>
        <w:tc>
          <w:tcPr>
            <w:tcW w:w="328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 USE ONLY</w:t>
      </w:r>
    </w:p>
    <w:p>
      <w:pPr>
        <w:ind w:left="320"/>
        <w:spacing w:after="0" w:line="238" w:lineRule="auto"/>
        <w:rPr>
          <w:sz w:val="20"/>
          <w:szCs w:val="20"/>
          <w:color w:val="auto"/>
        </w:rPr>
      </w:pPr>
      <w:r>
        <w:rPr>
          <w:rFonts w:ascii="Courier New" w:cs="Courier New" w:eastAsia="Courier New" w:hAnsi="Courier New"/>
          <w:sz w:val="18"/>
          <w:szCs w:val="18"/>
          <w:color w:val="auto"/>
        </w:rPr>
        <w:t>3</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line="238" w:lineRule="auto"/>
        <w:rPr>
          <w:sz w:val="20"/>
          <w:szCs w:val="20"/>
          <w:color w:val="auto"/>
        </w:rPr>
      </w:pPr>
      <w:r>
        <w:rPr>
          <w:rFonts w:ascii="Courier New" w:cs="Courier New" w:eastAsia="Courier New" w:hAnsi="Courier New"/>
          <w:sz w:val="18"/>
          <w:szCs w:val="18"/>
          <w:color w:val="auto"/>
        </w:rPr>
        <w:t>4</w:t>
      </w:r>
    </w:p>
    <w:tbl>
      <w:tblPr>
        <w:tblLayout w:type="fixed"/>
        <w:tblInd w:w="74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640" w:type="dxa"/>
            <w:vAlign w:val="bottom"/>
          </w:tcPr>
          <w:p>
            <w:pPr>
              <w:spacing w:after="0"/>
              <w:rPr>
                <w:sz w:val="17"/>
                <w:szCs w:val="17"/>
                <w:color w:val="auto"/>
              </w:rPr>
            </w:pPr>
          </w:p>
        </w:tc>
      </w:tr>
      <w:tr>
        <w:trPr>
          <w:trHeight w:val="405"/>
        </w:trPr>
        <w:tc>
          <w:tcPr>
            <w:tcW w:w="1840" w:type="dxa"/>
            <w:vAlign w:val="bottom"/>
          </w:tcPr>
          <w:p>
            <w:pPr>
              <w:spacing w:after="0"/>
              <w:rPr>
                <w:sz w:val="24"/>
                <w:szCs w:val="24"/>
                <w:color w:val="auto"/>
              </w:rPr>
            </w:pPr>
          </w:p>
        </w:tc>
        <w:tc>
          <w:tcPr>
            <w:tcW w:w="3640" w:type="dxa"/>
            <w:vAlign w:val="bottom"/>
          </w:tcPr>
          <w:p>
            <w:pPr>
              <w:ind w:left="1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40" w:type="dxa"/>
            <w:vAlign w:val="bottom"/>
          </w:tcPr>
          <w:p>
            <w:pPr>
              <w:spacing w:after="0"/>
              <w:rPr>
                <w:sz w:val="17"/>
                <w:szCs w:val="17"/>
                <w:color w:val="auto"/>
              </w:rPr>
            </w:pP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8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8"/>
              </w:rPr>
              <w:t>SHARES</w:t>
            </w:r>
          </w:p>
        </w:tc>
        <w:tc>
          <w:tcPr>
            <w:tcW w:w="364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640" w:type="dxa"/>
            <w:vAlign w:val="bottom"/>
          </w:tcPr>
          <w:p>
            <w:pPr>
              <w:spacing w:after="0"/>
              <w:rPr>
                <w:sz w:val="17"/>
                <w:szCs w:val="17"/>
                <w:color w:val="auto"/>
              </w:rPr>
            </w:pPr>
          </w:p>
        </w:tc>
      </w:tr>
      <w:tr>
        <w:trPr>
          <w:trHeight w:val="405"/>
        </w:trPr>
        <w:tc>
          <w:tcPr>
            <w:tcW w:w="184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EACH</w:t>
            </w:r>
          </w:p>
        </w:tc>
        <w:tc>
          <w:tcPr>
            <w:tcW w:w="3640" w:type="dxa"/>
            <w:vAlign w:val="bottom"/>
          </w:tcPr>
          <w:p>
            <w:pPr>
              <w:ind w:left="1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40" w:type="dxa"/>
            <w:vAlign w:val="bottom"/>
          </w:tcPr>
          <w:p>
            <w:pPr>
              <w:spacing w:after="0"/>
              <w:rPr>
                <w:sz w:val="17"/>
                <w:szCs w:val="17"/>
                <w:color w:val="auto"/>
              </w:rPr>
            </w:pP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w:t>
            </w:r>
          </w:p>
        </w:tc>
      </w:tr>
      <w:tr>
        <w:trPr>
          <w:trHeight w:val="810"/>
        </w:trPr>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3640" w:type="dxa"/>
            <w:vAlign w:val="bottom"/>
          </w:tcPr>
          <w:p>
            <w:pPr>
              <w:ind w:left="1120"/>
              <w:spacing w:after="0"/>
              <w:rPr>
                <w:sz w:val="20"/>
                <w:szCs w:val="20"/>
                <w:color w:val="auto"/>
              </w:rPr>
            </w:pPr>
            <w:r>
              <w:rPr>
                <w:rFonts w:ascii="Courier New" w:cs="Courier New" w:eastAsia="Courier New" w:hAnsi="Courier New"/>
                <w:sz w:val="18"/>
                <w:szCs w:val="18"/>
                <w:color w:val="auto"/>
              </w:rPr>
              <w:t>2,415,000</w:t>
            </w:r>
          </w:p>
        </w:tc>
      </w:tr>
      <w:tr>
        <w:trPr>
          <w:trHeight w:val="405"/>
        </w:trPr>
        <w:tc>
          <w:tcPr>
            <w:tcW w:w="18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8"/>
              </w:rPr>
              <w:t>PERSON</w:t>
            </w:r>
          </w:p>
        </w:tc>
        <w:tc>
          <w:tcPr>
            <w:tcW w:w="364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9</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2,415,000</w:t>
        <w:tab/>
        <w:t>Beneficial ownership disclaimed pursuant to Rule 13d-4</w:t>
      </w: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220"/>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6.21%</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12</w:t>
      </w:r>
    </w:p>
    <w:p>
      <w:pPr>
        <w:ind w:left="74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3 of 4 pages</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7480"/>
        <w:spacing w:after="0" w:line="238" w:lineRule="auto"/>
        <w:rPr>
          <w:sz w:val="20"/>
          <w:szCs w:val="20"/>
          <w:color w:val="auto"/>
        </w:rPr>
      </w:pPr>
      <w:r>
        <w:rPr>
          <w:rFonts w:ascii="Courier New" w:cs="Courier New" w:eastAsia="Courier New" w:hAnsi="Courier New"/>
          <w:sz w:val="18"/>
          <w:szCs w:val="18"/>
          <w:color w:val="auto"/>
        </w:rPr>
        <w:t>Page 4</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Fee enclosed [ ]</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or</w:t>
            </w:r>
          </w:p>
        </w:tc>
        <w:tc>
          <w:tcPr>
            <w:tcW w:w="58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Amendment No. 3</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Issuer:</w:t>
            </w:r>
          </w:p>
        </w:tc>
        <w:tc>
          <w:tcPr>
            <w:tcW w:w="464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Comcast</w:t>
            </w:r>
          </w:p>
        </w:tc>
        <w:tc>
          <w:tcPr>
            <w:tcW w:w="80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w:t>
            </w: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174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205</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 Levering Mill Rd.</w:t>
            </w:r>
          </w:p>
        </w:tc>
      </w:tr>
      <w:tr>
        <w:trPr>
          <w:trHeight w:val="203"/>
        </w:trPr>
        <w:tc>
          <w:tcPr>
            <w:tcW w:w="1740" w:type="dxa"/>
            <w:vAlign w:val="bottom"/>
          </w:tcPr>
          <w:p>
            <w:pPr>
              <w:spacing w:after="0"/>
              <w:rPr>
                <w:sz w:val="17"/>
                <w:szCs w:val="17"/>
                <w:color w:val="auto"/>
              </w:rPr>
            </w:pPr>
          </w:p>
        </w:tc>
        <w:tc>
          <w:tcPr>
            <w:tcW w:w="1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Bala-Cynwyd, PA</w:t>
            </w:r>
          </w:p>
        </w:tc>
        <w:tc>
          <w:tcPr>
            <w:tcW w:w="4640" w:type="dxa"/>
            <w:vAlign w:val="bottom"/>
          </w:tcPr>
          <w:p>
            <w:pPr>
              <w:jc w:val="center"/>
              <w:ind w:right="3612"/>
              <w:spacing w:after="0" w:line="203" w:lineRule="exact"/>
              <w:rPr>
                <w:sz w:val="20"/>
                <w:szCs w:val="20"/>
                <w:color w:val="auto"/>
              </w:rPr>
            </w:pPr>
            <w:r>
              <w:rPr>
                <w:rFonts w:ascii="Courier New" w:cs="Courier New" w:eastAsia="Courier New" w:hAnsi="Courier New"/>
                <w:sz w:val="18"/>
                <w:szCs w:val="18"/>
                <w:color w:val="auto"/>
                <w:w w:val="99"/>
              </w:rPr>
              <w:t>19004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w:t>
            </w: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Person(s) Filing:</w:t>
            </w:r>
          </w:p>
        </w:tc>
      </w:tr>
      <w:tr>
        <w:trPr>
          <w:trHeight w:val="203"/>
        </w:trPr>
        <w:tc>
          <w:tcPr>
            <w:tcW w:w="174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Capital Group, Inc. and Capital Research and Management</w:t>
            </w:r>
          </w:p>
        </w:tc>
      </w:tr>
      <w:tr>
        <w:trPr>
          <w:trHeight w:val="203"/>
        </w:trPr>
        <w:tc>
          <w:tcPr>
            <w:tcW w:w="1740" w:type="dxa"/>
            <w:vAlign w:val="bottom"/>
          </w:tcPr>
          <w:p>
            <w:pPr>
              <w:spacing w:after="0"/>
              <w:rPr>
                <w:sz w:val="17"/>
                <w:szCs w:val="17"/>
                <w:color w:val="auto"/>
              </w:rPr>
            </w:pP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80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w:t>
            </w: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Principal Business Office:</w:t>
            </w:r>
          </w:p>
        </w:tc>
      </w:tr>
      <w:tr>
        <w:trPr>
          <w:trHeight w:val="203"/>
        </w:trPr>
        <w:tc>
          <w:tcPr>
            <w:tcW w:w="174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333</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South Hope Street</w:t>
            </w:r>
          </w:p>
        </w:tc>
      </w:tr>
      <w:tr>
        <w:trPr>
          <w:trHeight w:val="203"/>
        </w:trPr>
        <w:tc>
          <w:tcPr>
            <w:tcW w:w="174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Los</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Angeles, CA</w:t>
            </w:r>
          </w:p>
        </w:tc>
        <w:tc>
          <w:tcPr>
            <w:tcW w:w="4640" w:type="dxa"/>
            <w:vAlign w:val="bottom"/>
          </w:tcPr>
          <w:p>
            <w:pPr>
              <w:jc w:val="center"/>
              <w:ind w:right="3612"/>
              <w:spacing w:after="0" w:line="203" w:lineRule="exact"/>
              <w:rPr>
                <w:sz w:val="20"/>
                <w:szCs w:val="20"/>
                <w:color w:val="auto"/>
              </w:rPr>
            </w:pPr>
            <w:r>
              <w:rPr>
                <w:rFonts w:ascii="Courier New" w:cs="Courier New" w:eastAsia="Courier New" w:hAnsi="Courier New"/>
                <w:sz w:val="18"/>
                <w:szCs w:val="18"/>
                <w:color w:val="auto"/>
                <w:w w:val="99"/>
              </w:rPr>
              <w:t>90071</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Citizenship:</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N/A</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Title of Class</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of Securities:  Class A</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CUSIP Number:</w:t>
            </w:r>
          </w:p>
        </w:tc>
        <w:tc>
          <w:tcPr>
            <w:tcW w:w="4640" w:type="dxa"/>
            <w:vAlign w:val="bottom"/>
          </w:tcPr>
          <w:p>
            <w:pPr>
              <w:jc w:val="center"/>
              <w:ind w:right="3612"/>
              <w:spacing w:after="0"/>
              <w:rPr>
                <w:sz w:val="20"/>
                <w:szCs w:val="20"/>
                <w:color w:val="auto"/>
              </w:rPr>
            </w:pPr>
            <w:r>
              <w:rPr>
                <w:rFonts w:ascii="Courier New" w:cs="Courier New" w:eastAsia="Courier New" w:hAnsi="Courier New"/>
                <w:sz w:val="18"/>
                <w:szCs w:val="18"/>
                <w:color w:val="auto"/>
                <w:w w:val="96"/>
              </w:rPr>
              <w:t>200300101</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58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person(s) filing is(are):</w:t>
            </w:r>
          </w:p>
        </w:tc>
      </w:tr>
    </w:tbl>
    <w:p>
      <w:pPr>
        <w:spacing w:after="0" w:line="201" w:lineRule="exact"/>
        <w:rPr>
          <w:sz w:val="20"/>
          <w:szCs w:val="20"/>
          <w:color w:val="auto"/>
        </w:rPr>
      </w:pPr>
    </w:p>
    <w:p>
      <w:pPr>
        <w:ind w:left="3060" w:hanging="1261"/>
        <w:spacing w:after="0"/>
        <w:tabs>
          <w:tab w:leader="none" w:pos="3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w:t>
      </w:r>
    </w:p>
    <w:p>
      <w:pPr>
        <w:spacing w:after="0" w:line="201" w:lineRule="exact"/>
        <w:rPr>
          <w:sz w:val="20"/>
          <w:szCs w:val="20"/>
          <w:color w:val="auto"/>
        </w:rPr>
      </w:pPr>
    </w:p>
    <w:p>
      <w:pPr>
        <w:ind w:left="3060" w:hanging="1261"/>
        <w:spacing w:after="0"/>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Investment Adviser registered under</w:t>
      </w:r>
    </w:p>
    <w:p>
      <w:pPr>
        <w:spacing w:after="0" w:line="200" w:lineRule="exact"/>
        <w:rPr>
          <w:sz w:val="20"/>
          <w:szCs w:val="20"/>
          <w:color w:val="auto"/>
        </w:rPr>
      </w:pPr>
    </w:p>
    <w:p>
      <w:pPr>
        <w:spacing w:after="0" w:line="209" w:lineRule="exact"/>
        <w:rPr>
          <w:sz w:val="20"/>
          <w:szCs w:val="20"/>
          <w:color w:val="auto"/>
        </w:rPr>
      </w:pPr>
    </w:p>
    <w:p>
      <w:pPr>
        <w:jc w:val="right"/>
        <w:ind w:left="4320" w:right="2099" w:hanging="2521"/>
        <w:spacing w:after="0" w:line="290" w:lineRule="auto"/>
        <w:tabs>
          <w:tab w:leader="none" w:pos="305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Parent Holding Company in accordance with Section 240.13d-1(b)(1)(ii)(G).</w:t>
      </w:r>
    </w:p>
    <w:p>
      <w:pPr>
        <w:spacing w:after="0" w:line="164"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3060" w:right="4419" w:hanging="1261"/>
        <w:spacing w:after="0" w:line="268" w:lineRule="auto"/>
        <w:tabs>
          <w:tab w:leader="none" w:pos="3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 2 and 3</w:t>
      </w:r>
    </w:p>
    <w:p>
      <w:pPr>
        <w:ind w:left="3060" w:hanging="1261"/>
        <w:spacing w:after="0" w:line="238" w:lineRule="auto"/>
        <w:tabs>
          <w:tab w:leader="none" w:pos="3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See item 11, pg. 2 and 3</w:t>
      </w:r>
    </w:p>
    <w:p>
      <w:pPr>
        <w:ind w:left="3060" w:hanging="1261"/>
        <w:spacing w:after="0" w:line="238" w:lineRule="auto"/>
        <w:tabs>
          <w:tab w:leader="none" w:pos="3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4320" w:right="2199" w:hanging="1257"/>
        <w:spacing w:after="0" w:line="235" w:lineRule="auto"/>
        <w:tabs>
          <w:tab w:leader="none" w:pos="4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 2 and 3</w:t>
      </w:r>
    </w:p>
    <w:p>
      <w:pPr>
        <w:spacing w:after="0" w:line="5" w:lineRule="exact"/>
        <w:rPr>
          <w:rFonts w:ascii="Courier New" w:cs="Courier New" w:eastAsia="Courier New" w:hAnsi="Courier New"/>
          <w:sz w:val="18"/>
          <w:szCs w:val="18"/>
          <w:color w:val="auto"/>
        </w:rPr>
      </w:pPr>
    </w:p>
    <w:p>
      <w:pPr>
        <w:ind w:left="4320" w:right="1999" w:hanging="1257"/>
        <w:spacing w:after="0" w:line="235" w:lineRule="auto"/>
        <w:tabs>
          <w:tab w:leader="none" w:pos="4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5" w:lineRule="exact"/>
        <w:rPr>
          <w:rFonts w:ascii="Courier New" w:cs="Courier New" w:eastAsia="Courier New" w:hAnsi="Courier New"/>
          <w:sz w:val="18"/>
          <w:szCs w:val="18"/>
          <w:color w:val="auto"/>
        </w:rPr>
      </w:pPr>
    </w:p>
    <w:p>
      <w:pPr>
        <w:ind w:left="4320" w:right="1779" w:hanging="1257"/>
        <w:spacing w:after="0" w:line="235" w:lineRule="auto"/>
        <w:tabs>
          <w:tab w:leader="none" w:pos="4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 2 and 3</w:t>
      </w:r>
    </w:p>
    <w:p>
      <w:pPr>
        <w:spacing w:after="0" w:line="5" w:lineRule="exact"/>
        <w:rPr>
          <w:rFonts w:ascii="Courier New" w:cs="Courier New" w:eastAsia="Courier New" w:hAnsi="Courier New"/>
          <w:sz w:val="18"/>
          <w:szCs w:val="18"/>
          <w:color w:val="auto"/>
        </w:rPr>
      </w:pPr>
    </w:p>
    <w:p>
      <w:pPr>
        <w:ind w:left="4320" w:right="1999" w:hanging="1257"/>
        <w:spacing w:after="0" w:line="237" w:lineRule="auto"/>
        <w:tabs>
          <w:tab w:leader="none" w:pos="4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Item 5</w:t>
            </w:r>
          </w:p>
        </w:tc>
        <w:tc>
          <w:tcPr>
            <w:tcW w:w="2520" w:type="dxa"/>
            <w:vAlign w:val="bottom"/>
          </w:tcPr>
          <w:p>
            <w:pPr>
              <w:ind w:left="580"/>
              <w:spacing w:after="0"/>
              <w:rPr>
                <w:sz w:val="20"/>
                <w:szCs w:val="20"/>
                <w:color w:val="auto"/>
              </w:rPr>
            </w:pPr>
            <w:r>
              <w:rPr>
                <w:rFonts w:ascii="Courier New" w:cs="Courier New" w:eastAsia="Courier New" w:hAnsi="Courier New"/>
                <w:sz w:val="18"/>
                <w:szCs w:val="18"/>
                <w:color w:val="auto"/>
                <w:w w:val="98"/>
              </w:rPr>
              <w:t>Ownership of 5% or</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Less of a</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c>
          <w:tcPr>
            <w:tcW w:w="19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w:t>
            </w:r>
          </w:p>
        </w:tc>
        <w:tc>
          <w:tcPr>
            <w:tcW w:w="358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Ownership of More than 5% on</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Behalf</w:t>
            </w:r>
          </w:p>
        </w:tc>
        <w:tc>
          <w:tcPr>
            <w:tcW w:w="2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of Another Person:  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w:t>
            </w:r>
          </w:p>
        </w:tc>
        <w:tc>
          <w:tcPr>
            <w:tcW w:w="2520" w:type="dxa"/>
            <w:vAlign w:val="bottom"/>
          </w:tcPr>
          <w:p>
            <w:pPr>
              <w:ind w:left="580"/>
              <w:spacing w:after="0"/>
              <w:rPr>
                <w:sz w:val="20"/>
                <w:szCs w:val="20"/>
                <w:color w:val="auto"/>
              </w:rPr>
            </w:pPr>
            <w:r>
              <w:rPr>
                <w:rFonts w:ascii="Courier New" w:cs="Courier New" w:eastAsia="Courier New" w:hAnsi="Courier New"/>
                <w:sz w:val="18"/>
                <w:szCs w:val="18"/>
                <w:color w:val="auto"/>
                <w:w w:val="98"/>
              </w:rPr>
              <w:t>Identification and</w:t>
            </w: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Classification of the</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Subsidiary Which</w:t>
            </w:r>
          </w:p>
        </w:tc>
      </w:tr>
    </w:tbl>
    <w:p>
      <w:pPr>
        <w:spacing w:after="0" w:line="4" w:lineRule="exact"/>
        <w:rPr>
          <w:sz w:val="20"/>
          <w:szCs w:val="20"/>
          <w:color w:val="auto"/>
        </w:rPr>
      </w:pPr>
    </w:p>
    <w:p>
      <w:pPr>
        <w:ind w:left="1800" w:right="199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8" w:lineRule="exact"/>
        <w:rPr>
          <w:sz w:val="20"/>
          <w:szCs w:val="20"/>
          <w:color w:val="auto"/>
        </w:rPr>
      </w:pPr>
    </w:p>
    <w:p>
      <w:pPr>
        <w:ind w:left="3060" w:right="1879" w:hanging="1261"/>
        <w:spacing w:after="0" w:line="268" w:lineRule="auto"/>
        <w:tabs>
          <w:tab w:leader="none" w:pos="3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Research and Management Company is an Investment Adviser registered under Section 203 of the Investment Advisers Act of 1940 and is a wholly owned subsidiary of The Capital Group, Inc.</w:t>
      </w:r>
    </w:p>
    <w:p>
      <w:pPr>
        <w:ind w:left="3060" w:right="1879" w:hanging="1261"/>
        <w:spacing w:after="0" w:line="268" w:lineRule="auto"/>
        <w:tabs>
          <w:tab w:leader="none" w:pos="3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Guardian Trust Company is a Bank as defined in Section 3(a)(6) of the Act and a wholly owned subsidiary of The Capital Group, Inc.</w:t>
      </w:r>
    </w:p>
    <w:p>
      <w:pPr>
        <w:ind w:left="3060" w:right="1999" w:hanging="1261"/>
        <w:spacing w:after="0" w:line="236" w:lineRule="auto"/>
        <w:tabs>
          <w:tab w:leader="none" w:pos="3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w:t>
      </w:r>
    </w:p>
    <w:p>
      <w:pPr>
        <w:sectPr>
          <w:pgSz w:w="11900" w:h="16838" w:orient="portrait"/>
          <w:cols w:equalWidth="0" w:num="1">
            <w:col w:w="10219"/>
          </w:cols>
          <w:pgMar w:left="240" w:top="312" w:right="1440" w:bottom="0" w:gutter="0" w:footer="0" w:header="0"/>
        </w:sectPr>
      </w:pPr>
    </w:p>
    <w:bookmarkStart w:id="4" w:name="page5"/>
    <w:bookmarkEnd w:id="4"/>
    <w:p>
      <w:pPr>
        <w:ind w:left="3060" w:right="1879"/>
        <w:spacing w:after="0" w:line="237" w:lineRule="auto"/>
        <w:rPr>
          <w:sz w:val="20"/>
          <w:szCs w:val="20"/>
          <w:color w:val="auto"/>
        </w:rPr>
      </w:pPr>
      <w:r>
        <w:rPr>
          <w:rFonts w:ascii="Courier New" w:cs="Courier New" w:eastAsia="Courier New" w:hAnsi="Courier New"/>
          <w:sz w:val="18"/>
          <w:szCs w:val="18"/>
          <w:color w:val="auto"/>
        </w:rPr>
        <w:t>reported securities come within the five percent limitation as set forth in a December 15, 1986 no-action letter from the Staff of the Securities and Exchange Commission to The Capital Group, Inc. CIL is a wholly owned subsidiary of The Capital Group, Inc.</w:t>
      </w:r>
    </w:p>
    <w:p>
      <w:pPr>
        <w:spacing w:after="0" w:line="7" w:lineRule="exact"/>
        <w:rPr>
          <w:sz w:val="20"/>
          <w:szCs w:val="20"/>
          <w:color w:val="auto"/>
        </w:rPr>
      </w:pPr>
    </w:p>
    <w:p>
      <w:pPr>
        <w:ind w:left="3060" w:right="1879" w:hanging="1261"/>
        <w:spacing w:after="0" w:line="273" w:lineRule="auto"/>
        <w:tabs>
          <w:tab w:leader="none" w:pos="3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International Research and Management, Inc. dba Capital International, Inc. is an Investment Adviser registered under Section 203 of the Investment Advisers Act of 1940 and is a wholly owned subsidiary of The Capital Group, Inc.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Item 8</w:t>
            </w:r>
          </w:p>
        </w:tc>
        <w:tc>
          <w:tcPr>
            <w:tcW w:w="6620" w:type="dxa"/>
            <w:vAlign w:val="bottom"/>
          </w:tcPr>
          <w:p>
            <w:pPr>
              <w:ind w:left="520"/>
              <w:spacing w:after="0"/>
              <w:rPr>
                <w:sz w:val="20"/>
                <w:szCs w:val="20"/>
                <w:color w:val="auto"/>
              </w:rPr>
            </w:pPr>
            <w:r>
              <w:rPr>
                <w:rFonts w:ascii="Courier New" w:cs="Courier New" w:eastAsia="Courier New" w:hAnsi="Courier New"/>
                <w:sz w:val="18"/>
                <w:szCs w:val="18"/>
                <w:color w:val="auto"/>
                <w:w w:val="97"/>
              </w:rPr>
              <w:t>Identification and Classification of Members of the Group:</w:t>
            </w:r>
          </w:p>
        </w:tc>
      </w:tr>
      <w:tr>
        <w:trPr>
          <w:trHeight w:val="203"/>
        </w:trPr>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620" w:type="dxa"/>
            <w:vAlign w:val="bottom"/>
          </w:tcPr>
          <w:p>
            <w:pPr>
              <w:ind w:left="520"/>
              <w:spacing w:after="0"/>
              <w:rPr>
                <w:sz w:val="20"/>
                <w:szCs w:val="20"/>
                <w:color w:val="auto"/>
              </w:rPr>
            </w:pPr>
            <w:r>
              <w:rPr>
                <w:rFonts w:ascii="Courier New" w:cs="Courier New" w:eastAsia="Courier New" w:hAnsi="Courier New"/>
                <w:sz w:val="18"/>
                <w:szCs w:val="18"/>
                <w:color w:val="auto"/>
              </w:rPr>
              <w:t>Notice of Dissolution of the Group:  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6620" w:type="dxa"/>
            <w:vAlign w:val="bottom"/>
          </w:tcPr>
          <w:p>
            <w:pPr>
              <w:ind w:left="520"/>
              <w:spacing w:after="0"/>
              <w:rPr>
                <w:sz w:val="20"/>
                <w:szCs w:val="20"/>
                <w:color w:val="auto"/>
              </w:rPr>
            </w:pPr>
            <w:r>
              <w:rPr>
                <w:rFonts w:ascii="Courier New" w:cs="Courier New" w:eastAsia="Courier New" w:hAnsi="Courier New"/>
                <w:sz w:val="18"/>
                <w:szCs w:val="18"/>
                <w:color w:val="auto"/>
              </w:rPr>
              <w:t>Certification</w:t>
            </w:r>
          </w:p>
        </w:tc>
      </w:tr>
    </w:tbl>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179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1994</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Philip de Toledo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 de Toledo, Vice President and Treasurer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Capital Group, Inc.</w:t>
      </w:r>
    </w:p>
    <w:p>
      <w:pPr>
        <w:spacing w:after="0" w:line="200" w:lineRule="exact"/>
        <w:rPr>
          <w:sz w:val="20"/>
          <w:szCs w:val="20"/>
          <w:color w:val="auto"/>
        </w:rPr>
      </w:pPr>
    </w:p>
    <w:p>
      <w:pPr>
        <w:sectPr>
          <w:pgSz w:w="11900" w:h="16838" w:orient="portrait"/>
          <w:cols w:equalWidth="0" w:num="2">
            <w:col w:w="1160" w:space="640"/>
            <w:col w:w="8419"/>
          </w:cols>
          <w:pgMar w:left="240" w:top="14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February 11, 1994</w:t>
      </w:r>
    </w:p>
    <w:p>
      <w:pPr>
        <w:spacing w:after="0" w:line="216" w:lineRule="exact"/>
        <w:rPr>
          <w:sz w:val="20"/>
          <w:szCs w:val="20"/>
          <w:color w:val="auto"/>
        </w:rPr>
      </w:pPr>
    </w:p>
    <w:p>
      <w:pPr>
        <w:sectPr>
          <w:pgSz w:w="11900" w:h="16838" w:orient="portrait"/>
          <w:cols w:equalWidth="0" w:num="2">
            <w:col w:w="540" w:space="200"/>
            <w:col w:w="9479"/>
          </w:cols>
          <w:pgMar w:left="240" w:top="1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Paul G. Haaga, Jr.</w:t>
      </w:r>
    </w:p>
    <w:p>
      <w:pPr>
        <w:spacing w:after="0" w:line="200" w:lineRule="exact"/>
        <w:rPr>
          <w:sz w:val="20"/>
          <w:szCs w:val="20"/>
          <w:color w:val="auto"/>
        </w:rPr>
      </w:pPr>
    </w:p>
    <w:p>
      <w:pPr>
        <w:sectPr>
          <w:pgSz w:w="11900" w:h="16838" w:orient="portrait"/>
          <w:cols w:equalWidth="0" w:num="2">
            <w:col w:w="1080" w:space="720"/>
            <w:col w:w="841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Research and Management Company</w:t>
      </w:r>
    </w:p>
    <w:p>
      <w:pPr>
        <w:sectPr>
          <w:pgSz w:w="11900" w:h="16838" w:orient="portrait"/>
          <w:cols w:equalWidth="0" w:num="2">
            <w:col w:w="1160" w:space="640"/>
            <w:col w:w="8419"/>
          </w:cols>
          <w:pgMar w:left="240" w:top="14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ind w:left="3700"/>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Los Angeles, California</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February 11, 1994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1791"/>
        <w:spacing w:after="0" w:line="275" w:lineRule="auto"/>
        <w:rPr>
          <w:sz w:val="20"/>
          <w:szCs w:val="20"/>
          <w:color w:val="auto"/>
        </w:rPr>
      </w:pPr>
      <w:r>
        <w:rPr>
          <w:rFonts w:ascii="Courier New" w:cs="Courier New" w:eastAsia="Courier New" w:hAnsi="Courier New"/>
          <w:sz w:val="16"/>
          <w:szCs w:val="16"/>
          <w:color w:val="auto"/>
        </w:rPr>
        <w:t>Capital Research and Management Company ("CRMC") and The Capital Group, Inc. ("CG") hereby agree to file a joint statement on Schedule 13G under the Securities Exchange Act of 1934 (the "Act") in connection with their beneficial ownership of Class A stock issued by Comcast.</w:t>
      </w:r>
    </w:p>
    <w:p>
      <w:pPr>
        <w:spacing w:after="0" w:line="182" w:lineRule="exact"/>
        <w:rPr>
          <w:sz w:val="20"/>
          <w:szCs w:val="20"/>
          <w:color w:val="auto"/>
        </w:rPr>
      </w:pPr>
    </w:p>
    <w:p>
      <w:pPr>
        <w:ind w:right="1999" w:firstLine="1791"/>
        <w:spacing w:after="0" w:line="235" w:lineRule="auto"/>
        <w:rPr>
          <w:sz w:val="20"/>
          <w:szCs w:val="20"/>
          <w:color w:val="auto"/>
        </w:rPr>
      </w:pPr>
      <w:r>
        <w:rPr>
          <w:rFonts w:ascii="Courier New" w:cs="Courier New" w:eastAsia="Courier New" w:hAnsi="Courier New"/>
          <w:sz w:val="18"/>
          <w:szCs w:val="18"/>
          <w:color w:val="auto"/>
        </w:rPr>
        <w:t>CRMC and CG state that they are both entitled to individually use Schedule 13G pursuant to Rule 13d-1(c) of the Act.</w:t>
      </w:r>
    </w:p>
    <w:p>
      <w:pPr>
        <w:spacing w:after="0" w:line="208"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Both CRMC and CG are responsible for the timely filing of the statement and any amendments thereto, and for the completeness and accuracy of the information concerning each of them contained therein but neither is responsible for the completeness or accuracy of the information concerning the other.</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Paul G. Haaga, Jr.</w:t>
      </w:r>
    </w:p>
    <w:p>
      <w:pPr>
        <w:ind w:left="4220"/>
        <w:spacing w:after="0" w:line="238" w:lineRule="auto"/>
        <w:rPr>
          <w:sz w:val="20"/>
          <w:szCs w:val="20"/>
          <w:color w:val="auto"/>
        </w:rPr>
      </w:pPr>
      <w:r>
        <w:rPr>
          <w:rFonts w:ascii="Courier New" w:cs="Courier New" w:eastAsia="Courier New" w:hAnsi="Courier New"/>
          <w:sz w:val="18"/>
          <w:szCs w:val="18"/>
          <w:color w:val="auto"/>
        </w:rPr>
        <w:t>Paul G. Haaga, Jr.</w:t>
      </w:r>
    </w:p>
    <w:p>
      <w:pPr>
        <w:ind w:left="422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CAPITAL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Philip de Toledo</w:t>
      </w:r>
    </w:p>
    <w:p>
      <w:pPr>
        <w:ind w:left="4220"/>
        <w:spacing w:after="0" w:line="238" w:lineRule="auto"/>
        <w:rPr>
          <w:sz w:val="20"/>
          <w:szCs w:val="20"/>
          <w:color w:val="auto"/>
        </w:rPr>
      </w:pPr>
      <w:r>
        <w:rPr>
          <w:rFonts w:ascii="Courier New" w:cs="Courier New" w:eastAsia="Courier New" w:hAnsi="Courier New"/>
          <w:sz w:val="18"/>
          <w:szCs w:val="18"/>
          <w:color w:val="auto"/>
        </w:rPr>
        <w:t>Philip de Toledo</w:t>
      </w:r>
    </w:p>
    <w:p>
      <w:pPr>
        <w:ind w:left="4220"/>
        <w:spacing w:after="0"/>
        <w:rPr>
          <w:sz w:val="20"/>
          <w:szCs w:val="20"/>
          <w:color w:val="auto"/>
        </w:rPr>
      </w:pPr>
      <w:r>
        <w:rPr>
          <w:rFonts w:ascii="Courier New" w:cs="Courier New" w:eastAsia="Courier New" w:hAnsi="Courier New"/>
          <w:sz w:val="18"/>
          <w:szCs w:val="18"/>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A</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7"/>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2019-12-12T23:11:58Z</dcterms:created>
  <dcterms:modified xsi:type="dcterms:W3CDTF">2019-12-12T23:11:58Z</dcterms:modified>
</cp:coreProperties>
</file>