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5)*</w:t>
      </w: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BUZZFEED,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12430A300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Thomas J. Reid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Comcast Center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Philadelphia, Pennsylvania 19103-2838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ind w:firstLine="332"/>
        <w:spacing w:after="0" w:line="282" w:lineRule="auto"/>
        <w:tabs>
          <w:tab w:leader="none" w:pos="4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 w:name="page2"/>
    <w:bookmarkEnd w:id="1"/>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7"/>
          <w:szCs w:val="17"/>
          <w:color w:val="auto"/>
        </w:rPr>
        <w:t>12430A300</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1"/>
                <w:szCs w:val="21"/>
                <w:color w:val="auto"/>
              </w:rPr>
            </w:pPr>
          </w:p>
        </w:tc>
        <w:tc>
          <w:tcPr>
            <w:tcW w:w="42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4520" w:type="dxa"/>
            <w:vAlign w:val="bottom"/>
            <w:tcBorders>
              <w:top w:val="single" w:sz="8" w:color="auto"/>
            </w:tcBorders>
          </w:tcPr>
          <w:p>
            <w:pPr>
              <w:spacing w:after="0"/>
              <w:rPr>
                <w:sz w:val="21"/>
                <w:szCs w:val="21"/>
                <w:color w:val="auto"/>
              </w:rPr>
            </w:pPr>
          </w:p>
        </w:tc>
        <w:tc>
          <w:tcPr>
            <w:tcW w:w="19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8720" w:type="dxa"/>
            <w:vAlign w:val="bottom"/>
            <w:tcBorders>
              <w:bottom w:val="single" w:sz="8" w:color="auto"/>
            </w:tcBorders>
            <w:gridSpan w:val="5"/>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16"/>
                <w:szCs w:val="16"/>
                <w:color w:val="auto"/>
              </w:rPr>
            </w:pPr>
          </w:p>
        </w:tc>
        <w:tc>
          <w:tcPr>
            <w:tcW w:w="872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940" w:type="dxa"/>
            <w:vAlign w:val="bottom"/>
            <w:tcBorders>
              <w:right w:val="single" w:sz="8" w:color="auto"/>
            </w:tcBorders>
          </w:tcPr>
          <w:p>
            <w:pPr>
              <w:ind w:left="480"/>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ind w:left="4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1"/>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gridSpan w:val="2"/>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tcBorders>
            <w:gridSpan w:val="3"/>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 Item 3</w:t>
            </w: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8720" w:type="dxa"/>
            <w:vAlign w:val="bottom"/>
            <w:tcBorders>
              <w:bottom w:val="single" w:sz="8" w:color="auto"/>
            </w:tcBorders>
            <w:gridSpan w:val="5"/>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4200" w:type="dxa"/>
            <w:vAlign w:val="bottom"/>
            <w:tcBorders>
              <w:bottom w:val="single" w:sz="8" w:color="auto"/>
            </w:tcBorders>
            <w:gridSpan w:val="4"/>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52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40" w:type="dxa"/>
            <w:vAlign w:val="bottom"/>
            <w:tcBorders>
              <w:right w:val="single" w:sz="8" w:color="auto"/>
            </w:tcBorders>
          </w:tcPr>
          <w:p>
            <w:pPr>
              <w:spacing w:after="0"/>
              <w:rPr>
                <w:sz w:val="24"/>
                <w:szCs w:val="2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  0</w:t>
            </w: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720" w:type="dxa"/>
            <w:vAlign w:val="bottom"/>
            <w:tcBorders>
              <w:left w:val="single" w:sz="8" w:color="auto"/>
              <w:right w:val="single" w:sz="8" w:color="auto"/>
            </w:tcBorders>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410"/>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Pr>
          <w:p>
            <w:pPr>
              <w:spacing w:after="0"/>
              <w:rPr>
                <w:sz w:val="18"/>
                <w:szCs w:val="18"/>
                <w:color w:val="auto"/>
              </w:rPr>
            </w:pPr>
          </w:p>
        </w:tc>
        <w:tc>
          <w:tcPr>
            <w:tcW w:w="540" w:type="dxa"/>
            <w:vAlign w:val="bottom"/>
            <w:tcBorders>
              <w:right w:val="single" w:sz="8" w:color="auto"/>
            </w:tcBorders>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4520" w:type="dxa"/>
            <w:vAlign w:val="bottom"/>
            <w:vMerge w:val="restart"/>
          </w:tcPr>
          <w:p>
            <w:pPr>
              <w:jc w:val="right"/>
              <w:ind w:right="2770"/>
              <w:spacing w:after="0"/>
              <w:rPr>
                <w:sz w:val="20"/>
                <w:szCs w:val="20"/>
                <w:color w:val="auto"/>
              </w:rPr>
            </w:pPr>
            <w:r>
              <w:rPr>
                <w:rFonts w:ascii="Times New Roman" w:cs="Times New Roman" w:eastAsia="Times New Roman" w:hAnsi="Times New Roman"/>
                <w:sz w:val="18"/>
                <w:szCs w:val="18"/>
                <w:color w:val="auto"/>
              </w:rPr>
              <w:t>1,754,206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60" w:type="dxa"/>
            <w:vAlign w:val="bottom"/>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4520" w:type="dxa"/>
            <w:vAlign w:val="bottom"/>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2280" w:type="dxa"/>
            <w:vAlign w:val="bottom"/>
          </w:tcPr>
          <w:p>
            <w:pPr>
              <w:spacing w:after="0"/>
              <w:rPr>
                <w:sz w:val="6"/>
                <w:szCs w:val="6"/>
                <w:color w:val="auto"/>
              </w:rPr>
            </w:pPr>
          </w:p>
        </w:tc>
        <w:tc>
          <w:tcPr>
            <w:tcW w:w="4520" w:type="dxa"/>
            <w:vAlign w:val="bottom"/>
          </w:tcPr>
          <w:p>
            <w:pPr>
              <w:spacing w:after="0"/>
              <w:rPr>
                <w:sz w:val="6"/>
                <w:szCs w:val="6"/>
                <w:color w:val="auto"/>
              </w:rPr>
            </w:pPr>
          </w:p>
        </w:tc>
        <w:tc>
          <w:tcPr>
            <w:tcW w:w="1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EACH</w:t>
            </w:r>
          </w:p>
        </w:tc>
        <w:tc>
          <w:tcPr>
            <w:tcW w:w="260" w:type="dxa"/>
            <w:vAlign w:val="bottom"/>
          </w:tcPr>
          <w:p>
            <w:pPr>
              <w:spacing w:after="0"/>
              <w:rPr>
                <w:sz w:val="18"/>
                <w:szCs w:val="18"/>
                <w:color w:val="auto"/>
              </w:rPr>
            </w:pPr>
          </w:p>
        </w:tc>
        <w:tc>
          <w:tcPr>
            <w:tcW w:w="540" w:type="dxa"/>
            <w:vAlign w:val="bottom"/>
            <w:tcBorders>
              <w:right w:val="single" w:sz="8" w:color="auto"/>
            </w:tcBorders>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9.</w:t>
            </w:r>
          </w:p>
        </w:tc>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4520" w:type="dxa"/>
            <w:vAlign w:val="bottom"/>
            <w:vMerge w:val="restart"/>
          </w:tcPr>
          <w:p>
            <w:pPr>
              <w:jc w:val="right"/>
              <w:ind w:right="419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Pr>
          <w:p>
            <w:pPr>
              <w:spacing w:after="0"/>
              <w:rPr>
                <w:sz w:val="13"/>
                <w:szCs w:val="13"/>
                <w:color w:val="auto"/>
              </w:rPr>
            </w:pPr>
          </w:p>
        </w:tc>
        <w:tc>
          <w:tcPr>
            <w:tcW w:w="540" w:type="dxa"/>
            <w:vAlign w:val="bottom"/>
            <w:tcBorders>
              <w:right w:val="single" w:sz="8" w:color="auto"/>
            </w:tcBorders>
            <w:vMerge w:val="continue"/>
          </w:tcPr>
          <w:p>
            <w:pPr>
              <w:spacing w:after="0"/>
              <w:rPr>
                <w:sz w:val="13"/>
                <w:szCs w:val="13"/>
                <w:color w:val="auto"/>
              </w:rPr>
            </w:pPr>
          </w:p>
        </w:tc>
        <w:tc>
          <w:tcPr>
            <w:tcW w:w="2280" w:type="dxa"/>
            <w:vAlign w:val="bottom"/>
            <w:vMerge w:val="continue"/>
          </w:tcPr>
          <w:p>
            <w:pPr>
              <w:spacing w:after="0"/>
              <w:rPr>
                <w:sz w:val="13"/>
                <w:szCs w:val="13"/>
                <w:color w:val="auto"/>
              </w:rPr>
            </w:pPr>
          </w:p>
        </w:tc>
        <w:tc>
          <w:tcPr>
            <w:tcW w:w="4520" w:type="dxa"/>
            <w:vAlign w:val="bottom"/>
            <w:vMerge w:val="continue"/>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720" w:type="dxa"/>
            <w:vAlign w:val="bottom"/>
            <w:tcBorders>
              <w:left w:val="single" w:sz="8" w:color="auto"/>
              <w:right w:val="single" w:sz="8" w:color="auto"/>
            </w:tcBorders>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228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720" w:type="dxa"/>
            <w:vAlign w:val="bottom"/>
            <w:tcBorders>
              <w:left w:val="single" w:sz="8" w:color="auto"/>
              <w:right w:val="single" w:sz="8" w:color="auto"/>
            </w:tcBorders>
            <w:gridSpan w:val="3"/>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PERSON WITH</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tcPr>
          <w:p>
            <w:pPr>
              <w:spacing w:after="0"/>
              <w:rPr>
                <w:sz w:val="14"/>
                <w:szCs w:val="14"/>
                <w:color w:val="auto"/>
              </w:rPr>
            </w:pPr>
          </w:p>
        </w:tc>
        <w:tc>
          <w:tcPr>
            <w:tcW w:w="1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  1,754,206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gridSpan w:val="2"/>
          </w:tcPr>
          <w:p>
            <w:pPr>
              <w:spacing w:after="0"/>
              <w:rPr>
                <w:sz w:val="19"/>
                <w:szCs w:val="19"/>
                <w:color w:val="auto"/>
              </w:rPr>
            </w:pPr>
          </w:p>
        </w:tc>
        <w:tc>
          <w:tcPr>
            <w:tcW w:w="6800" w:type="dxa"/>
            <w:vAlign w:val="bottom"/>
            <w:tcBorders>
              <w:bottom w:val="single" w:sz="8" w:color="auto"/>
            </w:tcBorders>
            <w:gridSpan w:val="2"/>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AGGREGATE AMOUNT</w:t>
            </w:r>
          </w:p>
        </w:tc>
        <w:tc>
          <w:tcPr>
            <w:tcW w:w="6800" w:type="dxa"/>
            <w:vAlign w:val="bottom"/>
            <w:gridSpan w:val="2"/>
          </w:tcPr>
          <w:p>
            <w:pPr>
              <w:jc w:val="right"/>
              <w:ind w:right="2070"/>
              <w:spacing w:after="0"/>
              <w:rPr>
                <w:sz w:val="20"/>
                <w:szCs w:val="20"/>
                <w:color w:val="auto"/>
              </w:rPr>
            </w:pPr>
            <w:r>
              <w:rPr>
                <w:rFonts w:ascii="Times New Roman" w:cs="Times New Roman" w:eastAsia="Times New Roman" w:hAnsi="Times New Roman"/>
                <w:sz w:val="18"/>
                <w:szCs w:val="18"/>
                <w:color w:val="auto"/>
                <w:w w:val="99"/>
              </w:rPr>
              <w:t>BENEFICIALLY OWNED BY EACH REPORTING PERSON</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1,754,206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6800" w:type="dxa"/>
            <w:vAlign w:val="bottom"/>
            <w:tcBorders>
              <w:bottom w:val="single" w:sz="8" w:color="auto"/>
            </w:tcBorders>
            <w:gridSpan w:val="2"/>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tcBorders>
              <w:left w:val="single" w:sz="8" w:color="auto"/>
            </w:tcBorders>
          </w:tcPr>
          <w:p>
            <w:pPr>
              <w:jc w:val="center"/>
              <w:ind w:left="50"/>
              <w:spacing w:after="0" w:line="205" w:lineRule="exact"/>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17"/>
                <w:szCs w:val="17"/>
                <w:color w:val="auto"/>
              </w:rPr>
            </w:pPr>
          </w:p>
        </w:tc>
        <w:tc>
          <w:tcPr>
            <w:tcW w:w="872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CHECK BOX IF THE AGGREGATE AMOUNT IN ROW (11) EXCLUDES</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CERTAIN SHARES</w:t>
            </w: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vMerge w:val="restart"/>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9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6800" w:type="dxa"/>
            <w:vAlign w:val="bottom"/>
            <w:tcBorders>
              <w:bottom w:val="single" w:sz="8" w:color="auto"/>
            </w:tcBorders>
            <w:gridSpan w:val="2"/>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0"/>
                <w:szCs w:val="20"/>
                <w:color w:val="auto"/>
              </w:rPr>
            </w:pPr>
          </w:p>
        </w:tc>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4.98% (</w:t>
            </w:r>
            <w:r>
              <w:rPr>
                <w:rFonts w:ascii="Times New Roman" w:cs="Times New Roman" w:eastAsia="Times New Roman" w:hAnsi="Times New Roman"/>
                <w:sz w:val="18"/>
                <w:szCs w:val="18"/>
                <w:i w:val="1"/>
                <w:iCs w:val="1"/>
                <w:color w:val="auto"/>
                <w:w w:val="98"/>
              </w:rPr>
              <w:t>See Item 5</w:t>
            </w:r>
            <w:r>
              <w:rPr>
                <w:rFonts w:ascii="Times New Roman" w:cs="Times New Roman" w:eastAsia="Times New Roman" w:hAnsi="Times New Roman"/>
                <w:sz w:val="18"/>
                <w:szCs w:val="18"/>
                <w:color w:val="auto"/>
                <w:w w:val="98"/>
              </w:rPr>
              <w:t>)</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0"/>
                <w:szCs w:val="20"/>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30"/>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94" w:right="319" w:bottom="1440" w:gutter="0" w:footer="0" w:header="0"/>
        </w:sectPr>
      </w:pPr>
    </w:p>
    <w:bookmarkStart w:id="2" w:name="page3"/>
    <w:bookmarkEnd w:id="2"/>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7"/>
          <w:szCs w:val="17"/>
          <w:color w:val="auto"/>
        </w:rPr>
        <w:t>12430A300</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1"/>
                <w:szCs w:val="21"/>
                <w:color w:val="auto"/>
              </w:rPr>
            </w:pPr>
          </w:p>
        </w:tc>
        <w:tc>
          <w:tcPr>
            <w:tcW w:w="42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4520" w:type="dxa"/>
            <w:vAlign w:val="bottom"/>
            <w:tcBorders>
              <w:top w:val="single" w:sz="8" w:color="auto"/>
            </w:tcBorders>
          </w:tcPr>
          <w:p>
            <w:pPr>
              <w:spacing w:after="0"/>
              <w:rPr>
                <w:sz w:val="21"/>
                <w:szCs w:val="21"/>
                <w:color w:val="auto"/>
              </w:rPr>
            </w:pPr>
          </w:p>
        </w:tc>
        <w:tc>
          <w:tcPr>
            <w:tcW w:w="19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NBCUniversal, LLC</w:t>
            </w: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8720" w:type="dxa"/>
            <w:vAlign w:val="bottom"/>
            <w:tcBorders>
              <w:bottom w:val="single" w:sz="8" w:color="auto"/>
            </w:tcBorders>
            <w:gridSpan w:val="5"/>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16"/>
                <w:szCs w:val="16"/>
                <w:color w:val="auto"/>
              </w:rPr>
            </w:pPr>
          </w:p>
        </w:tc>
        <w:tc>
          <w:tcPr>
            <w:tcW w:w="872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940" w:type="dxa"/>
            <w:vAlign w:val="bottom"/>
            <w:tcBorders>
              <w:right w:val="single" w:sz="8" w:color="auto"/>
            </w:tcBorders>
          </w:tcPr>
          <w:p>
            <w:pPr>
              <w:ind w:left="480"/>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ind w:left="4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gridSpan w:val="2"/>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tcBorders>
            <w:gridSpan w:val="3"/>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 Item 3</w:t>
            </w: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8720" w:type="dxa"/>
            <w:vAlign w:val="bottom"/>
            <w:tcBorders>
              <w:bottom w:val="single" w:sz="8" w:color="auto"/>
            </w:tcBorders>
            <w:gridSpan w:val="5"/>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4200" w:type="dxa"/>
            <w:vAlign w:val="bottom"/>
            <w:tcBorders>
              <w:bottom w:val="single" w:sz="8" w:color="auto"/>
            </w:tcBorders>
            <w:gridSpan w:val="4"/>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52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40" w:type="dxa"/>
            <w:vAlign w:val="bottom"/>
            <w:tcBorders>
              <w:right w:val="single" w:sz="8" w:color="auto"/>
            </w:tcBorders>
          </w:tcPr>
          <w:p>
            <w:pPr>
              <w:spacing w:after="0"/>
              <w:rPr>
                <w:sz w:val="24"/>
                <w:szCs w:val="2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Delaware</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  0</w:t>
            </w: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410"/>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Pr>
          <w:p>
            <w:pPr>
              <w:spacing w:after="0"/>
              <w:rPr>
                <w:sz w:val="18"/>
                <w:szCs w:val="18"/>
                <w:color w:val="auto"/>
              </w:rPr>
            </w:pPr>
          </w:p>
        </w:tc>
        <w:tc>
          <w:tcPr>
            <w:tcW w:w="540" w:type="dxa"/>
            <w:vAlign w:val="bottom"/>
            <w:tcBorders>
              <w:right w:val="single" w:sz="8" w:color="auto"/>
            </w:tcBorders>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4520" w:type="dxa"/>
            <w:vAlign w:val="bottom"/>
            <w:vMerge w:val="restart"/>
          </w:tcPr>
          <w:p>
            <w:pPr>
              <w:jc w:val="right"/>
              <w:ind w:right="2770"/>
              <w:spacing w:after="0"/>
              <w:rPr>
                <w:sz w:val="20"/>
                <w:szCs w:val="20"/>
                <w:color w:val="auto"/>
              </w:rPr>
            </w:pPr>
            <w:r>
              <w:rPr>
                <w:rFonts w:ascii="Times New Roman" w:cs="Times New Roman" w:eastAsia="Times New Roman" w:hAnsi="Times New Roman"/>
                <w:sz w:val="18"/>
                <w:szCs w:val="18"/>
                <w:color w:val="auto"/>
              </w:rPr>
              <w:t>1,754,206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6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2280" w:type="dxa"/>
            <w:vAlign w:val="bottom"/>
            <w:vMerge w:val="continue"/>
          </w:tcPr>
          <w:p>
            <w:pPr>
              <w:spacing w:after="0"/>
              <w:rPr>
                <w:sz w:val="10"/>
                <w:szCs w:val="10"/>
                <w:color w:val="auto"/>
              </w:rPr>
            </w:pPr>
          </w:p>
        </w:tc>
        <w:tc>
          <w:tcPr>
            <w:tcW w:w="4520" w:type="dxa"/>
            <w:vAlign w:val="bottom"/>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4520" w:type="dxa"/>
            <w:vAlign w:val="bottom"/>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4520" w:type="dxa"/>
            <w:vAlign w:val="bottom"/>
            <w:tcBorders>
              <w:bottom w:val="single" w:sz="8" w:color="auto"/>
            </w:tcBorders>
          </w:tcPr>
          <w:p>
            <w:pPr>
              <w:spacing w:after="0"/>
              <w:rPr>
                <w:sz w:val="12"/>
                <w:szCs w:val="12"/>
                <w:color w:val="auto"/>
              </w:rPr>
            </w:pPr>
          </w:p>
        </w:tc>
        <w:tc>
          <w:tcPr>
            <w:tcW w:w="1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9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EACH</w:t>
            </w:r>
          </w:p>
        </w:tc>
        <w:tc>
          <w:tcPr>
            <w:tcW w:w="260" w:type="dxa"/>
            <w:vAlign w:val="bottom"/>
          </w:tcPr>
          <w:p>
            <w:pPr>
              <w:spacing w:after="0"/>
              <w:rPr>
                <w:sz w:val="18"/>
                <w:szCs w:val="18"/>
                <w:color w:val="auto"/>
              </w:rPr>
            </w:pPr>
          </w:p>
        </w:tc>
        <w:tc>
          <w:tcPr>
            <w:tcW w:w="540" w:type="dxa"/>
            <w:vAlign w:val="bottom"/>
            <w:tcBorders>
              <w:right w:val="single" w:sz="8" w:color="auto"/>
            </w:tcBorders>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9.</w:t>
            </w:r>
          </w:p>
        </w:tc>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4520" w:type="dxa"/>
            <w:vAlign w:val="bottom"/>
            <w:vMerge w:val="restart"/>
          </w:tcPr>
          <w:p>
            <w:pPr>
              <w:jc w:val="right"/>
              <w:ind w:right="419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4520" w:type="dxa"/>
            <w:vAlign w:val="bottom"/>
            <w:vMerge w:val="continue"/>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9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720" w:type="dxa"/>
            <w:vAlign w:val="bottom"/>
            <w:tcBorders>
              <w:left w:val="single" w:sz="8" w:color="auto"/>
              <w:right w:val="single" w:sz="8" w:color="auto"/>
            </w:tcBorders>
            <w:gridSpan w:val="3"/>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PERSON WITH</w:t>
            </w: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  1,754,206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gridSpan w:val="2"/>
          </w:tcPr>
          <w:p>
            <w:pPr>
              <w:spacing w:after="0"/>
              <w:rPr>
                <w:sz w:val="19"/>
                <w:szCs w:val="19"/>
                <w:color w:val="auto"/>
              </w:rPr>
            </w:pPr>
          </w:p>
        </w:tc>
        <w:tc>
          <w:tcPr>
            <w:tcW w:w="6800" w:type="dxa"/>
            <w:vAlign w:val="bottom"/>
            <w:tcBorders>
              <w:bottom w:val="single" w:sz="8" w:color="auto"/>
            </w:tcBorders>
            <w:gridSpan w:val="2"/>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AGGREGATE AMOUNT</w:t>
            </w:r>
          </w:p>
        </w:tc>
        <w:tc>
          <w:tcPr>
            <w:tcW w:w="6800" w:type="dxa"/>
            <w:vAlign w:val="bottom"/>
            <w:gridSpan w:val="2"/>
          </w:tcPr>
          <w:p>
            <w:pPr>
              <w:jc w:val="right"/>
              <w:ind w:right="2070"/>
              <w:spacing w:after="0"/>
              <w:rPr>
                <w:sz w:val="20"/>
                <w:szCs w:val="20"/>
                <w:color w:val="auto"/>
              </w:rPr>
            </w:pPr>
            <w:r>
              <w:rPr>
                <w:rFonts w:ascii="Times New Roman" w:cs="Times New Roman" w:eastAsia="Times New Roman" w:hAnsi="Times New Roman"/>
                <w:sz w:val="18"/>
                <w:szCs w:val="18"/>
                <w:color w:val="auto"/>
                <w:w w:val="99"/>
              </w:rPr>
              <w:t>BENEFICIALLY OWNED BY EACH REPORTING PERSON</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1,754,206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6800" w:type="dxa"/>
            <w:vAlign w:val="bottom"/>
            <w:tcBorders>
              <w:bottom w:val="single" w:sz="8" w:color="auto"/>
            </w:tcBorders>
            <w:gridSpan w:val="2"/>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tcBorders>
              <w:left w:val="single" w:sz="8" w:color="auto"/>
            </w:tcBorders>
          </w:tcPr>
          <w:p>
            <w:pPr>
              <w:jc w:val="center"/>
              <w:ind w:left="50"/>
              <w:spacing w:after="0" w:line="205" w:lineRule="exact"/>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17"/>
                <w:szCs w:val="17"/>
                <w:color w:val="auto"/>
              </w:rPr>
            </w:pPr>
          </w:p>
        </w:tc>
        <w:tc>
          <w:tcPr>
            <w:tcW w:w="872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CHECK BOX IF THE AGGREGATE AMOUNT IN ROW (11) EXCLUDES</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CERTAIN SHARES</w:t>
            </w: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vMerge w:val="restart"/>
          </w:tcPr>
          <w:p>
            <w:pPr>
              <w:ind w:left="1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9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6800" w:type="dxa"/>
            <w:vAlign w:val="bottom"/>
            <w:tcBorders>
              <w:bottom w:val="single" w:sz="8" w:color="auto"/>
            </w:tcBorders>
            <w:gridSpan w:val="2"/>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0"/>
                <w:szCs w:val="20"/>
                <w:color w:val="auto"/>
              </w:rPr>
            </w:pPr>
          </w:p>
        </w:tc>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4.98% (</w:t>
            </w:r>
            <w:r>
              <w:rPr>
                <w:rFonts w:ascii="Times New Roman" w:cs="Times New Roman" w:eastAsia="Times New Roman" w:hAnsi="Times New Roman"/>
                <w:sz w:val="18"/>
                <w:szCs w:val="18"/>
                <w:i w:val="1"/>
                <w:iCs w:val="1"/>
                <w:color w:val="auto"/>
                <w:w w:val="98"/>
              </w:rPr>
              <w:t>See Item 5</w:t>
            </w:r>
            <w:r>
              <w:rPr>
                <w:rFonts w:ascii="Times New Roman" w:cs="Times New Roman" w:eastAsia="Times New Roman" w:hAnsi="Times New Roman"/>
                <w:sz w:val="18"/>
                <w:szCs w:val="18"/>
                <w:color w:val="auto"/>
                <w:w w:val="98"/>
              </w:rPr>
              <w:t>)</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0"/>
                <w:szCs w:val="20"/>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30"/>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94" w:right="319" w:bottom="1440" w:gutter="0" w:footer="0" w:header="0"/>
        </w:sectPr>
      </w:pPr>
    </w:p>
    <w:bookmarkStart w:id="3" w:name="page4"/>
    <w:bookmarkEnd w:id="3"/>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7"/>
          <w:szCs w:val="17"/>
          <w:color w:val="auto"/>
        </w:rPr>
        <w:t>12430A300</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60" w:type="dxa"/>
            <w:vAlign w:val="bottom"/>
            <w:tcBorders>
              <w:top w:val="single" w:sz="8" w:color="auto"/>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40" w:type="dxa"/>
            <w:vAlign w:val="bottom"/>
            <w:tcBorders>
              <w:top w:val="single" w:sz="8" w:color="auto"/>
              <w:right w:val="single" w:sz="8" w:color="auto"/>
            </w:tcBorders>
          </w:tcPr>
          <w:p>
            <w:pPr>
              <w:spacing w:after="0"/>
              <w:rPr>
                <w:sz w:val="21"/>
                <w:szCs w:val="21"/>
                <w:color w:val="auto"/>
              </w:rPr>
            </w:pPr>
          </w:p>
        </w:tc>
        <w:tc>
          <w:tcPr>
            <w:tcW w:w="42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4520" w:type="dxa"/>
            <w:vAlign w:val="bottom"/>
            <w:tcBorders>
              <w:top w:val="single" w:sz="8" w:color="auto"/>
            </w:tcBorders>
          </w:tcPr>
          <w:p>
            <w:pPr>
              <w:spacing w:after="0"/>
              <w:rPr>
                <w:sz w:val="21"/>
                <w:szCs w:val="21"/>
                <w:color w:val="auto"/>
              </w:rPr>
            </w:pPr>
          </w:p>
        </w:tc>
        <w:tc>
          <w:tcPr>
            <w:tcW w:w="19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NBCUniversal Media, LLC</w:t>
            </w: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8720" w:type="dxa"/>
            <w:vAlign w:val="bottom"/>
            <w:tcBorders>
              <w:bottom w:val="single" w:sz="8" w:color="auto"/>
            </w:tcBorders>
            <w:gridSpan w:val="5"/>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auto"/>
            </w:tcBorders>
          </w:tcPr>
          <w:p>
            <w:pPr>
              <w:jc w:val="center"/>
              <w:ind w:left="50"/>
              <w:spacing w:after="0" w:line="191" w:lineRule="exact"/>
              <w:rPr>
                <w:sz w:val="20"/>
                <w:szCs w:val="20"/>
                <w:color w:val="auto"/>
              </w:rPr>
            </w:pPr>
            <w:r>
              <w:rPr>
                <w:rFonts w:ascii="Times New Roman" w:cs="Times New Roman" w:eastAsia="Times New Roman" w:hAnsi="Times New Roman"/>
                <w:sz w:val="18"/>
                <w:szCs w:val="18"/>
                <w:b w:val="1"/>
                <w:bCs w:val="1"/>
                <w:color w:val="auto"/>
                <w:w w:val="88"/>
              </w:rPr>
              <w:t>2.</w:t>
            </w:r>
          </w:p>
        </w:tc>
        <w:tc>
          <w:tcPr>
            <w:tcW w:w="140" w:type="dxa"/>
            <w:vAlign w:val="bottom"/>
            <w:tcBorders>
              <w:right w:val="single" w:sz="8" w:color="auto"/>
            </w:tcBorders>
          </w:tcPr>
          <w:p>
            <w:pPr>
              <w:spacing w:after="0"/>
              <w:rPr>
                <w:sz w:val="16"/>
                <w:szCs w:val="16"/>
                <w:color w:val="auto"/>
              </w:rPr>
            </w:pPr>
          </w:p>
        </w:tc>
        <w:tc>
          <w:tcPr>
            <w:tcW w:w="872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940" w:type="dxa"/>
            <w:vAlign w:val="bottom"/>
            <w:tcBorders>
              <w:right w:val="single" w:sz="8" w:color="auto"/>
            </w:tcBorders>
          </w:tcPr>
          <w:p>
            <w:pPr>
              <w:ind w:left="480"/>
              <w:spacing w:after="0" w:line="191"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ind w:left="4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1"/>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tcBorders>
            <w:gridSpan w:val="2"/>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40" w:type="dxa"/>
            <w:vAlign w:val="bottom"/>
            <w:tcBorders>
              <w:right w:val="single" w:sz="8" w:color="auto"/>
            </w:tcBorders>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5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tcBorders>
            <w:gridSpan w:val="3"/>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4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 Item 3</w:t>
            </w: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8720" w:type="dxa"/>
            <w:vAlign w:val="bottom"/>
            <w:tcBorders>
              <w:bottom w:val="single" w:sz="8" w:color="auto"/>
            </w:tcBorders>
            <w:gridSpan w:val="5"/>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4200" w:type="dxa"/>
            <w:vAlign w:val="bottom"/>
            <w:tcBorders>
              <w:bottom w:val="single" w:sz="8" w:color="auto"/>
            </w:tcBorders>
            <w:gridSpan w:val="4"/>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520" w:type="dxa"/>
            <w:vAlign w:val="bottom"/>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40" w:type="dxa"/>
            <w:vAlign w:val="bottom"/>
            <w:tcBorders>
              <w:right w:val="single" w:sz="8" w:color="auto"/>
            </w:tcBorders>
          </w:tcPr>
          <w:p>
            <w:pPr>
              <w:spacing w:after="0"/>
              <w:rPr>
                <w:sz w:val="24"/>
                <w:szCs w:val="2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Delaware</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  0</w:t>
            </w: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720" w:type="dxa"/>
            <w:vAlign w:val="bottom"/>
            <w:tcBorders>
              <w:left w:val="single" w:sz="8" w:color="auto"/>
              <w:right w:val="single" w:sz="8" w:color="auto"/>
            </w:tcBorders>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22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260" w:type="dxa"/>
            <w:vAlign w:val="bottom"/>
            <w:tcBorders>
              <w:right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Pr>
          <w:p>
            <w:pPr>
              <w:spacing w:after="0"/>
              <w:rPr>
                <w:sz w:val="18"/>
                <w:szCs w:val="18"/>
                <w:color w:val="auto"/>
              </w:rPr>
            </w:pPr>
          </w:p>
        </w:tc>
        <w:tc>
          <w:tcPr>
            <w:tcW w:w="540" w:type="dxa"/>
            <w:vAlign w:val="bottom"/>
            <w:tcBorders>
              <w:right w:val="single" w:sz="8" w:color="auto"/>
            </w:tcBorders>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4520" w:type="dxa"/>
            <w:vAlign w:val="bottom"/>
            <w:vMerge w:val="restart"/>
          </w:tcPr>
          <w:p>
            <w:pPr>
              <w:jc w:val="right"/>
              <w:ind w:right="2770"/>
              <w:spacing w:after="0"/>
              <w:rPr>
                <w:sz w:val="20"/>
                <w:szCs w:val="20"/>
                <w:color w:val="auto"/>
              </w:rPr>
            </w:pPr>
            <w:r>
              <w:rPr>
                <w:rFonts w:ascii="Times New Roman" w:cs="Times New Roman" w:eastAsia="Times New Roman" w:hAnsi="Times New Roman"/>
                <w:sz w:val="18"/>
                <w:szCs w:val="18"/>
                <w:color w:val="auto"/>
              </w:rPr>
              <w:t>1,754,206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60" w:type="dxa"/>
            <w:vAlign w:val="bottom"/>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4520" w:type="dxa"/>
            <w:vAlign w:val="bottom"/>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1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2280" w:type="dxa"/>
            <w:vAlign w:val="bottom"/>
          </w:tcPr>
          <w:p>
            <w:pPr>
              <w:spacing w:after="0"/>
              <w:rPr>
                <w:sz w:val="6"/>
                <w:szCs w:val="6"/>
                <w:color w:val="auto"/>
              </w:rPr>
            </w:pPr>
          </w:p>
        </w:tc>
        <w:tc>
          <w:tcPr>
            <w:tcW w:w="4520" w:type="dxa"/>
            <w:vAlign w:val="bottom"/>
          </w:tcPr>
          <w:p>
            <w:pPr>
              <w:spacing w:after="0"/>
              <w:rPr>
                <w:sz w:val="6"/>
                <w:szCs w:val="6"/>
                <w:color w:val="auto"/>
              </w:rPr>
            </w:pPr>
          </w:p>
        </w:tc>
        <w:tc>
          <w:tcPr>
            <w:tcW w:w="1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EACH</w:t>
            </w:r>
          </w:p>
        </w:tc>
        <w:tc>
          <w:tcPr>
            <w:tcW w:w="260" w:type="dxa"/>
            <w:vAlign w:val="bottom"/>
          </w:tcPr>
          <w:p>
            <w:pPr>
              <w:spacing w:after="0"/>
              <w:rPr>
                <w:sz w:val="18"/>
                <w:szCs w:val="18"/>
                <w:color w:val="auto"/>
              </w:rPr>
            </w:pPr>
          </w:p>
        </w:tc>
        <w:tc>
          <w:tcPr>
            <w:tcW w:w="540" w:type="dxa"/>
            <w:vAlign w:val="bottom"/>
            <w:tcBorders>
              <w:right w:val="single" w:sz="8" w:color="auto"/>
            </w:tcBorders>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9.</w:t>
            </w:r>
          </w:p>
        </w:tc>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4520" w:type="dxa"/>
            <w:vAlign w:val="bottom"/>
            <w:vMerge w:val="restart"/>
          </w:tcPr>
          <w:p>
            <w:pPr>
              <w:jc w:val="right"/>
              <w:ind w:right="419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Pr>
          <w:p>
            <w:pPr>
              <w:spacing w:after="0"/>
              <w:rPr>
                <w:sz w:val="18"/>
                <w:szCs w:val="18"/>
                <w:color w:val="auto"/>
              </w:rPr>
            </w:pPr>
          </w:p>
        </w:tc>
        <w:tc>
          <w:tcPr>
            <w:tcW w:w="540" w:type="dxa"/>
            <w:vAlign w:val="bottom"/>
            <w:tcBorders>
              <w:right w:val="single" w:sz="8" w:color="auto"/>
            </w:tcBorders>
            <w:vMerge w:val="continue"/>
          </w:tcPr>
          <w:p>
            <w:pPr>
              <w:spacing w:after="0"/>
              <w:rPr>
                <w:sz w:val="18"/>
                <w:szCs w:val="18"/>
                <w:color w:val="auto"/>
              </w:rPr>
            </w:pPr>
          </w:p>
        </w:tc>
        <w:tc>
          <w:tcPr>
            <w:tcW w:w="2280" w:type="dxa"/>
            <w:vAlign w:val="bottom"/>
            <w:vMerge w:val="continue"/>
          </w:tcPr>
          <w:p>
            <w:pPr>
              <w:spacing w:after="0"/>
              <w:rPr>
                <w:sz w:val="18"/>
                <w:szCs w:val="18"/>
                <w:color w:val="auto"/>
              </w:rPr>
            </w:pPr>
          </w:p>
        </w:tc>
        <w:tc>
          <w:tcPr>
            <w:tcW w:w="4520" w:type="dxa"/>
            <w:vAlign w:val="bottom"/>
            <w:vMerge w:val="continue"/>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20" w:type="dxa"/>
            <w:vAlign w:val="bottom"/>
            <w:tcBorders>
              <w:left w:val="single" w:sz="8" w:color="auto"/>
              <w:right w:val="single" w:sz="8" w:color="auto"/>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PERSON WITH</w:t>
            </w: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  1,754,206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gridSpan w:val="2"/>
          </w:tcPr>
          <w:p>
            <w:pPr>
              <w:spacing w:after="0"/>
              <w:rPr>
                <w:sz w:val="19"/>
                <w:szCs w:val="19"/>
                <w:color w:val="auto"/>
              </w:rPr>
            </w:pPr>
          </w:p>
        </w:tc>
        <w:tc>
          <w:tcPr>
            <w:tcW w:w="6800" w:type="dxa"/>
            <w:vAlign w:val="bottom"/>
            <w:tcBorders>
              <w:bottom w:val="single" w:sz="8" w:color="auto"/>
            </w:tcBorders>
            <w:gridSpan w:val="2"/>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4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AGGREGATE AMOUNT</w:t>
            </w:r>
          </w:p>
        </w:tc>
        <w:tc>
          <w:tcPr>
            <w:tcW w:w="6800" w:type="dxa"/>
            <w:vAlign w:val="bottom"/>
            <w:gridSpan w:val="2"/>
          </w:tcPr>
          <w:p>
            <w:pPr>
              <w:jc w:val="right"/>
              <w:ind w:right="2070"/>
              <w:spacing w:after="0"/>
              <w:rPr>
                <w:sz w:val="20"/>
                <w:szCs w:val="20"/>
                <w:color w:val="auto"/>
              </w:rPr>
            </w:pPr>
            <w:r>
              <w:rPr>
                <w:rFonts w:ascii="Times New Roman" w:cs="Times New Roman" w:eastAsia="Times New Roman" w:hAnsi="Times New Roman"/>
                <w:sz w:val="18"/>
                <w:szCs w:val="18"/>
                <w:color w:val="auto"/>
                <w:w w:val="99"/>
              </w:rPr>
              <w:t>BENEFICIALLY OWNED BY EACH REPORTING PERSON</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1,754,206 (</w:t>
            </w:r>
            <w:r>
              <w:rPr>
                <w:rFonts w:ascii="Times New Roman" w:cs="Times New Roman" w:eastAsia="Times New Roman" w:hAnsi="Times New Roman"/>
                <w:sz w:val="18"/>
                <w:szCs w:val="18"/>
                <w:i w:val="1"/>
                <w:iCs w:val="1"/>
                <w:color w:val="auto"/>
              </w:rPr>
              <w:t>See Item 5</w:t>
            </w:r>
            <w:r>
              <w:rPr>
                <w:rFonts w:ascii="Times New Roman" w:cs="Times New Roman" w:eastAsia="Times New Roman" w:hAnsi="Times New Roman"/>
                <w:sz w:val="18"/>
                <w:szCs w:val="18"/>
                <w:color w:val="auto"/>
              </w:rPr>
              <w:t>)</w:t>
            </w: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6800" w:type="dxa"/>
            <w:vAlign w:val="bottom"/>
            <w:tcBorders>
              <w:bottom w:val="single" w:sz="8" w:color="auto"/>
            </w:tcBorders>
            <w:gridSpan w:val="2"/>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tcBorders>
              <w:left w:val="single" w:sz="8" w:color="auto"/>
            </w:tcBorders>
          </w:tcPr>
          <w:p>
            <w:pPr>
              <w:jc w:val="center"/>
              <w:ind w:left="50"/>
              <w:spacing w:after="0" w:line="205" w:lineRule="exact"/>
              <w:rPr>
                <w:sz w:val="20"/>
                <w:szCs w:val="20"/>
                <w:color w:val="auto"/>
              </w:rPr>
            </w:pPr>
            <w:r>
              <w:rPr>
                <w:rFonts w:ascii="Times New Roman" w:cs="Times New Roman" w:eastAsia="Times New Roman" w:hAnsi="Times New Roman"/>
                <w:sz w:val="18"/>
                <w:szCs w:val="18"/>
                <w:b w:val="1"/>
                <w:bCs w:val="1"/>
                <w:color w:val="auto"/>
              </w:rPr>
              <w:t>12.</w:t>
            </w:r>
          </w:p>
        </w:tc>
        <w:tc>
          <w:tcPr>
            <w:tcW w:w="140" w:type="dxa"/>
            <w:vAlign w:val="bottom"/>
            <w:tcBorders>
              <w:right w:val="single" w:sz="8" w:color="auto"/>
            </w:tcBorders>
          </w:tcPr>
          <w:p>
            <w:pPr>
              <w:spacing w:after="0"/>
              <w:rPr>
                <w:sz w:val="17"/>
                <w:szCs w:val="17"/>
                <w:color w:val="auto"/>
              </w:rPr>
            </w:pPr>
          </w:p>
        </w:tc>
        <w:tc>
          <w:tcPr>
            <w:tcW w:w="872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auto"/>
              </w:rPr>
              <w:t>CHECK BOX IF THE AGGREGATE AMOUNT IN ROW (11) EXCLUDES</w:t>
            </w:r>
          </w:p>
        </w:tc>
        <w:tc>
          <w:tcPr>
            <w:tcW w:w="1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CERTAIN SHARES</w:t>
            </w:r>
          </w:p>
        </w:tc>
        <w:tc>
          <w:tcPr>
            <w:tcW w:w="2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940" w:type="dxa"/>
            <w:vAlign w:val="bottom"/>
            <w:tcBorders>
              <w:right w:val="single" w:sz="8" w:color="auto"/>
            </w:tcBorders>
            <w:vMerge w:val="restart"/>
          </w:tcPr>
          <w:p>
            <w:pPr>
              <w:ind w:left="1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460" w:type="dxa"/>
            <w:vAlign w:val="bottom"/>
            <w:tcBorders>
              <w:lef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9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6800" w:type="dxa"/>
            <w:vAlign w:val="bottom"/>
            <w:tcBorders>
              <w:bottom w:val="single" w:sz="8" w:color="auto"/>
            </w:tcBorders>
            <w:gridSpan w:val="2"/>
          </w:tcPr>
          <w:p>
            <w:pPr>
              <w:spacing w:after="0"/>
              <w:rPr>
                <w:sz w:val="17"/>
                <w:szCs w:val="17"/>
                <w:color w:val="auto"/>
              </w:rPr>
            </w:pPr>
          </w:p>
        </w:tc>
        <w:tc>
          <w:tcPr>
            <w:tcW w:w="1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 w:type="dxa"/>
            <w:vAlign w:val="bottom"/>
            <w:tcBorders>
              <w:right w:val="single" w:sz="8" w:color="auto"/>
            </w:tcBorders>
          </w:tcPr>
          <w:p>
            <w:pPr>
              <w:spacing w:after="0"/>
              <w:rPr>
                <w:sz w:val="20"/>
                <w:szCs w:val="20"/>
                <w:color w:val="auto"/>
              </w:rPr>
            </w:pPr>
          </w:p>
        </w:tc>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4.98% (</w:t>
            </w:r>
            <w:r>
              <w:rPr>
                <w:rFonts w:ascii="Times New Roman" w:cs="Times New Roman" w:eastAsia="Times New Roman" w:hAnsi="Times New Roman"/>
                <w:sz w:val="18"/>
                <w:szCs w:val="18"/>
                <w:i w:val="1"/>
                <w:iCs w:val="1"/>
                <w:color w:val="auto"/>
                <w:w w:val="98"/>
              </w:rPr>
              <w:t>See Item 5</w:t>
            </w:r>
            <w:r>
              <w:rPr>
                <w:rFonts w:ascii="Times New Roman" w:cs="Times New Roman" w:eastAsia="Times New Roman" w:hAnsi="Times New Roman"/>
                <w:sz w:val="18"/>
                <w:szCs w:val="18"/>
                <w:color w:val="auto"/>
                <w:w w:val="98"/>
              </w:rPr>
              <w:t>)</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right w:val="single" w:sz="8" w:color="auto"/>
            </w:tcBorders>
          </w:tcPr>
          <w:p>
            <w:pPr>
              <w:spacing w:after="0"/>
              <w:rPr>
                <w:sz w:val="20"/>
                <w:szCs w:val="20"/>
                <w:color w:val="auto"/>
              </w:rPr>
            </w:pPr>
          </w:p>
        </w:tc>
        <w:tc>
          <w:tcPr>
            <w:tcW w:w="4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452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60" w:type="dxa"/>
            <w:vAlign w:val="bottom"/>
            <w:tcBorders>
              <w:left w:val="single" w:sz="8" w:color="auto"/>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30"/>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94"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5 to Schedule 13D</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following constitutes Amendment No. 5 (“Amendment No. 5”) to the Schedule 13D filed with the Securities and Exchange Commission (“SEC”) by Comcast Corporation, NBCUniversal, LLC and NBCUniversal Media, LLC (collectively, the “Reporting Persons”) on December 13, 2021, as amended by Amendment No. 1 filed with the SEC on February 1, 2023, Amendment No. 2 filed with the SEC on February 6, 2023, Amendment No. 3 filed with the SEC on February 21, 2023 and Amendment No. 4 filed with the SEC on May 24, 2024 (collectively, “Schedule 13D”). This Amendment No. 5 amends, supplements and restates the Schedule 13D as specifically set forth herein. This Amendment No. 5 does not restate disclosures in the Schedule 13D that are not being amended and should be read in conjunction with the Schedule 13D. All capitalized terms contained herein but not otherwise defined shall have the meanings ascribed to such terms in the Schedule 13D. Information given in response to each item shall be deemed incorporated by reference in all other items, as applicable.</w:t>
      </w:r>
    </w:p>
    <w:p>
      <w:pPr>
        <w:spacing w:after="0" w:line="19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This Amendment No. 5 relates to the Class A Common Stock, par value $0.0001 per share (“Class A Common Stock”) of BuzzFeed, Inc., a Delaware corporation (the “Issuer”). On May 28, 2024, the Reporting Persons sold 245,794 shares of Class A Common Stock in the open market, and as a result, each of the Reporting Persons ceased to be the beneficial owner of more than five percent of the Class A Common Stock of the Issuer. The filing of this Amendment No. 5 represents the final amendment to the Schedule 13D and constitutes an exit filing for the Reporting Persons.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Amendment is filed to reflect the changes in the outstanding ownership held by the Reporting Persons.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5(a)-(b) is hereby amended and restated as follows:</w:t>
      </w:r>
    </w:p>
    <w:p>
      <w:pPr>
        <w:spacing w:after="0" w:line="225" w:lineRule="exact"/>
        <w:rPr>
          <w:sz w:val="20"/>
          <w:szCs w:val="20"/>
          <w:color w:val="auto"/>
        </w:rPr>
      </w:pPr>
    </w:p>
    <w:p>
      <w:pPr>
        <w:ind w:left="660" w:right="20" w:hanging="328"/>
        <w:spacing w:after="0" w:line="25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responses of the Reporting Persons to Rows (11) through (13) of the cover pages of this Schedule are incorporated herein by reference. As of May 28, 2024, the Reporting Persons shared beneficial ownership of an aggregate of 1,754,206 shares of Class A Common Stock of the Issuer, which is equal to approximately 4.98% of the outstanding shares of Class A Common Stock of the Issuer, based on 35,240,395 shares of Class A Common Stock of the Issuer that were outstanding as of May 10, 2024, as reported in the Issuer’s Quarterly Report on Form 10-Q for the quarterly period ended March 31, 2024 (the “Issuer’s Most Recent Quarterly Report”). However, the Reporting Persons’ 1,754,206 shares of Class A Common Stock represent less than 2% of the total voting power of all outstanding shares of the Issuer’s Class A Common Stock, Class B Common Stock and Class C Common Stock on a combined basis, as of May 10, 2024, based on information disclosed in the Issuer’s Most Recent Quarterly Report.</w:t>
      </w:r>
    </w:p>
    <w:p>
      <w:pPr>
        <w:spacing w:after="0" w:line="191" w:lineRule="exact"/>
        <w:rPr>
          <w:rFonts w:ascii="Times New Roman" w:cs="Times New Roman" w:eastAsia="Times New Roman" w:hAnsi="Times New Roman"/>
          <w:sz w:val="18"/>
          <w:szCs w:val="18"/>
          <w:color w:val="auto"/>
        </w:rPr>
      </w:pPr>
    </w:p>
    <w:p>
      <w:pPr>
        <w:ind w:left="66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Item 5(a), none of the Reporting Persons nor, to the best of their knowledge, any of their directors or executive officers, beneficially owns any shares of Class A Common Stock of the Issuer.</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 of the Reporting Persons to (i) Rows (7) through (10) of the cover pages of this Schedule and (ii) Item 5(a) hereof are incorporated herein by reference.</w:t>
      </w:r>
    </w:p>
    <w:p>
      <w:pPr>
        <w:spacing w:after="0" w:line="161" w:lineRule="exact"/>
        <w:rPr>
          <w:rFonts w:ascii="Times New Roman" w:cs="Times New Roman" w:eastAsia="Times New Roman" w:hAnsi="Times New Roman"/>
          <w:sz w:val="18"/>
          <w:szCs w:val="18"/>
          <w:color w:val="auto"/>
        </w:rPr>
      </w:pPr>
    </w:p>
    <w:p>
      <w:pPr>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Item 5(b), none of the Reporting Persons, nor to the best of their knowledge, any of their directors or executive officers, presently has the power to vote or direct the vote or to dispose or direct the disposition of any of the shares of Class A Common Stock of the Issuer which they may be deemed to beneficially own.</w:t>
      </w:r>
    </w:p>
    <w:p>
      <w:pPr>
        <w:spacing w:after="0" w:line="175"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3 of this Schedule, which is incorporated herein by reference, none of the Reporting Persons, nor, to the best of their knowledge, any of their directors or executive officers, has effected any transaction in the shares of Class A Common Stock of the Issuer during the past 60 days.</w:t>
      </w:r>
    </w:p>
    <w:p>
      <w:pPr>
        <w:spacing w:after="0" w:line="176"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transaction described herein, on May 28, 2024, each of the Reporting Persons ceased to be the beneficial owner of more than five percent of the Class A Common Stock of the Issuer. The filing of this Amendment No. 5 represents the final amendment to the Schedule 13D and constitutes an exit filing for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2024</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Name:Elizabeth Wideman</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Senior Vice President, Senior Deputy General Counsel and</w:t>
      </w:r>
    </w:p>
    <w:p>
      <w:pPr>
        <w:spacing w:after="0" w:line="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0" w:lineRule="exact"/>
        <w:rPr>
          <w:sz w:val="20"/>
          <w:szCs w:val="20"/>
          <w:color w:val="auto"/>
        </w:rPr>
      </w:pPr>
    </w:p>
    <w:p>
      <w:pPr>
        <w:spacing w:after="0" w:line="2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NBCUNIVERSAL, LLC</w:t>
      </w:r>
    </w:p>
    <w:p>
      <w:pPr>
        <w:spacing w:after="0" w:line="200" w:lineRule="exact"/>
        <w:rPr>
          <w:sz w:val="20"/>
          <w:szCs w:val="20"/>
          <w:color w:val="auto"/>
        </w:rPr>
      </w:pPr>
    </w:p>
    <w:p>
      <w:pPr>
        <w:spacing w:after="0" w:line="241"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Name:Elizabeth Wideman</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Senior Vice President and Assistant Secretary</w:t>
      </w:r>
    </w:p>
    <w:p>
      <w:pPr>
        <w:spacing w:after="0" w:line="200" w:lineRule="exact"/>
        <w:rPr>
          <w:sz w:val="20"/>
          <w:szCs w:val="20"/>
          <w:color w:val="auto"/>
        </w:rPr>
      </w:pPr>
    </w:p>
    <w:p>
      <w:pPr>
        <w:spacing w:after="0" w:line="2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00" w:lineRule="exact"/>
        <w:rPr>
          <w:sz w:val="20"/>
          <w:szCs w:val="20"/>
          <w:color w:val="auto"/>
        </w:rPr>
      </w:pPr>
    </w:p>
    <w:p>
      <w:pPr>
        <w:spacing w:after="0" w:line="241"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Name:Elizabeth Wideman</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Senior Vice President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780"/>
      </w:cols>
      <w:pgMar w:left="320" w:top="576"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2024-05-29T15:32:15Z</dcterms:created>
  <dcterms:modified xsi:type="dcterms:W3CDTF">2024-05-29T15:32:15Z</dcterms:modified>
</cp:coreProperties>
</file>