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6"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01" w:lineRule="exact"/>
        <w:rPr>
          <w:sz w:val="24"/>
          <w:szCs w:val="24"/>
          <w:color w:val="auto"/>
        </w:rPr>
      </w:pPr>
    </w:p>
    <w:p>
      <w:pPr>
        <w:ind w:left="5060"/>
        <w:spacing w:after="0"/>
        <w:rPr>
          <w:sz w:val="20"/>
          <w:szCs w:val="20"/>
          <w:color w:val="auto"/>
        </w:rPr>
      </w:pPr>
      <w:r>
        <w:rPr>
          <w:rFonts w:ascii="Arial" w:cs="Arial" w:eastAsia="Arial" w:hAnsi="Arial"/>
          <w:sz w:val="25"/>
          <w:szCs w:val="25"/>
          <w:b w:val="1"/>
          <w:bCs w:val="1"/>
          <w:color w:val="auto"/>
        </w:rPr>
        <w:t>FORM 8-K</w:t>
      </w:r>
    </w:p>
    <w:p>
      <w:pPr>
        <w:spacing w:after="0" w:line="226" w:lineRule="exact"/>
        <w:rPr>
          <w:sz w:val="24"/>
          <w:szCs w:val="24"/>
          <w:color w:val="auto"/>
        </w:rPr>
      </w:pPr>
    </w:p>
    <w:p>
      <w:pPr>
        <w:ind w:left="4540"/>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16, 2019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Comcast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5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001-32871</w:t>
            </w:r>
          </w:p>
        </w:tc>
        <w:tc>
          <w:tcPr>
            <w:tcW w:w="402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4500" w:type="dxa"/>
            <w:vAlign w:val="bottom"/>
          </w:tcPr>
          <w:p>
            <w:pPr>
              <w:jc w:val="center"/>
              <w:ind w:right="1470"/>
              <w:spacing w:after="0"/>
              <w:rPr>
                <w:sz w:val="20"/>
                <w:szCs w:val="20"/>
                <w:color w:val="auto"/>
              </w:rPr>
            </w:pPr>
            <w:r>
              <w:rPr>
                <w:rFonts w:ascii="Arial" w:cs="Arial" w:eastAsia="Arial" w:hAnsi="Arial"/>
                <w:sz w:val="18"/>
                <w:szCs w:val="18"/>
                <w:color w:val="auto"/>
                <w:w w:val="92"/>
              </w:rPr>
              <w:t>(Commission File Number)</w:t>
            </w:r>
          </w:p>
        </w:tc>
        <w:tc>
          <w:tcPr>
            <w:tcW w:w="4020" w:type="dxa"/>
            <w:vAlign w:val="bottom"/>
          </w:tcPr>
          <w:p>
            <w:pPr>
              <w:jc w:val="center"/>
              <w:ind w:left="14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5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One Comcast Center</w:t>
            </w:r>
          </w:p>
        </w:tc>
        <w:tc>
          <w:tcPr>
            <w:tcW w:w="4020" w:type="dxa"/>
            <w:vAlign w:val="bottom"/>
          </w:tcPr>
          <w:p>
            <w:pPr>
              <w:spacing w:after="0"/>
              <w:rPr>
                <w:sz w:val="24"/>
                <w:szCs w:val="24"/>
                <w:color w:val="auto"/>
              </w:rPr>
            </w:pPr>
          </w:p>
        </w:tc>
      </w:tr>
      <w:tr>
        <w:trPr>
          <w:trHeight w:val="220"/>
        </w:trPr>
        <w:tc>
          <w:tcPr>
            <w:tcW w:w="45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2"/>
              </w:rPr>
              <w:t>Philadelphia, PA</w:t>
            </w:r>
          </w:p>
        </w:tc>
        <w:tc>
          <w:tcPr>
            <w:tcW w:w="402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4500" w:type="dxa"/>
            <w:vAlign w:val="bottom"/>
          </w:tcPr>
          <w:p>
            <w:pPr>
              <w:jc w:val="center"/>
              <w:ind w:right="1470"/>
              <w:spacing w:after="0"/>
              <w:rPr>
                <w:sz w:val="20"/>
                <w:szCs w:val="20"/>
                <w:color w:val="auto"/>
              </w:rPr>
            </w:pPr>
            <w:r>
              <w:rPr>
                <w:rFonts w:ascii="Arial" w:cs="Arial" w:eastAsia="Arial" w:hAnsi="Arial"/>
                <w:sz w:val="18"/>
                <w:szCs w:val="18"/>
                <w:color w:val="auto"/>
                <w:w w:val="92"/>
              </w:rPr>
              <w:t>(Address of Principal Executive Offices)</w:t>
            </w:r>
          </w:p>
        </w:tc>
        <w:tc>
          <w:tcPr>
            <w:tcW w:w="402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right"/>
        <w:ind w:righ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29" w:lineRule="exact"/>
        <w:rPr>
          <w:sz w:val="24"/>
          <w:szCs w:val="24"/>
          <w:color w:val="auto"/>
        </w:rPr>
      </w:pPr>
    </w:p>
    <w:p>
      <w:pPr>
        <w:jc w:val="right"/>
        <w:ind w:right="33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4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5740" w:type="dxa"/>
            <w:vAlign w:val="bottom"/>
            <w:tcBorders>
              <w:top w:val="single" w:sz="8" w:color="auto"/>
              <w:left w:val="single" w:sz="8" w:color="auto"/>
              <w:right w:val="single" w:sz="8" w:color="auto"/>
            </w:tcBorders>
          </w:tcPr>
          <w:p>
            <w:pPr>
              <w:ind w:left="2200"/>
              <w:spacing w:after="0"/>
              <w:rPr>
                <w:sz w:val="20"/>
                <w:szCs w:val="20"/>
                <w:color w:val="auto"/>
              </w:rPr>
            </w:pPr>
            <w:r>
              <w:rPr>
                <w:rFonts w:ascii="Arial" w:cs="Arial" w:eastAsia="Arial" w:hAnsi="Arial"/>
                <w:sz w:val="18"/>
                <w:szCs w:val="18"/>
                <w:b w:val="1"/>
                <w:bCs w:val="1"/>
                <w:color w:val="auto"/>
              </w:rPr>
              <w:t>Title of each class</w:t>
            </w:r>
          </w:p>
        </w:tc>
        <w:tc>
          <w:tcPr>
            <w:tcW w:w="16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w w:val="94"/>
              </w:rPr>
              <w:t>Trading Symbol(s)</w:t>
            </w:r>
          </w:p>
        </w:tc>
        <w:tc>
          <w:tcPr>
            <w:tcW w:w="408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w w:val="96"/>
              </w:rPr>
              <w:t>Name of each exchange on which registered</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Class A Common Stock, $0.01 par value</w:t>
            </w:r>
          </w:p>
        </w:tc>
        <w:tc>
          <w:tcPr>
            <w:tcW w:w="1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CMCSA</w:t>
            </w:r>
          </w:p>
        </w:tc>
        <w:tc>
          <w:tcPr>
            <w:tcW w:w="4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Nasdaq Global Select Market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 Exchangeable Subordinated Debentures due 2029</w:t>
            </w:r>
          </w:p>
        </w:tc>
        <w:tc>
          <w:tcPr>
            <w:tcW w:w="1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CCZ</w:t>
            </w:r>
          </w:p>
        </w:tc>
        <w:tc>
          <w:tcPr>
            <w:tcW w:w="4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5.50% Notes due 2029</w:t>
            </w:r>
          </w:p>
        </w:tc>
        <w:tc>
          <w:tcPr>
            <w:tcW w:w="1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CCGBP29</w:t>
            </w:r>
          </w:p>
        </w:tc>
        <w:tc>
          <w:tcPr>
            <w:tcW w:w="4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9.455% Guaranteed Notes due 2022</w:t>
            </w:r>
          </w:p>
        </w:tc>
        <w:tc>
          <w:tcPr>
            <w:tcW w:w="1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CMCSA/22</w:t>
            </w:r>
          </w:p>
        </w:tc>
        <w:tc>
          <w:tcPr>
            <w:tcW w:w="4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December 16, 2019, Comcast Corporation announced that Stephen B. Burke, Senior Executive Vice President of Comcast and President and Chief Executive officer of NBCUniversal Media, will retire on August 14, 2020. In connection with his planned retirement, Mr. Burke will become Chairman, NBCUniversal effective January 1, 2020, and Jeff Shell will become CEO of NBCUniversal, reporting to Mr.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540" w:right="6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 December 16, 2019</w:t>
            </w: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By:  /s/ Thomas J. Reid</w:t>
            </w:r>
          </w:p>
        </w:tc>
      </w:tr>
      <w:tr>
        <w:trPr>
          <w:trHeight w:val="195"/>
        </w:trPr>
        <w:tc>
          <w:tcPr>
            <w:tcW w:w="3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Thomas J. Reid</w:t>
            </w:r>
          </w:p>
        </w:tc>
      </w:tr>
      <w:tr>
        <w:trPr>
          <w:trHeight w:val="230"/>
        </w:trPr>
        <w:tc>
          <w:tcPr>
            <w:tcW w:w="37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Title:  Senior Executive Vice President, General Counsel and Secretary</w:t>
            </w:r>
          </w:p>
        </w:tc>
      </w:tr>
      <w:tr>
        <w:trPr>
          <w:trHeight w:val="311"/>
        </w:trPr>
        <w:tc>
          <w:tcPr>
            <w:tcW w:w="37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2019-12-16T08:18:40Z</dcterms:created>
  <dcterms:modified xsi:type="dcterms:W3CDTF">2019-12-16T08:18:40Z</dcterms:modified>
</cp:coreProperties>
</file>