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208915</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The Securities Exchange Act of 1934</w:t>
      </w: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8380" w:type="dxa"/>
            <w:vAlign w:val="bottom"/>
            <w:gridSpan w:val="2"/>
          </w:tcPr>
          <w:p>
            <w:pPr>
              <w:jc w:val="center"/>
              <w:ind w:right="2950"/>
              <w:spacing w:after="0"/>
              <w:rPr>
                <w:sz w:val="20"/>
                <w:szCs w:val="20"/>
                <w:color w:val="auto"/>
              </w:rPr>
            </w:pPr>
            <w:r>
              <w:rPr>
                <w:rFonts w:ascii="Arial" w:cs="Arial" w:eastAsia="Arial" w:hAnsi="Arial"/>
                <w:sz w:val="18"/>
                <w:szCs w:val="18"/>
                <w:b w:val="1"/>
                <w:bCs w:val="1"/>
                <w:color w:val="auto"/>
                <w:w w:val="91"/>
              </w:rPr>
              <w:t>Date of report (Date of earliest event reported): October 18, 2017</w:t>
            </w:r>
          </w:p>
        </w:tc>
      </w:tr>
      <w:tr>
        <w:trPr>
          <w:trHeight w:val="414"/>
        </w:trPr>
        <w:tc>
          <w:tcPr>
            <w:tcW w:w="3040" w:type="dxa"/>
            <w:vAlign w:val="bottom"/>
          </w:tcPr>
          <w:p>
            <w:pPr>
              <w:spacing w:after="0"/>
              <w:rPr>
                <w:sz w:val="24"/>
                <w:szCs w:val="24"/>
                <w:color w:val="auto"/>
              </w:rPr>
            </w:pPr>
          </w:p>
        </w:tc>
        <w:tc>
          <w:tcPr>
            <w:tcW w:w="4900" w:type="dxa"/>
            <w:vAlign w:val="bottom"/>
          </w:tcPr>
          <w:p>
            <w:pPr>
              <w:jc w:val="center"/>
              <w:ind w:left="367"/>
              <w:spacing w:after="0"/>
              <w:rPr>
                <w:sz w:val="20"/>
                <w:szCs w:val="20"/>
                <w:color w:val="auto"/>
              </w:rPr>
            </w:pPr>
            <w:r>
              <w:rPr>
                <w:rFonts w:ascii="Arial" w:cs="Arial" w:eastAsia="Arial" w:hAnsi="Arial"/>
                <w:sz w:val="18"/>
                <w:szCs w:val="18"/>
                <w:b w:val="1"/>
                <w:bCs w:val="1"/>
                <w:color w:val="auto"/>
                <w:w w:val="90"/>
              </w:rPr>
              <w:t>Exact Name of Registrant; State of</w:t>
            </w:r>
          </w:p>
        </w:tc>
        <w:tc>
          <w:tcPr>
            <w:tcW w:w="34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900" w:type="dxa"/>
            <w:vAlign w:val="bottom"/>
          </w:tcPr>
          <w:p>
            <w:pPr>
              <w:jc w:val="center"/>
              <w:ind w:left="547"/>
              <w:spacing w:after="0"/>
              <w:rPr>
                <w:sz w:val="20"/>
                <w:szCs w:val="20"/>
                <w:color w:val="auto"/>
              </w:rPr>
            </w:pPr>
            <w:r>
              <w:rPr>
                <w:rFonts w:ascii="Arial" w:cs="Arial" w:eastAsia="Arial" w:hAnsi="Arial"/>
                <w:sz w:val="18"/>
                <w:szCs w:val="18"/>
                <w:b w:val="1"/>
                <w:bCs w:val="1"/>
                <w:color w:val="auto"/>
                <w:w w:val="90"/>
              </w:rPr>
              <w:t>Incorporation; Address and Telephone Number</w:t>
            </w:r>
          </w:p>
        </w:tc>
        <w:tc>
          <w:tcPr>
            <w:tcW w:w="3480" w:type="dxa"/>
            <w:vAlign w:val="bottom"/>
          </w:tcPr>
          <w:p>
            <w:pPr>
              <w:spacing w:after="0"/>
              <w:rPr>
                <w:sz w:val="18"/>
                <w:szCs w:val="18"/>
                <w:color w:val="auto"/>
              </w:rPr>
            </w:pPr>
          </w:p>
        </w:tc>
      </w:tr>
      <w:tr>
        <w:trPr>
          <w:trHeight w:val="234"/>
        </w:trPr>
        <w:tc>
          <w:tcPr>
            <w:tcW w:w="304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b w:val="1"/>
                <w:bCs w:val="1"/>
                <w:color w:val="auto"/>
                <w:w w:val="91"/>
              </w:rPr>
              <w:t>Commission File Number</w:t>
            </w:r>
          </w:p>
        </w:tc>
        <w:tc>
          <w:tcPr>
            <w:tcW w:w="4900" w:type="dxa"/>
            <w:vAlign w:val="bottom"/>
            <w:tcBorders>
              <w:bottom w:val="single" w:sz="8" w:color="auto"/>
            </w:tcBorders>
          </w:tcPr>
          <w:p>
            <w:pPr>
              <w:jc w:val="center"/>
              <w:ind w:left="567"/>
              <w:spacing w:after="0"/>
              <w:rPr>
                <w:sz w:val="20"/>
                <w:szCs w:val="20"/>
                <w:color w:val="auto"/>
              </w:rPr>
            </w:pPr>
            <w:r>
              <w:rPr>
                <w:rFonts w:ascii="Arial" w:cs="Arial" w:eastAsia="Arial" w:hAnsi="Arial"/>
                <w:sz w:val="18"/>
                <w:szCs w:val="18"/>
                <w:b w:val="1"/>
                <w:bCs w:val="1"/>
                <w:color w:val="auto"/>
                <w:w w:val="90"/>
              </w:rPr>
              <w:t>of Principal Executive Offices</w:t>
            </w:r>
          </w:p>
        </w:tc>
        <w:tc>
          <w:tcPr>
            <w:tcW w:w="34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222"/>
        </w:trPr>
        <w:tc>
          <w:tcPr>
            <w:tcW w:w="3040" w:type="dxa"/>
            <w:vAlign w:val="bottom"/>
          </w:tcPr>
          <w:p>
            <w:pPr>
              <w:jc w:val="center"/>
              <w:ind w:left="650"/>
              <w:spacing w:after="0"/>
              <w:rPr>
                <w:sz w:val="20"/>
                <w:szCs w:val="20"/>
                <w:color w:val="auto"/>
              </w:rPr>
            </w:pPr>
            <w:r>
              <w:rPr>
                <w:rFonts w:ascii="Arial" w:cs="Arial" w:eastAsia="Arial" w:hAnsi="Arial"/>
                <w:sz w:val="18"/>
                <w:szCs w:val="18"/>
                <w:color w:val="auto"/>
                <w:w w:val="90"/>
              </w:rPr>
              <w:t>001-32871</w:t>
            </w:r>
          </w:p>
        </w:tc>
        <w:tc>
          <w:tcPr>
            <w:tcW w:w="4900" w:type="dxa"/>
            <w:vAlign w:val="bottom"/>
          </w:tcPr>
          <w:p>
            <w:pPr>
              <w:jc w:val="center"/>
              <w:ind w:left="367"/>
              <w:spacing w:after="0" w:line="222" w:lineRule="exact"/>
              <w:rPr>
                <w:sz w:val="20"/>
                <w:szCs w:val="20"/>
                <w:color w:val="auto"/>
              </w:rPr>
            </w:pPr>
            <w:r>
              <w:rPr>
                <w:rFonts w:ascii="Arial" w:cs="Arial" w:eastAsia="Arial" w:hAnsi="Arial"/>
                <w:sz w:val="22"/>
                <w:szCs w:val="22"/>
                <w:b w:val="1"/>
                <w:bCs w:val="1"/>
                <w:color w:val="auto"/>
                <w:w w:val="99"/>
              </w:rPr>
              <w:t>COMCAST CORPORATION</w:t>
            </w:r>
          </w:p>
        </w:tc>
        <w:tc>
          <w:tcPr>
            <w:tcW w:w="3480" w:type="dxa"/>
            <w:vAlign w:val="bottom"/>
          </w:tcPr>
          <w:p>
            <w:pPr>
              <w:jc w:val="center"/>
              <w:ind w:right="190"/>
              <w:spacing w:after="0"/>
              <w:rPr>
                <w:sz w:val="20"/>
                <w:szCs w:val="20"/>
                <w:color w:val="auto"/>
              </w:rPr>
            </w:pPr>
            <w:r>
              <w:rPr>
                <w:rFonts w:ascii="Arial" w:cs="Arial" w:eastAsia="Arial" w:hAnsi="Arial"/>
                <w:sz w:val="18"/>
                <w:szCs w:val="18"/>
                <w:color w:val="auto"/>
                <w:w w:val="91"/>
              </w:rPr>
              <w:t>27-0000798</w:t>
            </w:r>
          </w:p>
        </w:tc>
      </w:tr>
      <w:tr>
        <w:trPr>
          <w:trHeight w:val="216"/>
        </w:trPr>
        <w:tc>
          <w:tcPr>
            <w:tcW w:w="3040" w:type="dxa"/>
            <w:vAlign w:val="bottom"/>
          </w:tcPr>
          <w:p>
            <w:pPr>
              <w:spacing w:after="0"/>
              <w:rPr>
                <w:sz w:val="18"/>
                <w:szCs w:val="18"/>
                <w:color w:val="auto"/>
              </w:rPr>
            </w:pPr>
          </w:p>
        </w:tc>
        <w:tc>
          <w:tcPr>
            <w:tcW w:w="4900" w:type="dxa"/>
            <w:vAlign w:val="bottom"/>
          </w:tcPr>
          <w:p>
            <w:pPr>
              <w:jc w:val="center"/>
              <w:ind w:left="327"/>
              <w:spacing w:after="0"/>
              <w:rPr>
                <w:sz w:val="20"/>
                <w:szCs w:val="20"/>
                <w:color w:val="auto"/>
              </w:rPr>
            </w:pPr>
            <w:r>
              <w:rPr>
                <w:rFonts w:ascii="Arial" w:cs="Arial" w:eastAsia="Arial" w:hAnsi="Arial"/>
                <w:sz w:val="18"/>
                <w:szCs w:val="18"/>
                <w:color w:val="auto"/>
                <w:w w:val="98"/>
              </w:rPr>
              <w:t>PENNSYLVANIA</w:t>
            </w:r>
          </w:p>
        </w:tc>
        <w:tc>
          <w:tcPr>
            <w:tcW w:w="34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4900" w:type="dxa"/>
            <w:vAlign w:val="bottom"/>
          </w:tcPr>
          <w:p>
            <w:pPr>
              <w:jc w:val="center"/>
              <w:ind w:left="307"/>
              <w:spacing w:after="0"/>
              <w:rPr>
                <w:sz w:val="20"/>
                <w:szCs w:val="20"/>
                <w:color w:val="auto"/>
              </w:rPr>
            </w:pPr>
            <w:r>
              <w:rPr>
                <w:rFonts w:ascii="Arial" w:cs="Arial" w:eastAsia="Arial" w:hAnsi="Arial"/>
                <w:sz w:val="18"/>
                <w:szCs w:val="18"/>
                <w:color w:val="auto"/>
                <w:w w:val="88"/>
              </w:rPr>
              <w:t>One Comcast Center</w:t>
            </w:r>
          </w:p>
        </w:tc>
        <w:tc>
          <w:tcPr>
            <w:tcW w:w="34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4900" w:type="dxa"/>
            <w:vAlign w:val="bottom"/>
          </w:tcPr>
          <w:p>
            <w:pPr>
              <w:jc w:val="center"/>
              <w:ind w:left="327"/>
              <w:spacing w:after="0"/>
              <w:rPr>
                <w:sz w:val="20"/>
                <w:szCs w:val="20"/>
                <w:color w:val="auto"/>
              </w:rPr>
            </w:pPr>
            <w:r>
              <w:rPr>
                <w:rFonts w:ascii="Arial" w:cs="Arial" w:eastAsia="Arial" w:hAnsi="Arial"/>
                <w:sz w:val="18"/>
                <w:szCs w:val="18"/>
                <w:color w:val="auto"/>
                <w:w w:val="90"/>
              </w:rPr>
              <w:t>Philadelphia, PA 19103-2838</w:t>
            </w:r>
          </w:p>
        </w:tc>
        <w:tc>
          <w:tcPr>
            <w:tcW w:w="348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4900" w:type="dxa"/>
            <w:vAlign w:val="bottom"/>
          </w:tcPr>
          <w:p>
            <w:pPr>
              <w:jc w:val="center"/>
              <w:ind w:left="367"/>
              <w:spacing w:after="0"/>
              <w:rPr>
                <w:sz w:val="20"/>
                <w:szCs w:val="20"/>
                <w:color w:val="auto"/>
              </w:rPr>
            </w:pPr>
            <w:r>
              <w:rPr>
                <w:rFonts w:ascii="Arial" w:cs="Arial" w:eastAsia="Arial" w:hAnsi="Arial"/>
                <w:sz w:val="18"/>
                <w:szCs w:val="18"/>
                <w:color w:val="auto"/>
                <w:w w:val="90"/>
              </w:rPr>
              <w:t>(215) 286-1700</w:t>
            </w:r>
          </w:p>
        </w:tc>
        <w:tc>
          <w:tcPr>
            <w:tcW w:w="3480" w:type="dxa"/>
            <w:vAlign w:val="bottom"/>
          </w:tcPr>
          <w:p>
            <w:pPr>
              <w:spacing w:after="0"/>
              <w:rPr>
                <w:sz w:val="20"/>
                <w:szCs w:val="20"/>
                <w:color w:val="auto"/>
              </w:rPr>
            </w:pPr>
          </w:p>
        </w:tc>
      </w:tr>
      <w:tr>
        <w:trPr>
          <w:trHeight w:val="445"/>
        </w:trPr>
        <w:tc>
          <w:tcPr>
            <w:tcW w:w="3040" w:type="dxa"/>
            <w:vAlign w:val="bottom"/>
          </w:tcPr>
          <w:p>
            <w:pPr>
              <w:jc w:val="center"/>
              <w:ind w:left="650"/>
              <w:spacing w:after="0"/>
              <w:rPr>
                <w:sz w:val="20"/>
                <w:szCs w:val="20"/>
                <w:color w:val="auto"/>
              </w:rPr>
            </w:pPr>
            <w:r>
              <w:rPr>
                <w:rFonts w:ascii="Arial" w:cs="Arial" w:eastAsia="Arial" w:hAnsi="Arial"/>
                <w:sz w:val="18"/>
                <w:szCs w:val="18"/>
                <w:color w:val="auto"/>
                <w:w w:val="90"/>
              </w:rPr>
              <w:t>001-36438</w:t>
            </w:r>
          </w:p>
        </w:tc>
        <w:tc>
          <w:tcPr>
            <w:tcW w:w="4900" w:type="dxa"/>
            <w:vAlign w:val="bottom"/>
          </w:tcPr>
          <w:p>
            <w:pPr>
              <w:jc w:val="center"/>
              <w:ind w:left="367"/>
              <w:spacing w:after="0"/>
              <w:rPr>
                <w:sz w:val="20"/>
                <w:szCs w:val="20"/>
                <w:color w:val="auto"/>
              </w:rPr>
            </w:pPr>
            <w:r>
              <w:rPr>
                <w:rFonts w:ascii="Arial" w:cs="Arial" w:eastAsia="Arial" w:hAnsi="Arial"/>
                <w:sz w:val="22"/>
                <w:szCs w:val="22"/>
                <w:b w:val="1"/>
                <w:bCs w:val="1"/>
                <w:color w:val="auto"/>
              </w:rPr>
              <w:t>NBCUNIVERSAL MEDIA, LLC</w:t>
            </w:r>
          </w:p>
        </w:tc>
        <w:tc>
          <w:tcPr>
            <w:tcW w:w="3480" w:type="dxa"/>
            <w:vAlign w:val="bottom"/>
          </w:tcPr>
          <w:p>
            <w:pPr>
              <w:jc w:val="center"/>
              <w:ind w:right="190"/>
              <w:spacing w:after="0"/>
              <w:rPr>
                <w:sz w:val="20"/>
                <w:szCs w:val="20"/>
                <w:color w:val="auto"/>
              </w:rPr>
            </w:pPr>
            <w:r>
              <w:rPr>
                <w:rFonts w:ascii="Arial" w:cs="Arial" w:eastAsia="Arial" w:hAnsi="Arial"/>
                <w:sz w:val="18"/>
                <w:szCs w:val="18"/>
                <w:color w:val="auto"/>
                <w:w w:val="91"/>
              </w:rPr>
              <w:t>14-1682529</w:t>
            </w:r>
          </w:p>
        </w:tc>
      </w:tr>
      <w:tr>
        <w:trPr>
          <w:trHeight w:val="216"/>
        </w:trPr>
        <w:tc>
          <w:tcPr>
            <w:tcW w:w="3040" w:type="dxa"/>
            <w:vAlign w:val="bottom"/>
          </w:tcPr>
          <w:p>
            <w:pPr>
              <w:spacing w:after="0"/>
              <w:rPr>
                <w:sz w:val="18"/>
                <w:szCs w:val="18"/>
                <w:color w:val="auto"/>
              </w:rPr>
            </w:pPr>
          </w:p>
        </w:tc>
        <w:tc>
          <w:tcPr>
            <w:tcW w:w="4900" w:type="dxa"/>
            <w:vAlign w:val="bottom"/>
          </w:tcPr>
          <w:p>
            <w:pPr>
              <w:jc w:val="center"/>
              <w:ind w:left="327"/>
              <w:spacing w:after="0"/>
              <w:rPr>
                <w:sz w:val="20"/>
                <w:szCs w:val="20"/>
                <w:color w:val="auto"/>
              </w:rPr>
            </w:pPr>
            <w:r>
              <w:rPr>
                <w:rFonts w:ascii="Arial" w:cs="Arial" w:eastAsia="Arial" w:hAnsi="Arial"/>
                <w:sz w:val="18"/>
                <w:szCs w:val="18"/>
                <w:color w:val="auto"/>
                <w:w w:val="94"/>
              </w:rPr>
              <w:t>DELAWARE</w:t>
            </w:r>
          </w:p>
        </w:tc>
        <w:tc>
          <w:tcPr>
            <w:tcW w:w="348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4900" w:type="dxa"/>
            <w:vAlign w:val="bottom"/>
          </w:tcPr>
          <w:p>
            <w:pPr>
              <w:jc w:val="center"/>
              <w:ind w:left="387"/>
              <w:spacing w:after="0"/>
              <w:rPr>
                <w:sz w:val="20"/>
                <w:szCs w:val="20"/>
                <w:color w:val="auto"/>
              </w:rPr>
            </w:pPr>
            <w:r>
              <w:rPr>
                <w:rFonts w:ascii="Arial" w:cs="Arial" w:eastAsia="Arial" w:hAnsi="Arial"/>
                <w:sz w:val="18"/>
                <w:szCs w:val="18"/>
                <w:color w:val="auto"/>
                <w:w w:val="90"/>
              </w:rPr>
              <w:t>30 Rockefeller Plaza</w:t>
            </w:r>
          </w:p>
        </w:tc>
        <w:tc>
          <w:tcPr>
            <w:tcW w:w="3480" w:type="dxa"/>
            <w:vAlign w:val="bottom"/>
          </w:tcPr>
          <w:p>
            <w:pPr>
              <w:spacing w:after="0"/>
              <w:rPr>
                <w:sz w:val="20"/>
                <w:szCs w:val="20"/>
                <w:color w:val="auto"/>
              </w:rPr>
            </w:pPr>
          </w:p>
        </w:tc>
      </w:tr>
    </w:tbl>
    <w:p>
      <w:pPr>
        <w:jc w:val="center"/>
        <w:ind w:right="-19"/>
        <w:spacing w:after="0"/>
        <w:rPr>
          <w:sz w:val="20"/>
          <w:szCs w:val="20"/>
          <w:color w:val="auto"/>
        </w:rPr>
      </w:pPr>
      <w:r>
        <w:rPr>
          <w:rFonts w:ascii="Arial" w:cs="Arial" w:eastAsia="Arial" w:hAnsi="Arial"/>
          <w:sz w:val="18"/>
          <w:szCs w:val="18"/>
          <w:color w:val="auto"/>
        </w:rPr>
        <w:t>New York, NY 10112-0015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(212) 664-4444</w:t>
      </w:r>
    </w:p>
    <w:p>
      <w:pPr>
        <w:spacing w:after="0" w:line="211"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420"/>
          </w:cols>
          <w:pgMar w:left="240" w:top="630" w:right="239" w:bottom="1440" w:gutter="0" w:footer="0" w:header="0"/>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2">
            <w:col w:w="2720" w:space="720"/>
            <w:col w:w="7980"/>
          </w:cols>
          <w:pgMar w:left="240" w:top="6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NBCUniveral Media, LLC</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34" w:lineRule="exact"/>
        <w:rPr>
          <w:sz w:val="24"/>
          <w:szCs w:val="24"/>
          <w:color w:val="auto"/>
        </w:rPr>
      </w:pPr>
    </w:p>
    <w:p>
      <w:pPr>
        <w:sectPr>
          <w:pgSz w:w="11900" w:h="16838" w:orient="portrait"/>
          <w:cols w:equalWidth="0" w:num="2">
            <w:col w:w="2720" w:space="720"/>
            <w:col w:w="7980"/>
          </w:cols>
          <w:pgMar w:left="240" w:top="630" w:right="239" w:bottom="1440" w:gutter="0" w:footer="0" w:header="0"/>
          <w:type w:val="continuous"/>
        </w:sectPr>
      </w:pPr>
    </w:p>
    <w:p>
      <w:pPr>
        <w:spacing w:after="0" w:line="3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Comcast Corporation</w:t>
            </w:r>
          </w:p>
        </w:tc>
        <w:tc>
          <w:tcPr>
            <w:tcW w:w="8720" w:type="dxa"/>
            <w:vAlign w:val="bottom"/>
          </w:tcPr>
          <w:p>
            <w:pPr>
              <w:ind w:left="740"/>
              <w:spacing w:after="0"/>
              <w:rPr>
                <w:sz w:val="20"/>
                <w:szCs w:val="20"/>
                <w:color w:val="auto"/>
              </w:rPr>
            </w:pPr>
            <w:r>
              <w:rPr>
                <w:rFonts w:ascii="Arial" w:cs="Arial" w:eastAsia="Arial" w:hAnsi="Arial"/>
                <w:sz w:val="18"/>
                <w:szCs w:val="18"/>
                <w:color w:val="auto"/>
              </w:rPr>
              <w:t>o</w:t>
            </w:r>
          </w:p>
        </w:tc>
      </w:tr>
      <w:tr>
        <w:trPr>
          <w:trHeight w:val="432"/>
        </w:trPr>
        <w:tc>
          <w:tcPr>
            <w:tcW w:w="2700" w:type="dxa"/>
            <w:vAlign w:val="bottom"/>
          </w:tcPr>
          <w:p>
            <w:pPr>
              <w:spacing w:after="0"/>
              <w:rPr>
                <w:sz w:val="20"/>
                <w:szCs w:val="20"/>
                <w:color w:val="auto"/>
              </w:rPr>
            </w:pPr>
            <w:r>
              <w:rPr>
                <w:rFonts w:ascii="Arial" w:cs="Arial" w:eastAsia="Arial" w:hAnsi="Arial"/>
                <w:sz w:val="18"/>
                <w:szCs w:val="18"/>
                <w:color w:val="auto"/>
              </w:rPr>
              <w:t>NBCUniveral Media, LLC</w:t>
            </w:r>
          </w:p>
        </w:tc>
        <w:tc>
          <w:tcPr>
            <w:tcW w:w="8720" w:type="dxa"/>
            <w:vAlign w:val="bottom"/>
          </w:tcPr>
          <w:p>
            <w:pPr>
              <w:ind w:left="740"/>
              <w:spacing w:after="0"/>
              <w:rPr>
                <w:sz w:val="20"/>
                <w:szCs w:val="20"/>
                <w:color w:val="auto"/>
              </w:rPr>
            </w:pPr>
            <w:r>
              <w:rPr>
                <w:rFonts w:ascii="Arial" w:cs="Arial" w:eastAsia="Arial" w:hAnsi="Arial"/>
                <w:sz w:val="18"/>
                <w:szCs w:val="18"/>
                <w:color w:val="auto"/>
              </w:rPr>
              <w:t>o</w:t>
            </w:r>
          </w:p>
        </w:tc>
      </w:tr>
      <w:tr>
        <w:trPr>
          <w:trHeight w:val="237"/>
        </w:trPr>
        <w:tc>
          <w:tcPr>
            <w:tcW w:w="2700" w:type="dxa"/>
            <w:vAlign w:val="bottom"/>
            <w:tcBorders>
              <w:bottom w:val="single" w:sz="8" w:color="auto"/>
            </w:tcBorders>
          </w:tcPr>
          <w:p>
            <w:pPr>
              <w:spacing w:after="0"/>
              <w:rPr>
                <w:sz w:val="20"/>
                <w:szCs w:val="20"/>
                <w:color w:val="auto"/>
              </w:rPr>
            </w:pPr>
          </w:p>
        </w:tc>
        <w:tc>
          <w:tcPr>
            <w:tcW w:w="8720" w:type="dxa"/>
            <w:vAlign w:val="bottom"/>
            <w:tcBorders>
              <w:bottom w:val="single" w:sz="8" w:color="auto"/>
            </w:tcBorders>
          </w:tcPr>
          <w:p>
            <w:pPr>
              <w:spacing w:after="0"/>
              <w:rPr>
                <w:sz w:val="20"/>
                <w:szCs w:val="20"/>
                <w:color w:val="auto"/>
              </w:rPr>
            </w:pPr>
          </w:p>
        </w:tc>
      </w:tr>
      <w:tr>
        <w:trPr>
          <w:trHeight w:val="68"/>
        </w:trPr>
        <w:tc>
          <w:tcPr>
            <w:tcW w:w="2700" w:type="dxa"/>
            <w:vAlign w:val="bottom"/>
            <w:shd w:val="clear" w:color="auto" w:fill="000000"/>
          </w:tcPr>
          <w:p>
            <w:pPr>
              <w:spacing w:after="0"/>
              <w:rPr>
                <w:sz w:val="5"/>
                <w:szCs w:val="5"/>
                <w:color w:val="auto"/>
              </w:rPr>
            </w:pPr>
          </w:p>
        </w:tc>
        <w:tc>
          <w:tcPr>
            <w:tcW w:w="8720" w:type="dxa"/>
            <w:vAlign w:val="bottom"/>
            <w:shd w:val="clear" w:color="auto" w:fill="000000"/>
          </w:tcPr>
          <w:p>
            <w:pPr>
              <w:spacing w:after="0"/>
              <w:rPr>
                <w:sz w:val="5"/>
                <w:szCs w:val="5"/>
                <w:color w:val="auto"/>
              </w:rPr>
            </w:pPr>
          </w:p>
        </w:tc>
      </w:tr>
      <w:tr>
        <w:trPr>
          <w:trHeight w:val="419"/>
        </w:trPr>
        <w:tc>
          <w:tcPr>
            <w:tcW w:w="270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30" w:right="239" w:bottom="1440" w:gutter="0" w:footer="0" w:header="0"/>
          <w:type w:val="continuous"/>
        </w:sectPr>
      </w:pPr>
    </w:p>
    <w:bookmarkStart w:id="1" w:name="page2"/>
    <w:bookmarkEnd w:id="1"/>
    <w:p>
      <w:pPr>
        <w:ind w:left="180"/>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On October 18, 2017, Comcast Corporation (“Comcast”) and NBCUniversal Media, LLC (“NBCUniversal”) issued a joint press release announcing the early tender results of its previously announced private offers to exchange (the “Exchange Offer”) new series of Comcast senior notes (the “New Notes”) for Comcast’s outstanding 6.950% Notes due 2037, 6.550% Notes due 2039, 6.400% Notes due March 1, 2040, 6.450% Notes due 2037, 6.400% Notes due 2038, 6.500% Notes due 2035 and 5.650% Notes due 2035, and NBCUniversal’s outstanding 6.400% Notes due April 30, 2040 and 5.950% Notes due 2041. A copy of the press release is filed as Exhibit 99.1 to this Current Report on Form 8-K and is incorporated herein by reference.</w:t>
      </w:r>
    </w:p>
    <w:p>
      <w:pPr>
        <w:spacing w:after="0" w:line="158"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In addition, on October 18, 2017, Comcast and NBCUniversal issued a joint press release announcing the pricing terms and expected settlement date of the Exchange Offer. A copy of the press release is filed as Exhibit 99.2 to this Current Report on Form 8-K and is incorporated herein by reference.</w:t>
      </w:r>
    </w:p>
    <w:p>
      <w:pPr>
        <w:spacing w:after="0" w:line="12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New Notes have not been registered under the U.S. Securities Act of 1933, as amended (the “Securities Act”) or any other applicable securities laws. Therefore, the New Notes may not be offered or sold except pursuant to an exemption from or in a transaction not subject to the registration requirements of the Securities Act and the applicable state securities laws.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9.01(d)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02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102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9960" w:type="dxa"/>
            <w:vAlign w:val="bottom"/>
            <w:tcBorders>
              <w:bottom w:val="single" w:sz="8" w:color="0000EE"/>
            </w:tcBorders>
            <w:gridSpan w:val="4"/>
          </w:tcPr>
          <w:p>
            <w:pPr>
              <w:spacing w:after="0" w:line="182"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Comcast Corporation and NBCUniversal Media, LLC Press Release dated October 18, 2017, announcing early tender results of Exchange</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Offer.</w:t>
              </w:r>
            </w:hyperlink>
          </w:p>
        </w:tc>
        <w:tc>
          <w:tcPr>
            <w:tcW w:w="98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19"/>
                <w:szCs w:val="19"/>
                <w:color w:val="auto"/>
              </w:rPr>
            </w:pPr>
          </w:p>
        </w:tc>
        <w:tc>
          <w:tcPr>
            <w:tcW w:w="95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Comcast Corporation and NBCUniversal Media, LLC Press Release dated October 18, 2017, announcing pricing terms and expected</w:t>
              </w:r>
            </w:hyperlink>
          </w:p>
        </w:tc>
        <w:tc>
          <w:tcPr>
            <w:tcW w:w="6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settlement date of Exchange Offer.</w:t>
              </w:r>
            </w:hyperlink>
          </w:p>
        </w:tc>
        <w:tc>
          <w:tcPr>
            <w:tcW w:w="0" w:type="dxa"/>
            <w:vAlign w:val="bottom"/>
          </w:tcPr>
          <w:p>
            <w:pPr>
              <w:spacing w:after="0"/>
              <w:rPr>
                <w:sz w:val="1"/>
                <w:szCs w:val="1"/>
                <w:color w:val="auto"/>
              </w:rPr>
            </w:pPr>
          </w:p>
        </w:tc>
      </w:tr>
      <w:tr>
        <w:trPr>
          <w:trHeight w:val="696"/>
        </w:trPr>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80" w:type="dxa"/>
            <w:vAlign w:val="bottom"/>
            <w:tcBorders>
              <w:top w:val="single" w:sz="8" w:color="0000EE"/>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3"/>
          </w:tcPr>
          <w:p>
            <w:pPr>
              <w:ind w:left="184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    October 19, 2017</w:t>
            </w:r>
          </w:p>
        </w:tc>
        <w:tc>
          <w:tcPr>
            <w:tcW w:w="7640" w:type="dxa"/>
            <w:vAlign w:val="bottom"/>
            <w:gridSpan w:val="3"/>
          </w:tcPr>
          <w:p>
            <w:pPr>
              <w:ind w:left="1840"/>
              <w:spacing w:after="0"/>
              <w:rPr>
                <w:sz w:val="20"/>
                <w:szCs w:val="20"/>
                <w:color w:val="auto"/>
              </w:rPr>
            </w:pPr>
            <w:r>
              <w:rPr>
                <w:rFonts w:ascii="Arial" w:cs="Arial" w:eastAsia="Arial" w:hAnsi="Arial"/>
                <w:sz w:val="18"/>
                <w:szCs w:val="18"/>
                <w:color w:val="auto"/>
              </w:rPr>
              <w:t>By:    /s/ Arthur R. Block</w:t>
            </w:r>
          </w:p>
        </w:tc>
      </w:tr>
      <w:tr>
        <w:trPr>
          <w:trHeight w:val="195"/>
        </w:trPr>
        <w:tc>
          <w:tcPr>
            <w:tcW w:w="3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37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w w:val="98"/>
              </w:rPr>
              <w:t>Executive Vice President, General Counsel and Secretary</w:t>
            </w: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3"/>
          </w:tcPr>
          <w:p>
            <w:pPr>
              <w:ind w:left="1840"/>
              <w:spacing w:after="0"/>
              <w:rPr>
                <w:sz w:val="20"/>
                <w:szCs w:val="20"/>
                <w:color w:val="auto"/>
              </w:rPr>
            </w:pPr>
            <w:r>
              <w:rPr>
                <w:rFonts w:ascii="Arial" w:cs="Arial" w:eastAsia="Arial" w:hAnsi="Arial"/>
                <w:sz w:val="18"/>
                <w:szCs w:val="18"/>
                <w:b w:val="1"/>
                <w:bCs w:val="1"/>
                <w:color w:val="auto"/>
              </w:rPr>
              <w:t>NBCUNIVERSAL MEDIA, LLC</w:t>
            </w: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    October 19, 2017</w:t>
            </w:r>
          </w:p>
        </w:tc>
        <w:tc>
          <w:tcPr>
            <w:tcW w:w="7640" w:type="dxa"/>
            <w:vAlign w:val="bottom"/>
            <w:gridSpan w:val="3"/>
          </w:tcPr>
          <w:p>
            <w:pPr>
              <w:ind w:left="1840"/>
              <w:spacing w:after="0"/>
              <w:rPr>
                <w:sz w:val="20"/>
                <w:szCs w:val="20"/>
                <w:color w:val="auto"/>
              </w:rPr>
            </w:pPr>
            <w:r>
              <w:rPr>
                <w:rFonts w:ascii="Arial" w:cs="Arial" w:eastAsia="Arial" w:hAnsi="Arial"/>
                <w:sz w:val="18"/>
                <w:szCs w:val="18"/>
                <w:color w:val="auto"/>
              </w:rPr>
              <w:t>By:    /s/ Arthur R. Block</w:t>
            </w:r>
          </w:p>
        </w:tc>
      </w:tr>
      <w:tr>
        <w:trPr>
          <w:trHeight w:val="195"/>
        </w:trPr>
        <w:tc>
          <w:tcPr>
            <w:tcW w:w="3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37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1148"/>
        </w:trPr>
        <w:tc>
          <w:tcPr>
            <w:tcW w:w="37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169545</wp:posOffset>
            </wp:positionV>
            <wp:extent cx="1440815"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81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AND NBCUNIVERSAL MEDIA ANNOUNCE EARLY TENDER RESULTS FOR EXCHANGE OFFER</w:t>
      </w:r>
    </w:p>
    <w:p>
      <w:pPr>
        <w:spacing w:after="0" w:line="2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Philadelphia, Pennsylvania, October 18, 2017 </w:t>
      </w:r>
      <w:r>
        <w:rPr>
          <w:rFonts w:ascii="Arial" w:cs="Arial" w:eastAsia="Arial" w:hAnsi="Arial"/>
          <w:sz w:val="18"/>
          <w:szCs w:val="18"/>
          <w:color w:val="auto"/>
        </w:rPr>
        <w:t>– Comcast Corporation (Nasdaq: CMCSA) (“Comcast”) and NBCUniversal Media, LLC (“NBCUniversal”)</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today the early tender results of its private offers to exchange (the “Exchange Offer”) certain series of existing Comcast and NBCUniversal notes (the “Old Notes”) described in the table below for Comcast’s new notes due November 1, 2047 (the “New 2047 Notes”), new notes due November 1, 2049 (the “New 2049 Notes”) and new notes due November 1, 2052 (the “New 2052 Notes” and, together with the New 2047 Notes and the New 2049 Notes, the “New Notes”):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660" w:type="dxa"/>
            <w:vAlign w:val="bottom"/>
            <w:tcBorders>
              <w:top w:val="single" w:sz="8" w:color="auto"/>
              <w:left w:val="single" w:sz="8" w:color="auto"/>
            </w:tcBorders>
            <w:shd w:val="clear" w:color="auto" w:fill="CCCCCC"/>
          </w:tcPr>
          <w:p>
            <w:pPr>
              <w:spacing w:after="0"/>
              <w:rPr>
                <w:sz w:val="18"/>
                <w:szCs w:val="18"/>
                <w:color w:val="auto"/>
              </w:rPr>
            </w:pPr>
          </w:p>
        </w:tc>
        <w:tc>
          <w:tcPr>
            <w:tcW w:w="2560" w:type="dxa"/>
            <w:vAlign w:val="bottom"/>
            <w:tcBorders>
              <w:top w:val="single" w:sz="8" w:color="auto"/>
              <w:right w:val="single" w:sz="8" w:color="auto"/>
            </w:tcBorders>
            <w:shd w:val="clear" w:color="auto" w:fill="CCCCCC"/>
          </w:tcPr>
          <w:p>
            <w:pPr>
              <w:spacing w:after="0"/>
              <w:rPr>
                <w:sz w:val="18"/>
                <w:szCs w:val="18"/>
                <w:color w:val="auto"/>
              </w:rPr>
            </w:pPr>
          </w:p>
        </w:tc>
        <w:tc>
          <w:tcPr>
            <w:tcW w:w="2060" w:type="dxa"/>
            <w:vAlign w:val="bottom"/>
            <w:tcBorders>
              <w:top w:val="single" w:sz="8" w:color="auto"/>
              <w:right w:val="single" w:sz="8" w:color="auto"/>
            </w:tcBorders>
            <w:shd w:val="clear" w:color="auto" w:fill="CCCCCC"/>
          </w:tcPr>
          <w:p>
            <w:pPr>
              <w:spacing w:after="0"/>
              <w:rPr>
                <w:sz w:val="18"/>
                <w:szCs w:val="18"/>
                <w:color w:val="auto"/>
              </w:rPr>
            </w:pPr>
          </w:p>
        </w:tc>
        <w:tc>
          <w:tcPr>
            <w:tcW w:w="1940" w:type="dxa"/>
            <w:vAlign w:val="bottom"/>
            <w:tcBorders>
              <w:top w:val="single" w:sz="8" w:color="auto"/>
              <w:right w:val="single" w:sz="8" w:color="auto"/>
            </w:tcBorders>
            <w:shd w:val="clear" w:color="auto" w:fill="CCCCCC"/>
          </w:tcPr>
          <w:p>
            <w:pPr>
              <w:spacing w:after="0"/>
              <w:rPr>
                <w:sz w:val="18"/>
                <w:szCs w:val="18"/>
                <w:color w:val="auto"/>
              </w:rPr>
            </w:pPr>
          </w:p>
        </w:tc>
        <w:tc>
          <w:tcPr>
            <w:tcW w:w="1600" w:type="dxa"/>
            <w:vAlign w:val="bottom"/>
            <w:tcBorders>
              <w:top w:val="single" w:sz="8" w:color="auto"/>
              <w:right w:val="single" w:sz="8" w:color="auto"/>
            </w:tcBorders>
            <w:shd w:val="clear" w:color="auto" w:fill="CCCCCC"/>
          </w:tcPr>
          <w:p>
            <w:pPr>
              <w:spacing w:after="0"/>
              <w:rPr>
                <w:sz w:val="18"/>
                <w:szCs w:val="18"/>
                <w:color w:val="auto"/>
              </w:rPr>
            </w:pPr>
          </w:p>
        </w:tc>
        <w:tc>
          <w:tcPr>
            <w:tcW w:w="1240" w:type="dxa"/>
            <w:vAlign w:val="bottom"/>
            <w:tcBorders>
              <w:top w:val="single" w:sz="8" w:color="auto"/>
              <w:right w:val="single" w:sz="8" w:color="auto"/>
            </w:tcBorders>
            <w:shd w:val="clear" w:color="auto" w:fill="CCCCCC"/>
          </w:tcPr>
          <w:p>
            <w:pPr>
              <w:spacing w:after="0"/>
              <w:rPr>
                <w:sz w:val="18"/>
                <w:szCs w:val="18"/>
                <w:color w:val="auto"/>
              </w:rPr>
            </w:pPr>
          </w:p>
        </w:tc>
        <w:tc>
          <w:tcPr>
            <w:tcW w:w="136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0" w:type="dxa"/>
            <w:vAlign w:val="bottom"/>
          </w:tcPr>
          <w:p>
            <w:pPr>
              <w:spacing w:after="0"/>
              <w:rPr>
                <w:sz w:val="1"/>
                <w:szCs w:val="1"/>
                <w:color w:val="auto"/>
              </w:rPr>
            </w:pPr>
          </w:p>
        </w:tc>
      </w:tr>
      <w:tr>
        <w:trPr>
          <w:trHeight w:val="221"/>
        </w:trPr>
        <w:tc>
          <w:tcPr>
            <w:tcW w:w="660" w:type="dxa"/>
            <w:vAlign w:val="bottom"/>
            <w:tcBorders>
              <w:left w:val="single" w:sz="8" w:color="auto"/>
            </w:tcBorders>
            <w:shd w:val="clear" w:color="auto" w:fill="CCCCCC"/>
          </w:tcPr>
          <w:p>
            <w:pPr>
              <w:spacing w:after="0"/>
              <w:rPr>
                <w:sz w:val="19"/>
                <w:szCs w:val="19"/>
                <w:color w:val="auto"/>
              </w:rPr>
            </w:pPr>
          </w:p>
        </w:tc>
        <w:tc>
          <w:tcPr>
            <w:tcW w:w="2560" w:type="dxa"/>
            <w:vAlign w:val="bottom"/>
            <w:tcBorders>
              <w:right w:val="single" w:sz="8" w:color="auto"/>
            </w:tcBorders>
            <w:shd w:val="clear" w:color="auto" w:fill="CCCCCC"/>
          </w:tcPr>
          <w:p>
            <w:pPr>
              <w:spacing w:after="0"/>
              <w:rPr>
                <w:sz w:val="19"/>
                <w:szCs w:val="19"/>
                <w:color w:val="auto"/>
              </w:rPr>
            </w:pPr>
          </w:p>
        </w:tc>
        <w:tc>
          <w:tcPr>
            <w:tcW w:w="2060" w:type="dxa"/>
            <w:vAlign w:val="bottom"/>
            <w:tcBorders>
              <w:right w:val="single" w:sz="8" w:color="auto"/>
            </w:tcBorders>
            <w:shd w:val="clear" w:color="auto" w:fill="CCCCCC"/>
          </w:tcPr>
          <w:p>
            <w:pPr>
              <w:spacing w:after="0"/>
              <w:rPr>
                <w:sz w:val="19"/>
                <w:szCs w:val="19"/>
                <w:color w:val="auto"/>
              </w:rPr>
            </w:pPr>
          </w:p>
        </w:tc>
        <w:tc>
          <w:tcPr>
            <w:tcW w:w="1940" w:type="dxa"/>
            <w:vAlign w:val="bottom"/>
            <w:tcBorders>
              <w:right w:val="single" w:sz="8" w:color="auto"/>
            </w:tcBorders>
            <w:shd w:val="clear" w:color="auto" w:fill="CCCCCC"/>
          </w:tcPr>
          <w:p>
            <w:pPr>
              <w:spacing w:after="0"/>
              <w:rPr>
                <w:sz w:val="19"/>
                <w:szCs w:val="19"/>
                <w:color w:val="auto"/>
              </w:rPr>
            </w:pPr>
          </w:p>
        </w:tc>
        <w:tc>
          <w:tcPr>
            <w:tcW w:w="160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124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87"/>
              </w:rPr>
              <w:t>Acceptance</w:t>
            </w:r>
          </w:p>
        </w:tc>
        <w:tc>
          <w:tcPr>
            <w:tcW w:w="136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52"/>
        </w:trPr>
        <w:tc>
          <w:tcPr>
            <w:tcW w:w="660" w:type="dxa"/>
            <w:vAlign w:val="bottom"/>
            <w:tcBorders>
              <w:left w:val="single" w:sz="8" w:color="auto"/>
            </w:tcBorders>
            <w:shd w:val="clear" w:color="auto" w:fill="CCCCCC"/>
          </w:tcPr>
          <w:p>
            <w:pPr>
              <w:spacing w:after="0"/>
              <w:rPr>
                <w:sz w:val="21"/>
                <w:szCs w:val="21"/>
                <w:color w:val="auto"/>
              </w:rPr>
            </w:pPr>
          </w:p>
        </w:tc>
        <w:tc>
          <w:tcPr>
            <w:tcW w:w="2560" w:type="dxa"/>
            <w:vAlign w:val="bottom"/>
            <w:tcBorders>
              <w:right w:val="single" w:sz="8" w:color="auto"/>
            </w:tcBorders>
            <w:shd w:val="clear" w:color="auto" w:fill="CCCCCC"/>
          </w:tcPr>
          <w:p>
            <w:pPr>
              <w:spacing w:after="0"/>
              <w:rPr>
                <w:sz w:val="21"/>
                <w:szCs w:val="21"/>
                <w:color w:val="auto"/>
              </w:rPr>
            </w:pPr>
          </w:p>
        </w:tc>
        <w:tc>
          <w:tcPr>
            <w:tcW w:w="2060" w:type="dxa"/>
            <w:vAlign w:val="bottom"/>
            <w:tcBorders>
              <w:right w:val="single" w:sz="8" w:color="auto"/>
            </w:tcBorders>
            <w:vMerge w:val="restart"/>
            <w:shd w:val="clear" w:color="auto" w:fill="CCCCCC"/>
          </w:tcPr>
          <w:p>
            <w:pPr>
              <w:ind w:left="700"/>
              <w:spacing w:after="0"/>
              <w:rPr>
                <w:sz w:val="20"/>
                <w:szCs w:val="20"/>
                <w:color w:val="auto"/>
              </w:rPr>
            </w:pPr>
            <w:r>
              <w:rPr>
                <w:rFonts w:ascii="Arial" w:cs="Arial" w:eastAsia="Arial" w:hAnsi="Arial"/>
                <w:sz w:val="18"/>
                <w:szCs w:val="18"/>
                <w:b w:val="1"/>
                <w:bCs w:val="1"/>
                <w:color w:val="auto"/>
              </w:rPr>
              <w:t>Issuer</w:t>
            </w:r>
            <w:r>
              <w:rPr>
                <w:rFonts w:ascii="Arial" w:cs="Arial" w:eastAsia="Arial" w:hAnsi="Arial"/>
                <w:sz w:val="30"/>
                <w:szCs w:val="30"/>
                <w:b w:val="1"/>
                <w:bCs w:val="1"/>
                <w:color w:val="auto"/>
                <w:vertAlign w:val="superscript"/>
              </w:rPr>
              <w:t>(1)</w:t>
            </w:r>
          </w:p>
        </w:tc>
        <w:tc>
          <w:tcPr>
            <w:tcW w:w="1940" w:type="dxa"/>
            <w:vAlign w:val="bottom"/>
            <w:tcBorders>
              <w:right w:val="single" w:sz="8" w:color="auto"/>
            </w:tcBorders>
            <w:shd w:val="clear" w:color="auto" w:fill="CCCCCC"/>
          </w:tcPr>
          <w:p>
            <w:pPr>
              <w:ind w:left="660"/>
              <w:spacing w:after="0"/>
              <w:rPr>
                <w:sz w:val="20"/>
                <w:szCs w:val="20"/>
                <w:color w:val="auto"/>
              </w:rPr>
            </w:pPr>
            <w:r>
              <w:rPr>
                <w:rFonts w:ascii="Arial" w:cs="Arial" w:eastAsia="Arial" w:hAnsi="Arial"/>
                <w:sz w:val="18"/>
                <w:szCs w:val="18"/>
                <w:b w:val="1"/>
                <w:bCs w:val="1"/>
                <w:color w:val="auto"/>
              </w:rPr>
              <w:t>CUSIP</w:t>
            </w:r>
          </w:p>
        </w:tc>
        <w:tc>
          <w:tcPr>
            <w:tcW w:w="160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2"/>
              </w:rPr>
              <w:t>Outstanding</w:t>
            </w:r>
          </w:p>
        </w:tc>
        <w:tc>
          <w:tcPr>
            <w:tcW w:w="124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8"/>
              </w:rPr>
              <w:t>Priority</w:t>
            </w:r>
          </w:p>
        </w:tc>
        <w:tc>
          <w:tcPr>
            <w:tcW w:w="1360" w:type="dxa"/>
            <w:vAlign w:val="bottom"/>
            <w:tcBorders>
              <w:right w:val="single" w:sz="8" w:color="auto"/>
            </w:tcBorders>
            <w:shd w:val="clear" w:color="auto" w:fill="CCCCCC"/>
          </w:tcPr>
          <w:p>
            <w:pPr>
              <w:jc w:val="center"/>
              <w:spacing w:after="0" w:line="252" w:lineRule="exact"/>
              <w:rPr>
                <w:sz w:val="20"/>
                <w:szCs w:val="20"/>
                <w:color w:val="auto"/>
              </w:rPr>
            </w:pPr>
            <w:r>
              <w:rPr>
                <w:rFonts w:ascii="Arial" w:cs="Arial" w:eastAsia="Arial" w:hAnsi="Arial"/>
                <w:sz w:val="18"/>
                <w:szCs w:val="18"/>
                <w:b w:val="1"/>
                <w:bCs w:val="1"/>
                <w:color w:val="auto"/>
                <w:w w:val="85"/>
              </w:rPr>
              <w:t>Tendered</w:t>
            </w:r>
            <w:r>
              <w:rPr>
                <w:rFonts w:ascii="Arial" w:cs="Arial" w:eastAsia="Arial" w:hAnsi="Arial"/>
                <w:sz w:val="29"/>
                <w:szCs w:val="29"/>
                <w:b w:val="1"/>
                <w:bCs w:val="1"/>
                <w:color w:val="auto"/>
                <w:w w:val="85"/>
                <w:vertAlign w:val="superscript"/>
              </w:rPr>
              <w:t>(2)</w:t>
            </w:r>
          </w:p>
        </w:tc>
        <w:tc>
          <w:tcPr>
            <w:tcW w:w="0" w:type="dxa"/>
            <w:vAlign w:val="bottom"/>
          </w:tcPr>
          <w:p>
            <w:pPr>
              <w:spacing w:after="0"/>
              <w:rPr>
                <w:sz w:val="1"/>
                <w:szCs w:val="1"/>
                <w:color w:val="auto"/>
              </w:rPr>
            </w:pPr>
          </w:p>
        </w:tc>
      </w:tr>
      <w:tr>
        <w:trPr>
          <w:trHeight w:val="234"/>
        </w:trPr>
        <w:tc>
          <w:tcPr>
            <w:tcW w:w="3220" w:type="dxa"/>
            <w:vAlign w:val="bottom"/>
            <w:tcBorders>
              <w:left w:val="single" w:sz="8" w:color="auto"/>
              <w:bottom w:val="single" w:sz="8" w:color="auto"/>
              <w:right w:val="single" w:sz="8" w:color="auto"/>
            </w:tcBorders>
            <w:gridSpan w:val="2"/>
            <w:shd w:val="clear" w:color="auto" w:fill="CCCCCC"/>
          </w:tcPr>
          <w:p>
            <w:pPr>
              <w:ind w:left="80"/>
              <w:spacing w:after="0"/>
              <w:rPr>
                <w:sz w:val="20"/>
                <w:szCs w:val="20"/>
                <w:color w:val="auto"/>
              </w:rPr>
            </w:pPr>
            <w:r>
              <w:rPr>
                <w:rFonts w:ascii="Arial" w:cs="Arial" w:eastAsia="Arial" w:hAnsi="Arial"/>
                <w:sz w:val="18"/>
                <w:szCs w:val="18"/>
                <w:b w:val="1"/>
                <w:bCs w:val="1"/>
                <w:color w:val="auto"/>
              </w:rPr>
              <w:t>Title of Security</w:t>
            </w:r>
          </w:p>
        </w:tc>
        <w:tc>
          <w:tcPr>
            <w:tcW w:w="2060" w:type="dxa"/>
            <w:vAlign w:val="bottom"/>
            <w:tcBorders>
              <w:bottom w:val="single" w:sz="8" w:color="auto"/>
              <w:right w:val="single" w:sz="8" w:color="auto"/>
            </w:tcBorders>
            <w:vMerge w:val="continue"/>
            <w:shd w:val="clear" w:color="auto" w:fill="CCCCCC"/>
          </w:tcPr>
          <w:p>
            <w:pPr>
              <w:spacing w:after="0"/>
              <w:rPr>
                <w:sz w:val="20"/>
                <w:szCs w:val="20"/>
                <w:color w:val="auto"/>
              </w:rPr>
            </w:pPr>
          </w:p>
        </w:tc>
        <w:tc>
          <w:tcPr>
            <w:tcW w:w="1940" w:type="dxa"/>
            <w:vAlign w:val="bottom"/>
            <w:tcBorders>
              <w:bottom w:val="single" w:sz="8" w:color="auto"/>
              <w:right w:val="single" w:sz="8" w:color="auto"/>
            </w:tcBorders>
            <w:shd w:val="clear" w:color="auto" w:fill="CCCCCC"/>
          </w:tcPr>
          <w:p>
            <w:pPr>
              <w:ind w:left="640"/>
              <w:spacing w:after="0"/>
              <w:rPr>
                <w:sz w:val="20"/>
                <w:szCs w:val="20"/>
                <w:color w:val="auto"/>
              </w:rPr>
            </w:pPr>
            <w:r>
              <w:rPr>
                <w:rFonts w:ascii="Arial" w:cs="Arial" w:eastAsia="Arial" w:hAnsi="Arial"/>
                <w:sz w:val="18"/>
                <w:szCs w:val="18"/>
                <w:b w:val="1"/>
                <w:bCs w:val="1"/>
                <w:color w:val="auto"/>
              </w:rPr>
              <w:t>Number</w:t>
            </w:r>
          </w:p>
        </w:tc>
        <w:tc>
          <w:tcPr>
            <w:tcW w:w="160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2"/>
              </w:rPr>
              <w:t>(millions)</w:t>
            </w:r>
          </w:p>
        </w:tc>
        <w:tc>
          <w:tcPr>
            <w:tcW w:w="124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10"/>
        </w:trPr>
        <w:tc>
          <w:tcPr>
            <w:tcW w:w="6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1"/>
              </w:rPr>
              <w:t>6.950%</w:t>
            </w:r>
          </w:p>
        </w:tc>
        <w:tc>
          <w:tcPr>
            <w:tcW w:w="2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Notes due 2037</w:t>
            </w:r>
          </w:p>
        </w:tc>
        <w:tc>
          <w:tcPr>
            <w:tcW w:w="206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Comcast</w:t>
            </w:r>
          </w:p>
        </w:tc>
        <w:tc>
          <w:tcPr>
            <w:tcW w:w="19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20030NAV3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$1,212,275</w:t>
            </w:r>
          </w:p>
        </w:tc>
        <w:tc>
          <w:tcPr>
            <w:tcW w:w="0" w:type="dxa"/>
            <w:vAlign w:val="bottom"/>
          </w:tcPr>
          <w:p>
            <w:pPr>
              <w:spacing w:after="0"/>
              <w:rPr>
                <w:sz w:val="1"/>
                <w:szCs w:val="1"/>
                <w:color w:val="auto"/>
              </w:rPr>
            </w:pPr>
          </w:p>
        </w:tc>
      </w:tr>
      <w:tr>
        <w:trPr>
          <w:trHeight w:val="210"/>
        </w:trPr>
        <w:tc>
          <w:tcPr>
            <w:tcW w:w="32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6.550% Notes due 2039</w:t>
            </w:r>
          </w:p>
        </w:tc>
        <w:tc>
          <w:tcPr>
            <w:tcW w:w="206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Comcast</w:t>
            </w:r>
          </w:p>
        </w:tc>
        <w:tc>
          <w:tcPr>
            <w:tcW w:w="19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20030NAY7</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  800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3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$386,332</w:t>
            </w:r>
          </w:p>
        </w:tc>
        <w:tc>
          <w:tcPr>
            <w:tcW w:w="0" w:type="dxa"/>
            <w:vAlign w:val="bottom"/>
          </w:tcPr>
          <w:p>
            <w:pPr>
              <w:spacing w:after="0"/>
              <w:rPr>
                <w:sz w:val="1"/>
                <w:szCs w:val="1"/>
                <w:color w:val="auto"/>
              </w:rPr>
            </w:pPr>
          </w:p>
        </w:tc>
      </w:tr>
      <w:tr>
        <w:trPr>
          <w:trHeight w:val="210"/>
        </w:trPr>
        <w:tc>
          <w:tcPr>
            <w:tcW w:w="6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1"/>
              </w:rPr>
              <w:t>6.400%</w:t>
            </w:r>
          </w:p>
        </w:tc>
        <w:tc>
          <w:tcPr>
            <w:tcW w:w="2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Notes due March 1, 2040</w:t>
            </w:r>
          </w:p>
        </w:tc>
        <w:tc>
          <w:tcPr>
            <w:tcW w:w="206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Comcast</w:t>
            </w:r>
          </w:p>
        </w:tc>
        <w:tc>
          <w:tcPr>
            <w:tcW w:w="19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20030NBB6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3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$518,257</w:t>
            </w:r>
          </w:p>
        </w:tc>
        <w:tc>
          <w:tcPr>
            <w:tcW w:w="0" w:type="dxa"/>
            <w:vAlign w:val="bottom"/>
          </w:tcPr>
          <w:p>
            <w:pPr>
              <w:spacing w:after="0"/>
              <w:rPr>
                <w:sz w:val="1"/>
                <w:szCs w:val="1"/>
                <w:color w:val="auto"/>
              </w:rPr>
            </w:pPr>
          </w:p>
        </w:tc>
      </w:tr>
      <w:tr>
        <w:trPr>
          <w:trHeight w:val="250"/>
        </w:trPr>
        <w:tc>
          <w:tcPr>
            <w:tcW w:w="6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1"/>
              </w:rPr>
              <w:t>6.400%</w:t>
            </w:r>
          </w:p>
        </w:tc>
        <w:tc>
          <w:tcPr>
            <w:tcW w:w="2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Notes due April 30, 2040</w:t>
            </w:r>
          </w:p>
        </w:tc>
        <w:tc>
          <w:tcPr>
            <w:tcW w:w="206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NBCUniversal</w:t>
            </w:r>
          </w:p>
        </w:tc>
        <w:tc>
          <w:tcPr>
            <w:tcW w:w="1940" w:type="dxa"/>
            <w:vAlign w:val="bottom"/>
            <w:tcBorders>
              <w:bottom w:val="single" w:sz="8" w:color="auto"/>
              <w:right w:val="single" w:sz="8" w:color="auto"/>
            </w:tcBorders>
          </w:tcPr>
          <w:p>
            <w:pPr>
              <w:ind w:left="540"/>
              <w:spacing w:after="0" w:line="250" w:lineRule="exact"/>
              <w:rPr>
                <w:sz w:val="20"/>
                <w:szCs w:val="20"/>
                <w:color w:val="auto"/>
              </w:rPr>
            </w:pPr>
            <w:r>
              <w:rPr>
                <w:rFonts w:ascii="Arial" w:cs="Arial" w:eastAsia="Arial" w:hAnsi="Arial"/>
                <w:sz w:val="17"/>
                <w:szCs w:val="17"/>
                <w:color w:val="auto"/>
              </w:rPr>
              <w:t>63946BAF7</w:t>
            </w:r>
            <w:r>
              <w:rPr>
                <w:rFonts w:ascii="Arial" w:cs="Arial" w:eastAsia="Arial" w:hAnsi="Arial"/>
                <w:sz w:val="28"/>
                <w:szCs w:val="28"/>
                <w:color w:val="auto"/>
                <w:vertAlign w:val="superscript"/>
              </w:rPr>
              <w:t>(3)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3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$441,578</w:t>
            </w:r>
          </w:p>
        </w:tc>
        <w:tc>
          <w:tcPr>
            <w:tcW w:w="0" w:type="dxa"/>
            <w:vAlign w:val="bottom"/>
          </w:tcPr>
          <w:p>
            <w:pPr>
              <w:spacing w:after="0"/>
              <w:rPr>
                <w:sz w:val="1"/>
                <w:szCs w:val="1"/>
                <w:color w:val="auto"/>
              </w:rPr>
            </w:pPr>
          </w:p>
        </w:tc>
      </w:tr>
      <w:tr>
        <w:trPr>
          <w:trHeight w:val="210"/>
        </w:trPr>
        <w:tc>
          <w:tcPr>
            <w:tcW w:w="32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6.450% Notes due 2037</w:t>
            </w:r>
          </w:p>
        </w:tc>
        <w:tc>
          <w:tcPr>
            <w:tcW w:w="206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Comcast</w:t>
            </w:r>
          </w:p>
        </w:tc>
        <w:tc>
          <w:tcPr>
            <w:tcW w:w="19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20030NAM3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$1,850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3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$945,650</w:t>
            </w:r>
          </w:p>
        </w:tc>
        <w:tc>
          <w:tcPr>
            <w:tcW w:w="0" w:type="dxa"/>
            <w:vAlign w:val="bottom"/>
          </w:tcPr>
          <w:p>
            <w:pPr>
              <w:spacing w:after="0"/>
              <w:rPr>
                <w:sz w:val="1"/>
                <w:szCs w:val="1"/>
                <w:color w:val="auto"/>
              </w:rPr>
            </w:pPr>
          </w:p>
        </w:tc>
      </w:tr>
      <w:tr>
        <w:trPr>
          <w:trHeight w:val="210"/>
        </w:trPr>
        <w:tc>
          <w:tcPr>
            <w:tcW w:w="32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6.400% Notes due 2038</w:t>
            </w:r>
          </w:p>
        </w:tc>
        <w:tc>
          <w:tcPr>
            <w:tcW w:w="206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Comcast</w:t>
            </w:r>
          </w:p>
        </w:tc>
        <w:tc>
          <w:tcPr>
            <w:tcW w:w="19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20030NAX9</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3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$551,973</w:t>
            </w:r>
          </w:p>
        </w:tc>
        <w:tc>
          <w:tcPr>
            <w:tcW w:w="0" w:type="dxa"/>
            <w:vAlign w:val="bottom"/>
          </w:tcPr>
          <w:p>
            <w:pPr>
              <w:spacing w:after="0"/>
              <w:rPr>
                <w:sz w:val="1"/>
                <w:szCs w:val="1"/>
                <w:color w:val="auto"/>
              </w:rPr>
            </w:pPr>
          </w:p>
        </w:tc>
      </w:tr>
      <w:tr>
        <w:trPr>
          <w:trHeight w:val="210"/>
        </w:trPr>
        <w:tc>
          <w:tcPr>
            <w:tcW w:w="32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6.500% Notes due 2035</w:t>
            </w:r>
          </w:p>
        </w:tc>
        <w:tc>
          <w:tcPr>
            <w:tcW w:w="206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Comcast</w:t>
            </w:r>
          </w:p>
        </w:tc>
        <w:tc>
          <w:tcPr>
            <w:tcW w:w="19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20030NAK7</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13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$380,007</w:t>
            </w:r>
          </w:p>
        </w:tc>
        <w:tc>
          <w:tcPr>
            <w:tcW w:w="0" w:type="dxa"/>
            <w:vAlign w:val="bottom"/>
          </w:tcPr>
          <w:p>
            <w:pPr>
              <w:spacing w:after="0"/>
              <w:rPr>
                <w:sz w:val="1"/>
                <w:szCs w:val="1"/>
                <w:color w:val="auto"/>
              </w:rPr>
            </w:pPr>
          </w:p>
        </w:tc>
      </w:tr>
      <w:tr>
        <w:trPr>
          <w:trHeight w:val="210"/>
        </w:trPr>
        <w:tc>
          <w:tcPr>
            <w:tcW w:w="32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5.950% Notes due 2041</w:t>
            </w:r>
          </w:p>
        </w:tc>
        <w:tc>
          <w:tcPr>
            <w:tcW w:w="206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NBCUniversal</w:t>
            </w:r>
          </w:p>
        </w:tc>
        <w:tc>
          <w:tcPr>
            <w:tcW w:w="19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63946BAG5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$1,200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13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$526,783</w:t>
            </w:r>
          </w:p>
        </w:tc>
        <w:tc>
          <w:tcPr>
            <w:tcW w:w="0" w:type="dxa"/>
            <w:vAlign w:val="bottom"/>
          </w:tcPr>
          <w:p>
            <w:pPr>
              <w:spacing w:after="0"/>
              <w:rPr>
                <w:sz w:val="1"/>
                <w:szCs w:val="1"/>
                <w:color w:val="auto"/>
              </w:rPr>
            </w:pPr>
          </w:p>
        </w:tc>
      </w:tr>
      <w:tr>
        <w:trPr>
          <w:trHeight w:val="210"/>
        </w:trPr>
        <w:tc>
          <w:tcPr>
            <w:tcW w:w="32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5.650% Notes due 2035</w:t>
            </w:r>
          </w:p>
        </w:tc>
        <w:tc>
          <w:tcPr>
            <w:tcW w:w="206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Comcast</w:t>
            </w:r>
          </w:p>
        </w:tc>
        <w:tc>
          <w:tcPr>
            <w:tcW w:w="194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20030NAF8</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  750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3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$229,145</w:t>
            </w:r>
          </w:p>
        </w:tc>
        <w:tc>
          <w:tcPr>
            <w:tcW w:w="0" w:type="dxa"/>
            <w:vAlign w:val="bottom"/>
          </w:tcPr>
          <w:p>
            <w:pPr>
              <w:spacing w:after="0"/>
              <w:rPr>
                <w:sz w:val="1"/>
                <w:szCs w:val="1"/>
                <w:color w:val="auto"/>
              </w:rPr>
            </w:pPr>
          </w:p>
        </w:tc>
      </w:tr>
      <w:tr>
        <w:trPr>
          <w:trHeight w:val="210"/>
        </w:trPr>
        <w:tc>
          <w:tcPr>
            <w:tcW w:w="6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94"/>
              </w:rPr>
              <w:t>Totals:</w:t>
            </w:r>
          </w:p>
        </w:tc>
        <w:tc>
          <w:tcPr>
            <w:tcW w:w="25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$10,600</w:t>
            </w:r>
          </w:p>
        </w:tc>
        <w:tc>
          <w:tcPr>
            <w:tcW w:w="12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$5,192,000</w:t>
            </w:r>
          </w:p>
        </w:tc>
        <w:tc>
          <w:tcPr>
            <w:tcW w:w="0" w:type="dxa"/>
            <w:vAlign w:val="bottom"/>
          </w:tcPr>
          <w:p>
            <w:pPr>
              <w:spacing w:after="0"/>
              <w:rPr>
                <w:sz w:val="1"/>
                <w:szCs w:val="1"/>
                <w:color w:val="auto"/>
              </w:rPr>
            </w:pPr>
          </w:p>
        </w:tc>
      </w:tr>
    </w:tbl>
    <w:p>
      <w:pPr>
        <w:ind w:left="1080" w:right="640" w:hanging="316"/>
        <w:spacing w:after="0" w:line="250"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Old Notes issued by Comcast are guaranteed by NBCUniversal and Comcast Cable Communications, LLC. The Old Notes issued by NBCUniversal are guaranteed by Comcast and Comcast Cable Communications, LLC.</w:t>
      </w:r>
    </w:p>
    <w:p>
      <w:pPr>
        <w:ind w:left="1080" w:right="520" w:hanging="316"/>
        <w:spacing w:after="0" w:line="250"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aggregate principal amounts of each series of Old Notes that have been validly tendered for exchange and not validly withdrawn, as of 5:00 p.m., New York City time, on October 17, 2017 (the “Early Participation Date”), based on information provided by the Exchange Agent to Comcast and NBCUniversal.</w:t>
      </w:r>
    </w:p>
    <w:p>
      <w:pPr>
        <w:spacing w:after="0" w:line="1" w:lineRule="exact"/>
        <w:rPr>
          <w:rFonts w:ascii="Arial" w:cs="Arial" w:eastAsia="Arial" w:hAnsi="Arial"/>
          <w:sz w:val="18"/>
          <w:szCs w:val="18"/>
          <w:color w:val="auto"/>
        </w:rPr>
      </w:pPr>
    </w:p>
    <w:p>
      <w:pPr>
        <w:ind w:left="1080" w:hanging="316"/>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6.400% Notes due April 30, 2040 also include notes with a restrictive legend (144A CUSIP number: 62875UAD7; Regulation S</w:t>
      </w:r>
    </w:p>
    <w:p>
      <w:pPr>
        <w:spacing w:after="0" w:line="20"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8"/>
          <w:szCs w:val="18"/>
          <w:color w:val="auto"/>
        </w:rPr>
        <w:t>CUSIP: U63763AB9).</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Exchange Offer is being conducted upon the terms and subject to the conditions set forth in a confidential offering memorandum (the “Offering Memorandum”), dated October 3, 2017. The amount of outstanding Old Notes validly tendered and not validly withdrawn as of the Early Participation Date, as reflected in the table above, is expected to result in satisfaction of the minimum issuance condition for each series of New Notes in the Exchange Offer.</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Exchange Offer will expire at 11:59 p.m., New York City time, on October 31, 2017 (the “Expiration Date”), unless extended or earlier terminated by Comcast or NBCUniversal. In accordance with the terms of the Exchange Offer, the withdrawal deadline relating to the Exchange Offer occurred at 5:00 p.m. New York City time on October 17, 2017. As a result, tendered Old Notes may no longer be withdrawn, except in certain limited circumstances where additional withdrawal rights are required by law (as determined by Comcast and NBCUniversal).</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as of the Early Participation Date, the Exchange Offer is over-subscribed and all conditions to the Exchange Offer have been or concurrently are satisfied or waived by us, we will have the option but not the obligation to accept for exchange all Old Notes validly tendered and not validly withdrawn in the Exchange Offer as of the Early Participation Date on the second business day following the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80"/>
        <w:spacing w:after="0" w:line="302" w:lineRule="auto"/>
        <w:rPr>
          <w:sz w:val="20"/>
          <w:szCs w:val="20"/>
          <w:color w:val="auto"/>
        </w:rPr>
      </w:pPr>
      <w:r>
        <w:rPr>
          <w:rFonts w:ascii="Arial" w:cs="Arial" w:eastAsia="Arial" w:hAnsi="Arial"/>
          <w:sz w:val="16"/>
          <w:szCs w:val="16"/>
          <w:color w:val="auto"/>
        </w:rPr>
        <w:t>Participation Date or as soon as practicable thereafter, which is expected to be October 19, 2017 (the “Early Settlement Date”). If we do not elect to settle the Exchange Offer on the Early Settlement Date, then the settlement date for the Exchange Offer will be the first business day following the Expiration Date or as soon as practicable thereafter, which is expected to be November 1, 2017. Such election will be determined at the pricing time for the Exchange Offer, which is currently scheduled at 11:00 a.m., New York City Time, on October 18, 2017, and would be announced on October 18, 2017 after the pricing time.</w:t>
      </w:r>
    </w:p>
    <w:p>
      <w:pPr>
        <w:spacing w:after="0" w:line="15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Exchange Offer is only made and the New Notes are only being offered and will only be issued, to holders of Old Notes either (a) in the United States, that are “qualified institutional buyers,” as that term is defined in Rule 144A under the Securities Act of 1933 (the “Securities Act”), in a private transaction in reliance upon an exemption from the registration requirements of the Securities Act or (b) (i) outside the United States, that are persons other than “U.S. persons,” as that term is defined in Rule 902 under the Securities Act, in offshore transactions in reliance upon Regulation S under the Securities Act, (ii) if located or resident in any Member State of the European Economic Area which has implemented Directive 2003/71/EC, as amended (the “Prospectus Directive”), who are “Qualified Investors” as defined under the Prospectus Directive and (iii) if located or resident in Canada, is located or resident in a province of Canada and is an “accredited investor” as such term is defined in National Instrument 45- 106 – Prospectus Exemptions (“NI 45-106”), and, if resident in Ontario, section 73.3(1) of the Securities Act (Ontario) that is not an individual unless that person is also a “permitted client” as defined in National Instrument 31-103 - Registration Requirements, Exemptions and Ongoing Registrant Obligations (“NI 31-103”) (each, an “Eligible Holder”).</w:t>
      </w:r>
    </w:p>
    <w:p>
      <w:pPr>
        <w:spacing w:after="0" w:line="16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New Notes have not been registered under the Securities Act or any other applicable securities laws. Therefore, the New Notes may not be offered or sold except pursuant to an exemption from or in a transaction not subject to the registration requirements of the Securities Act and the applicable state securities laws. Comcast, NBCUniversal and Comcast Cable Communications, LLC will enter into a registration rights agreement with respect to the New Notes providing for certain registration rights with respect to the New Notes as described in the Offering Memorandum.</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press release is not an offer to sell or a solicitation of an offer to buy any of the securities described herein. The Exchange Offer is being made solely by means of the Offering Memorandum and only to such persons and in such jurisdictions as is permitted under applicable law.</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Exchange Offer is only being made, and copies of the Offering Memorandum will only be made available, to holders of the Old Notes who have certified to Comcast in an eligibility letter that they are Eligible Holders. Copies of the eligibility letter are available to holders of the Old Notes through the information agent, D.F. King &amp; Co., Inc., at their website http://www.dfking.com/comcast, by calling (866) 342-8290 (toll-free) or (212) 269-5550 (banks and brokers) or by email at comcast@dfking.com.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CAUTIONARY LANGUAGE CONCERNING FORWARD-LOOKING STATEMENTS</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and NBCUniversal’s periodic and other reports filed with the Securities and Exchange Commission (SEC) for a description of such risks and uncertainties. Neither company undertakes any obligation to update any forward-looking statements. In evaluating those statements, you should specifically consider various factors, including the risks and uncertainties discussed in the Offer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 w:name="page6"/>
    <w:bookmarkEnd w:id="5"/>
    <w:p>
      <w:pPr>
        <w:spacing w:after="0" w:line="264" w:lineRule="auto"/>
        <w:rPr>
          <w:sz w:val="20"/>
          <w:szCs w:val="20"/>
          <w:color w:val="auto"/>
        </w:rPr>
      </w:pPr>
      <w:r>
        <w:rPr>
          <w:rFonts w:ascii="Arial" w:cs="Arial" w:eastAsia="Arial" w:hAnsi="Arial"/>
          <w:sz w:val="18"/>
          <w:szCs w:val="18"/>
          <w:i w:val="1"/>
          <w:iCs w:val="1"/>
          <w:color w:val="auto"/>
        </w:rPr>
        <w:t>Purchase, under the caption “Risk Factors” in Comcast’s and NBCUniversal’s Annual and Quarterly Reports on Forms 10-K and 10-Q and in other reports Comcast and NBCUniversal file with the SEC. Actual events or Comcast’s and NBCUniversal’s actual results may differ materially from any of Comcast’s and NBCUniversal’s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William Dordelman, 215-286-7550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Jennifer Daley, 215-286-7732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Jim McCue, 215-286-8701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John Demming, 215-286-8011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8" w:right="35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165735</wp:posOffset>
            </wp:positionV>
            <wp:extent cx="1440815" cy="506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081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COMCAST AND NBCUNIVERSAL MEDIA ANNOUNCE PRICING TERMS AND EARLY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SETTLEMENT ELECTION FOR EXCHANGE OFFER</w:t>
      </w: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Philadelphia, Pennsylvania, October 18, 2017 </w:t>
      </w:r>
      <w:r>
        <w:rPr>
          <w:rFonts w:ascii="Arial" w:cs="Arial" w:eastAsia="Arial" w:hAnsi="Arial"/>
          <w:sz w:val="18"/>
          <w:szCs w:val="18"/>
          <w:color w:val="auto"/>
        </w:rPr>
        <w:t>– Comcast Corporation (Nasdaq: CMCSA) (“Comcast”) and NBCUniversal Media, LLC (“NBCUniversal”)</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today the pricing terms and expected settlement date of its private offers to exchange (the “Exchange Offer”) certain series of existing Comcast and NBCUniversal notes (the “Old Notes”) for Comcast’s new notes due November 1, 2047 (the “New 2047 Notes”), new notes due November 1, 2049 (the “New 2049 Notes”) and new notes due November 1, 2052 (the “New 2052 Notes” and, together with the New 2047 Notes and the New 2049 Notes, the “New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principal amount and interest rate of each series of New Notes expected to be issued by Comcast is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389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8938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vMerge w:val="restart"/>
            <w:shd w:val="clear" w:color="auto" w:fill="CCCCCC"/>
          </w:tcPr>
          <w:p>
            <w:pPr>
              <w:ind w:left="100"/>
              <w:spacing w:after="0"/>
              <w:rPr>
                <w:sz w:val="20"/>
                <w:szCs w:val="20"/>
                <w:color w:val="auto"/>
              </w:rPr>
            </w:pPr>
            <w:r>
              <w:rPr>
                <w:rFonts w:ascii="Arial" w:cs="Arial" w:eastAsia="Arial" w:hAnsi="Arial"/>
                <w:sz w:val="14"/>
                <w:szCs w:val="14"/>
                <w:b w:val="1"/>
                <w:bCs w:val="1"/>
                <w:color w:val="auto"/>
              </w:rPr>
              <w:t>Title of Security</w:t>
            </w:r>
          </w:p>
        </w:tc>
        <w:tc>
          <w:tcPr>
            <w:tcW w:w="2740" w:type="dxa"/>
            <w:vAlign w:val="bottom"/>
            <w:vMerge w:val="restart"/>
            <w:shd w:val="clear" w:color="auto" w:fill="CCCCCC"/>
          </w:tcPr>
          <w:p>
            <w:pPr>
              <w:ind w:left="1360"/>
              <w:spacing w:after="0"/>
              <w:rPr>
                <w:sz w:val="20"/>
                <w:szCs w:val="20"/>
                <w:color w:val="auto"/>
              </w:rPr>
            </w:pPr>
            <w:r>
              <w:rPr>
                <w:rFonts w:ascii="Arial" w:cs="Arial" w:eastAsia="Arial" w:hAnsi="Arial"/>
                <w:sz w:val="14"/>
                <w:szCs w:val="14"/>
                <w:b w:val="1"/>
                <w:bCs w:val="1"/>
                <w:color w:val="auto"/>
              </w:rPr>
              <w:t>Issuer</w:t>
            </w:r>
            <w:r>
              <w:rPr>
                <w:rFonts w:ascii="Arial" w:cs="Arial" w:eastAsia="Arial" w:hAnsi="Arial"/>
                <w:sz w:val="23"/>
                <w:szCs w:val="23"/>
                <w:b w:val="1"/>
                <w:bCs w:val="1"/>
                <w:color w:val="auto"/>
                <w:vertAlign w:val="superscript"/>
              </w:rPr>
              <w:t>(1)</w:t>
            </w:r>
          </w:p>
        </w:tc>
        <w:tc>
          <w:tcPr>
            <w:tcW w:w="3300" w:type="dxa"/>
            <w:vAlign w:val="bottom"/>
            <w:shd w:val="clear" w:color="auto" w:fill="CCCCCC"/>
          </w:tcPr>
          <w:p>
            <w:pPr>
              <w:jc w:val="center"/>
              <w:ind w:left="168"/>
              <w:spacing w:after="0"/>
              <w:rPr>
                <w:sz w:val="20"/>
                <w:szCs w:val="20"/>
                <w:color w:val="auto"/>
              </w:rPr>
            </w:pPr>
            <w:r>
              <w:rPr>
                <w:rFonts w:ascii="Arial" w:cs="Arial" w:eastAsia="Arial" w:hAnsi="Arial"/>
                <w:sz w:val="14"/>
                <w:szCs w:val="14"/>
                <w:b w:val="1"/>
                <w:bCs w:val="1"/>
                <w:color w:val="auto"/>
                <w:w w:val="94"/>
              </w:rPr>
              <w:t>Aggregate Principal Amount</w:t>
            </w:r>
          </w:p>
        </w:tc>
        <w:tc>
          <w:tcPr>
            <w:tcW w:w="2440" w:type="dxa"/>
            <w:vAlign w:val="bottom"/>
            <w:vMerge w:val="restart"/>
            <w:shd w:val="clear" w:color="auto" w:fill="CCCCCC"/>
          </w:tcPr>
          <w:p>
            <w:pPr>
              <w:jc w:val="center"/>
              <w:ind w:right="188"/>
              <w:spacing w:after="0"/>
              <w:rPr>
                <w:sz w:val="20"/>
                <w:szCs w:val="20"/>
                <w:color w:val="auto"/>
              </w:rPr>
            </w:pPr>
            <w:r>
              <w:rPr>
                <w:rFonts w:ascii="Arial" w:cs="Arial" w:eastAsia="Arial" w:hAnsi="Arial"/>
                <w:sz w:val="14"/>
                <w:szCs w:val="14"/>
                <w:b w:val="1"/>
                <w:bCs w:val="1"/>
                <w:color w:val="auto"/>
                <w:w w:val="90"/>
              </w:rPr>
              <w:t>Interest Rate</w:t>
            </w:r>
            <w:r>
              <w:rPr>
                <w:rFonts w:ascii="Arial" w:cs="Arial" w:eastAsia="Arial" w:hAnsi="Arial"/>
                <w:sz w:val="23"/>
                <w:szCs w:val="23"/>
                <w:b w:val="1"/>
                <w:bCs w:val="1"/>
                <w:color w:val="auto"/>
                <w:w w:val="90"/>
                <w:vertAlign w:val="superscript"/>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920" w:type="dxa"/>
            <w:vAlign w:val="bottom"/>
            <w:tcBorders>
              <w:bottom w:val="single" w:sz="8" w:color="auto"/>
            </w:tcBorders>
            <w:vMerge w:val="continue"/>
            <w:shd w:val="clear" w:color="auto" w:fill="CCCCCC"/>
          </w:tcPr>
          <w:p>
            <w:pPr>
              <w:spacing w:after="0"/>
              <w:rPr>
                <w:sz w:val="20"/>
                <w:szCs w:val="20"/>
                <w:color w:val="auto"/>
              </w:rPr>
            </w:pPr>
          </w:p>
        </w:tc>
        <w:tc>
          <w:tcPr>
            <w:tcW w:w="2740" w:type="dxa"/>
            <w:vAlign w:val="bottom"/>
            <w:tcBorders>
              <w:bottom w:val="single" w:sz="8" w:color="auto"/>
            </w:tcBorders>
            <w:vMerge w:val="continue"/>
            <w:shd w:val="clear" w:color="auto" w:fill="CCCCCC"/>
          </w:tcPr>
          <w:p>
            <w:pPr>
              <w:spacing w:after="0"/>
              <w:rPr>
                <w:sz w:val="20"/>
                <w:szCs w:val="20"/>
                <w:color w:val="auto"/>
              </w:rPr>
            </w:pPr>
          </w:p>
        </w:tc>
        <w:tc>
          <w:tcPr>
            <w:tcW w:w="3300" w:type="dxa"/>
            <w:vAlign w:val="bottom"/>
            <w:tcBorders>
              <w:bottom w:val="single" w:sz="8" w:color="auto"/>
            </w:tcBorders>
            <w:shd w:val="clear" w:color="auto" w:fill="CCCCCC"/>
          </w:tcPr>
          <w:p>
            <w:pPr>
              <w:jc w:val="center"/>
              <w:ind w:left="188"/>
              <w:spacing w:after="0"/>
              <w:rPr>
                <w:sz w:val="20"/>
                <w:szCs w:val="20"/>
                <w:color w:val="auto"/>
              </w:rPr>
            </w:pPr>
            <w:r>
              <w:rPr>
                <w:rFonts w:ascii="Arial" w:cs="Arial" w:eastAsia="Arial" w:hAnsi="Arial"/>
                <w:sz w:val="14"/>
                <w:szCs w:val="14"/>
                <w:b w:val="1"/>
                <w:bCs w:val="1"/>
                <w:color w:val="auto"/>
                <w:w w:val="89"/>
              </w:rPr>
              <w:t>Expected to be Issued</w:t>
            </w:r>
          </w:p>
        </w:tc>
        <w:tc>
          <w:tcPr>
            <w:tcW w:w="2440" w:type="dxa"/>
            <w:vAlign w:val="bottom"/>
            <w:tcBorders>
              <w:bottom w:val="single" w:sz="8" w:color="auto"/>
            </w:tcBorders>
            <w:vMerge w:val="continue"/>
            <w:shd w:val="clear" w:color="auto" w:fill="CCCCCC"/>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20" w:type="dxa"/>
            <w:vAlign w:val="bottom"/>
          </w:tcPr>
          <w:p>
            <w:pPr>
              <w:ind w:left="180"/>
              <w:spacing w:after="0"/>
              <w:rPr>
                <w:sz w:val="20"/>
                <w:szCs w:val="20"/>
                <w:color w:val="auto"/>
              </w:rPr>
            </w:pPr>
            <w:r>
              <w:rPr>
                <w:rFonts w:ascii="Arial" w:cs="Arial" w:eastAsia="Arial" w:hAnsi="Arial"/>
                <w:sz w:val="14"/>
                <w:szCs w:val="14"/>
                <w:color w:val="auto"/>
              </w:rPr>
              <w:t>3.969% Notes due 2047</w:t>
            </w:r>
          </w:p>
        </w:tc>
        <w:tc>
          <w:tcPr>
            <w:tcW w:w="2740" w:type="dxa"/>
            <w:vAlign w:val="bottom"/>
            <w:vMerge w:val="restart"/>
          </w:tcPr>
          <w:p>
            <w:pPr>
              <w:ind w:left="1360"/>
              <w:spacing w:after="0"/>
              <w:rPr>
                <w:sz w:val="20"/>
                <w:szCs w:val="20"/>
                <w:color w:val="auto"/>
              </w:rPr>
            </w:pPr>
            <w:r>
              <w:rPr>
                <w:rFonts w:ascii="Arial" w:cs="Arial" w:eastAsia="Arial" w:hAnsi="Arial"/>
                <w:sz w:val="14"/>
                <w:szCs w:val="14"/>
                <w:color w:val="auto"/>
              </w:rPr>
              <w:t>Comcast</w:t>
            </w:r>
          </w:p>
        </w:tc>
        <w:tc>
          <w:tcPr>
            <w:tcW w:w="3300" w:type="dxa"/>
            <w:vAlign w:val="bottom"/>
            <w:vMerge w:val="restart"/>
          </w:tcPr>
          <w:p>
            <w:pPr>
              <w:jc w:val="center"/>
              <w:ind w:left="168"/>
              <w:spacing w:after="0"/>
              <w:rPr>
                <w:sz w:val="20"/>
                <w:szCs w:val="20"/>
                <w:color w:val="auto"/>
              </w:rPr>
            </w:pPr>
            <w:r>
              <w:rPr>
                <w:rFonts w:ascii="Arial" w:cs="Arial" w:eastAsia="Arial" w:hAnsi="Arial"/>
                <w:sz w:val="14"/>
                <w:szCs w:val="14"/>
                <w:color w:val="auto"/>
                <w:w w:val="92"/>
              </w:rPr>
              <w:t>$2,000,000,000</w:t>
            </w:r>
          </w:p>
        </w:tc>
        <w:tc>
          <w:tcPr>
            <w:tcW w:w="2440" w:type="dxa"/>
            <w:vAlign w:val="bottom"/>
            <w:vMerge w:val="restart"/>
          </w:tcPr>
          <w:p>
            <w:pPr>
              <w:jc w:val="center"/>
              <w:ind w:right="188"/>
              <w:spacing w:after="0"/>
              <w:rPr>
                <w:sz w:val="20"/>
                <w:szCs w:val="20"/>
                <w:color w:val="auto"/>
              </w:rPr>
            </w:pPr>
            <w:r>
              <w:rPr>
                <w:rFonts w:ascii="Arial" w:cs="Arial" w:eastAsia="Arial" w:hAnsi="Arial"/>
                <w:sz w:val="14"/>
                <w:szCs w:val="14"/>
                <w:color w:val="auto"/>
                <w:w w:val="96"/>
              </w:rPr>
              <w:t>3.969%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2920" w:type="dxa"/>
            <w:vAlign w:val="bottom"/>
            <w:vMerge w:val="restart"/>
          </w:tcPr>
          <w:p>
            <w:pPr>
              <w:ind w:left="180"/>
              <w:spacing w:after="0"/>
              <w:rPr>
                <w:sz w:val="20"/>
                <w:szCs w:val="20"/>
                <w:color w:val="auto"/>
              </w:rPr>
            </w:pPr>
            <w:r>
              <w:rPr>
                <w:rFonts w:ascii="Arial" w:cs="Arial" w:eastAsia="Arial" w:hAnsi="Arial"/>
                <w:sz w:val="14"/>
                <w:szCs w:val="14"/>
                <w:color w:val="auto"/>
              </w:rPr>
              <w:t>(“New 2047 Notes”)</w:t>
            </w:r>
          </w:p>
        </w:tc>
        <w:tc>
          <w:tcPr>
            <w:tcW w:w="2740" w:type="dxa"/>
            <w:vAlign w:val="bottom"/>
            <w:vMerge w:val="continue"/>
          </w:tcPr>
          <w:p>
            <w:pPr>
              <w:spacing w:after="0"/>
              <w:rPr>
                <w:sz w:val="8"/>
                <w:szCs w:val="8"/>
                <w:color w:val="auto"/>
              </w:rPr>
            </w:pPr>
          </w:p>
        </w:tc>
        <w:tc>
          <w:tcPr>
            <w:tcW w:w="3300" w:type="dxa"/>
            <w:vAlign w:val="bottom"/>
            <w:vMerge w:val="continue"/>
          </w:tcPr>
          <w:p>
            <w:pPr>
              <w:spacing w:after="0"/>
              <w:rPr>
                <w:sz w:val="8"/>
                <w:szCs w:val="8"/>
                <w:color w:val="auto"/>
              </w:rPr>
            </w:pPr>
          </w:p>
        </w:tc>
        <w:tc>
          <w:tcPr>
            <w:tcW w:w="2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92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33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92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920" w:type="dxa"/>
            <w:vAlign w:val="bottom"/>
          </w:tcPr>
          <w:p>
            <w:pPr>
              <w:ind w:left="180"/>
              <w:spacing w:after="0"/>
              <w:rPr>
                <w:sz w:val="20"/>
                <w:szCs w:val="20"/>
                <w:color w:val="auto"/>
              </w:rPr>
            </w:pPr>
            <w:r>
              <w:rPr>
                <w:rFonts w:ascii="Arial" w:cs="Arial" w:eastAsia="Arial" w:hAnsi="Arial"/>
                <w:sz w:val="14"/>
                <w:szCs w:val="14"/>
                <w:color w:val="auto"/>
              </w:rPr>
              <w:t>3.999% Notes due 2049</w:t>
            </w:r>
          </w:p>
        </w:tc>
        <w:tc>
          <w:tcPr>
            <w:tcW w:w="2740" w:type="dxa"/>
            <w:vAlign w:val="bottom"/>
            <w:vMerge w:val="restart"/>
          </w:tcPr>
          <w:p>
            <w:pPr>
              <w:ind w:left="1360"/>
              <w:spacing w:after="0"/>
              <w:rPr>
                <w:sz w:val="20"/>
                <w:szCs w:val="20"/>
                <w:color w:val="auto"/>
              </w:rPr>
            </w:pPr>
            <w:r>
              <w:rPr>
                <w:rFonts w:ascii="Arial" w:cs="Arial" w:eastAsia="Arial" w:hAnsi="Arial"/>
                <w:sz w:val="14"/>
                <w:szCs w:val="14"/>
                <w:color w:val="auto"/>
              </w:rPr>
              <w:t>Comcast</w:t>
            </w:r>
          </w:p>
        </w:tc>
        <w:tc>
          <w:tcPr>
            <w:tcW w:w="3300" w:type="dxa"/>
            <w:vAlign w:val="bottom"/>
            <w:vMerge w:val="restart"/>
          </w:tcPr>
          <w:p>
            <w:pPr>
              <w:jc w:val="center"/>
              <w:ind w:left="168"/>
              <w:spacing w:after="0"/>
              <w:rPr>
                <w:sz w:val="20"/>
                <w:szCs w:val="20"/>
                <w:color w:val="auto"/>
              </w:rPr>
            </w:pPr>
            <w:r>
              <w:rPr>
                <w:rFonts w:ascii="Arial" w:cs="Arial" w:eastAsia="Arial" w:hAnsi="Arial"/>
                <w:sz w:val="14"/>
                <w:szCs w:val="14"/>
                <w:color w:val="auto"/>
                <w:w w:val="92"/>
              </w:rPr>
              <w:t>$1,999,999,000</w:t>
            </w:r>
          </w:p>
        </w:tc>
        <w:tc>
          <w:tcPr>
            <w:tcW w:w="2440" w:type="dxa"/>
            <w:vAlign w:val="bottom"/>
            <w:vMerge w:val="restart"/>
          </w:tcPr>
          <w:p>
            <w:pPr>
              <w:jc w:val="center"/>
              <w:ind w:right="188"/>
              <w:spacing w:after="0"/>
              <w:rPr>
                <w:sz w:val="20"/>
                <w:szCs w:val="20"/>
                <w:color w:val="auto"/>
              </w:rPr>
            </w:pPr>
            <w:r>
              <w:rPr>
                <w:rFonts w:ascii="Arial" w:cs="Arial" w:eastAsia="Arial" w:hAnsi="Arial"/>
                <w:sz w:val="14"/>
                <w:szCs w:val="14"/>
                <w:color w:val="auto"/>
                <w:w w:val="96"/>
              </w:rPr>
              <w:t>3.999%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2920" w:type="dxa"/>
            <w:vAlign w:val="bottom"/>
            <w:vMerge w:val="restart"/>
          </w:tcPr>
          <w:p>
            <w:pPr>
              <w:ind w:left="180"/>
              <w:spacing w:after="0"/>
              <w:rPr>
                <w:sz w:val="20"/>
                <w:szCs w:val="20"/>
                <w:color w:val="auto"/>
              </w:rPr>
            </w:pPr>
            <w:r>
              <w:rPr>
                <w:rFonts w:ascii="Arial" w:cs="Arial" w:eastAsia="Arial" w:hAnsi="Arial"/>
                <w:sz w:val="14"/>
                <w:szCs w:val="14"/>
                <w:color w:val="auto"/>
              </w:rPr>
              <w:t>(“New 2049 Notes”)</w:t>
            </w:r>
          </w:p>
        </w:tc>
        <w:tc>
          <w:tcPr>
            <w:tcW w:w="2740" w:type="dxa"/>
            <w:vAlign w:val="bottom"/>
            <w:vMerge w:val="continue"/>
          </w:tcPr>
          <w:p>
            <w:pPr>
              <w:spacing w:after="0"/>
              <w:rPr>
                <w:sz w:val="8"/>
                <w:szCs w:val="8"/>
                <w:color w:val="auto"/>
              </w:rPr>
            </w:pPr>
          </w:p>
        </w:tc>
        <w:tc>
          <w:tcPr>
            <w:tcW w:w="3300" w:type="dxa"/>
            <w:vAlign w:val="bottom"/>
            <w:vMerge w:val="continue"/>
          </w:tcPr>
          <w:p>
            <w:pPr>
              <w:spacing w:after="0"/>
              <w:rPr>
                <w:sz w:val="8"/>
                <w:szCs w:val="8"/>
                <w:color w:val="auto"/>
              </w:rPr>
            </w:pPr>
          </w:p>
        </w:tc>
        <w:tc>
          <w:tcPr>
            <w:tcW w:w="2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92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33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92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920" w:type="dxa"/>
            <w:vAlign w:val="bottom"/>
          </w:tcPr>
          <w:p>
            <w:pPr>
              <w:ind w:left="180"/>
              <w:spacing w:after="0"/>
              <w:rPr>
                <w:sz w:val="20"/>
                <w:szCs w:val="20"/>
                <w:color w:val="auto"/>
              </w:rPr>
            </w:pPr>
            <w:r>
              <w:rPr>
                <w:rFonts w:ascii="Arial" w:cs="Arial" w:eastAsia="Arial" w:hAnsi="Arial"/>
                <w:sz w:val="14"/>
                <w:szCs w:val="14"/>
                <w:color w:val="auto"/>
              </w:rPr>
              <w:t>4.049% Notes due 2052</w:t>
            </w:r>
          </w:p>
        </w:tc>
        <w:tc>
          <w:tcPr>
            <w:tcW w:w="2740" w:type="dxa"/>
            <w:vAlign w:val="bottom"/>
            <w:vMerge w:val="restart"/>
          </w:tcPr>
          <w:p>
            <w:pPr>
              <w:ind w:left="1360"/>
              <w:spacing w:after="0"/>
              <w:rPr>
                <w:sz w:val="20"/>
                <w:szCs w:val="20"/>
                <w:color w:val="auto"/>
              </w:rPr>
            </w:pPr>
            <w:r>
              <w:rPr>
                <w:rFonts w:ascii="Arial" w:cs="Arial" w:eastAsia="Arial" w:hAnsi="Arial"/>
                <w:sz w:val="14"/>
                <w:szCs w:val="14"/>
                <w:color w:val="auto"/>
              </w:rPr>
              <w:t>Comcast</w:t>
            </w:r>
          </w:p>
        </w:tc>
        <w:tc>
          <w:tcPr>
            <w:tcW w:w="3300" w:type="dxa"/>
            <w:vAlign w:val="bottom"/>
            <w:vMerge w:val="restart"/>
          </w:tcPr>
          <w:p>
            <w:pPr>
              <w:jc w:val="center"/>
              <w:ind w:left="168"/>
              <w:spacing w:after="0"/>
              <w:rPr>
                <w:sz w:val="20"/>
                <w:szCs w:val="20"/>
                <w:color w:val="auto"/>
              </w:rPr>
            </w:pPr>
            <w:r>
              <w:rPr>
                <w:rFonts w:ascii="Arial" w:cs="Arial" w:eastAsia="Arial" w:hAnsi="Arial"/>
                <w:sz w:val="14"/>
                <w:szCs w:val="14"/>
                <w:color w:val="auto"/>
                <w:w w:val="92"/>
              </w:rPr>
              <w:t>$1,499,967,000</w:t>
            </w:r>
          </w:p>
        </w:tc>
        <w:tc>
          <w:tcPr>
            <w:tcW w:w="2440" w:type="dxa"/>
            <w:vAlign w:val="bottom"/>
            <w:vMerge w:val="restart"/>
          </w:tcPr>
          <w:p>
            <w:pPr>
              <w:jc w:val="center"/>
              <w:ind w:right="188"/>
              <w:spacing w:after="0"/>
              <w:rPr>
                <w:sz w:val="20"/>
                <w:szCs w:val="20"/>
                <w:color w:val="auto"/>
              </w:rPr>
            </w:pPr>
            <w:r>
              <w:rPr>
                <w:rFonts w:ascii="Arial" w:cs="Arial" w:eastAsia="Arial" w:hAnsi="Arial"/>
                <w:sz w:val="14"/>
                <w:szCs w:val="14"/>
                <w:color w:val="auto"/>
                <w:w w:val="96"/>
              </w:rPr>
              <w:t>4.049%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2920" w:type="dxa"/>
            <w:vAlign w:val="bottom"/>
            <w:vMerge w:val="restart"/>
          </w:tcPr>
          <w:p>
            <w:pPr>
              <w:ind w:left="180"/>
              <w:spacing w:after="0"/>
              <w:rPr>
                <w:sz w:val="20"/>
                <w:szCs w:val="20"/>
                <w:color w:val="auto"/>
              </w:rPr>
            </w:pPr>
            <w:r>
              <w:rPr>
                <w:rFonts w:ascii="Arial" w:cs="Arial" w:eastAsia="Arial" w:hAnsi="Arial"/>
                <w:sz w:val="14"/>
                <w:szCs w:val="14"/>
                <w:color w:val="auto"/>
              </w:rPr>
              <w:t>(“New 2052 Notes”)</w:t>
            </w:r>
          </w:p>
        </w:tc>
        <w:tc>
          <w:tcPr>
            <w:tcW w:w="2740" w:type="dxa"/>
            <w:vAlign w:val="bottom"/>
            <w:vMerge w:val="continue"/>
          </w:tcPr>
          <w:p>
            <w:pPr>
              <w:spacing w:after="0"/>
              <w:rPr>
                <w:sz w:val="8"/>
                <w:szCs w:val="8"/>
                <w:color w:val="auto"/>
              </w:rPr>
            </w:pPr>
          </w:p>
        </w:tc>
        <w:tc>
          <w:tcPr>
            <w:tcW w:w="3300" w:type="dxa"/>
            <w:vAlign w:val="bottom"/>
            <w:vMerge w:val="continue"/>
          </w:tcPr>
          <w:p>
            <w:pPr>
              <w:spacing w:after="0"/>
              <w:rPr>
                <w:sz w:val="8"/>
                <w:szCs w:val="8"/>
                <w:color w:val="auto"/>
              </w:rPr>
            </w:pPr>
          </w:p>
        </w:tc>
        <w:tc>
          <w:tcPr>
            <w:tcW w:w="2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92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33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4360"/>
        <w:spacing w:after="0"/>
        <w:tabs>
          <w:tab w:leader="none" w:pos="6960" w:val="left"/>
        </w:tabs>
        <w:rPr>
          <w:sz w:val="20"/>
          <w:szCs w:val="20"/>
          <w:color w:val="auto"/>
        </w:rPr>
      </w:pPr>
      <w:r>
        <w:rPr>
          <w:rFonts w:ascii="Arial" w:cs="Arial" w:eastAsia="Arial" w:hAnsi="Arial"/>
          <w:sz w:val="14"/>
          <w:szCs w:val="14"/>
          <w:color w:val="auto"/>
        </w:rPr>
        <w:t>Total:</w:t>
      </w:r>
      <w:r>
        <w:rPr>
          <w:sz w:val="20"/>
          <w:szCs w:val="20"/>
          <w:color w:val="auto"/>
        </w:rPr>
        <w:tab/>
      </w:r>
      <w:r>
        <w:rPr>
          <w:rFonts w:ascii="Arial" w:cs="Arial" w:eastAsia="Arial" w:hAnsi="Arial"/>
          <w:sz w:val="14"/>
          <w:szCs w:val="14"/>
          <w:color w:val="auto"/>
        </w:rPr>
        <w:t>$5,499,966,000</w:t>
      </w:r>
    </w:p>
    <w:p>
      <w:pPr>
        <w:spacing w:after="0" w:line="122" w:lineRule="exact"/>
        <w:rPr>
          <w:sz w:val="20"/>
          <w:szCs w:val="20"/>
          <w:color w:val="auto"/>
        </w:rPr>
      </w:pPr>
    </w:p>
    <w:p>
      <w:pPr>
        <w:ind w:left="1080" w:hanging="316"/>
        <w:spacing w:after="0"/>
        <w:tabs>
          <w:tab w:leader="none" w:pos="10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Each series of New Notes will be guaranteed by NBCUniversal and Comcast Cable Communications, LLC.</w:t>
      </w:r>
    </w:p>
    <w:p>
      <w:pPr>
        <w:ind w:left="1080" w:right="660" w:hanging="316"/>
        <w:spacing w:after="0" w:line="237" w:lineRule="auto"/>
        <w:tabs>
          <w:tab w:leader="none" w:pos="108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Determined by reference to the Bid-Side Yield on the Reference UST Security plus 1.12% in the case of the New 2047 Notes, 1.15% in the case of the New 2049 Notes and 1.20% in the case of the New 2052 Notes.</w:t>
      </w:r>
    </w:p>
    <w:p>
      <w:pPr>
        <w:spacing w:after="0" w:line="120" w:lineRule="exact"/>
        <w:rPr>
          <w:sz w:val="20"/>
          <w:szCs w:val="20"/>
          <w:color w:val="auto"/>
        </w:rPr>
      </w:pPr>
    </w:p>
    <w:p>
      <w:pPr>
        <w:ind w:right="500"/>
        <w:spacing w:after="0" w:line="276" w:lineRule="auto"/>
        <w:rPr>
          <w:sz w:val="20"/>
          <w:szCs w:val="20"/>
          <w:color w:val="auto"/>
        </w:rPr>
      </w:pPr>
      <w:r>
        <w:rPr>
          <w:rFonts w:ascii="Arial" w:cs="Arial" w:eastAsia="Arial" w:hAnsi="Arial"/>
          <w:sz w:val="17"/>
          <w:szCs w:val="17"/>
          <w:color w:val="auto"/>
        </w:rPr>
        <w:t>As of 5:00 p.m., New York City time, on October 17, 2017 (the “Early Participation Date”), the Exchange Offer was over-subscribed, and Comcast and NBCUniversal have elected to accept for exchange all Old Notes validly tendered and not validly withdrawn in the Exchange Offer as of the Early Participation Date, subject to applicable caps and proration procedures, on the second business day following the Early Participation Date or as soon as practicable thereafter, which is expected to be October 19, 2017 (the “Early Settlement Date”), if all conditions to the Exchange Offer have been or concurrently are satisfied or waived by Comcast and 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 w:name="page8"/>
    <w:bookmarkEnd w:id="7"/>
    <w:p>
      <w:pPr>
        <w:ind w:right="40"/>
        <w:spacing w:after="0" w:line="308" w:lineRule="auto"/>
        <w:rPr>
          <w:sz w:val="20"/>
          <w:szCs w:val="20"/>
          <w:color w:val="auto"/>
        </w:rPr>
      </w:pPr>
      <w:r>
        <w:rPr>
          <w:rFonts w:ascii="Arial" w:cs="Arial" w:eastAsia="Arial" w:hAnsi="Arial"/>
          <w:sz w:val="17"/>
          <w:szCs w:val="17"/>
          <w:color w:val="auto"/>
        </w:rPr>
        <w:t>The table below identifies the aggregate principal amount of each series of Old Notes validly tendered (and not validly withdrawn) in the Exchange Offer and the principal amount of each series of Old Notes that Comcast and NBCUniversal expect to accept on the Early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586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8623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620" w:type="dxa"/>
            <w:vAlign w:val="bottom"/>
            <w:tcBorders>
              <w:top w:val="single" w:sz="8" w:color="auto"/>
            </w:tcBorders>
            <w:shd w:val="clear" w:color="auto" w:fill="CCCCCC"/>
          </w:tcPr>
          <w:p>
            <w:pPr>
              <w:spacing w:after="0"/>
              <w:rPr>
                <w:sz w:val="12"/>
                <w:szCs w:val="12"/>
                <w:color w:val="auto"/>
              </w:rPr>
            </w:pPr>
          </w:p>
        </w:tc>
        <w:tc>
          <w:tcPr>
            <w:tcW w:w="1720" w:type="dxa"/>
            <w:vAlign w:val="bottom"/>
            <w:tcBorders>
              <w:top w:val="single" w:sz="8" w:color="auto"/>
            </w:tcBorders>
            <w:shd w:val="clear" w:color="auto" w:fill="CCCCCC"/>
          </w:tcPr>
          <w:p>
            <w:pPr>
              <w:spacing w:after="0"/>
              <w:rPr>
                <w:sz w:val="12"/>
                <w:szCs w:val="12"/>
                <w:color w:val="auto"/>
              </w:rPr>
            </w:pPr>
          </w:p>
        </w:tc>
        <w:tc>
          <w:tcPr>
            <w:tcW w:w="1480" w:type="dxa"/>
            <w:vAlign w:val="bottom"/>
            <w:tcBorders>
              <w:top w:val="single" w:sz="8" w:color="auto"/>
            </w:tcBorders>
            <w:shd w:val="clear" w:color="auto" w:fill="CCCCCC"/>
          </w:tcPr>
          <w:p>
            <w:pPr>
              <w:spacing w:after="0"/>
              <w:rPr>
                <w:sz w:val="12"/>
                <w:szCs w:val="12"/>
                <w:color w:val="auto"/>
              </w:rPr>
            </w:pPr>
          </w:p>
        </w:tc>
        <w:tc>
          <w:tcPr>
            <w:tcW w:w="1260" w:type="dxa"/>
            <w:vAlign w:val="bottom"/>
            <w:tcBorders>
              <w:top w:val="single" w:sz="8" w:color="auto"/>
            </w:tcBorders>
            <w:vMerge w:val="restart"/>
            <w:shd w:val="clear" w:color="auto" w:fill="CCCCCC"/>
          </w:tcPr>
          <w:p>
            <w:pPr>
              <w:jc w:val="center"/>
              <w:ind w:left="88"/>
              <w:spacing w:after="0"/>
              <w:rPr>
                <w:sz w:val="20"/>
                <w:szCs w:val="20"/>
                <w:color w:val="auto"/>
              </w:rPr>
            </w:pPr>
            <w:r>
              <w:rPr>
                <w:rFonts w:ascii="Arial" w:cs="Arial" w:eastAsia="Arial" w:hAnsi="Arial"/>
                <w:sz w:val="14"/>
                <w:szCs w:val="14"/>
                <w:b w:val="1"/>
                <w:bCs w:val="1"/>
                <w:color w:val="auto"/>
                <w:w w:val="97"/>
              </w:rPr>
              <w:t>Principal</w:t>
            </w:r>
          </w:p>
        </w:tc>
        <w:tc>
          <w:tcPr>
            <w:tcW w:w="960" w:type="dxa"/>
            <w:vAlign w:val="bottom"/>
            <w:tcBorders>
              <w:top w:val="single" w:sz="8" w:color="auto"/>
            </w:tcBorders>
            <w:shd w:val="clear" w:color="auto" w:fill="CCCCCC"/>
          </w:tcPr>
          <w:p>
            <w:pPr>
              <w:spacing w:after="0"/>
              <w:rPr>
                <w:sz w:val="12"/>
                <w:szCs w:val="12"/>
                <w:color w:val="auto"/>
              </w:rPr>
            </w:pPr>
          </w:p>
        </w:tc>
        <w:tc>
          <w:tcPr>
            <w:tcW w:w="1080" w:type="dxa"/>
            <w:vAlign w:val="bottom"/>
            <w:tcBorders>
              <w:top w:val="single" w:sz="8" w:color="auto"/>
            </w:tcBorders>
            <w:vMerge w:val="restart"/>
            <w:shd w:val="clear" w:color="auto" w:fill="CCCCCC"/>
          </w:tcPr>
          <w:p>
            <w:pPr>
              <w:jc w:val="center"/>
              <w:ind w:left="49"/>
              <w:spacing w:after="0"/>
              <w:rPr>
                <w:sz w:val="20"/>
                <w:szCs w:val="20"/>
                <w:color w:val="auto"/>
              </w:rPr>
            </w:pPr>
            <w:r>
              <w:rPr>
                <w:rFonts w:ascii="Arial" w:cs="Arial" w:eastAsia="Arial" w:hAnsi="Arial"/>
                <w:sz w:val="14"/>
                <w:szCs w:val="14"/>
                <w:b w:val="1"/>
                <w:bCs w:val="1"/>
                <w:color w:val="auto"/>
                <w:w w:val="94"/>
              </w:rPr>
              <w:t>Principal</w:t>
            </w:r>
          </w:p>
        </w:tc>
        <w:tc>
          <w:tcPr>
            <w:tcW w:w="1240" w:type="dxa"/>
            <w:vAlign w:val="bottom"/>
            <w:tcBorders>
              <w:top w:val="single" w:sz="8" w:color="auto"/>
            </w:tcBorders>
            <w:shd w:val="clear" w:color="auto" w:fill="CCCCCC"/>
          </w:tcPr>
          <w:p>
            <w:pPr>
              <w:jc w:val="center"/>
              <w:spacing w:after="0" w:line="139" w:lineRule="exact"/>
              <w:rPr>
                <w:sz w:val="20"/>
                <w:szCs w:val="20"/>
                <w:color w:val="auto"/>
              </w:rPr>
            </w:pPr>
            <w:r>
              <w:rPr>
                <w:rFonts w:ascii="Arial" w:cs="Arial" w:eastAsia="Arial" w:hAnsi="Arial"/>
                <w:sz w:val="14"/>
                <w:szCs w:val="14"/>
                <w:b w:val="1"/>
                <w:bCs w:val="1"/>
                <w:color w:val="auto"/>
                <w:w w:val="97"/>
              </w:rPr>
              <w:t>Principal</w:t>
            </w:r>
          </w:p>
        </w:tc>
        <w:tc>
          <w:tcPr>
            <w:tcW w:w="1040" w:type="dxa"/>
            <w:vAlign w:val="bottom"/>
            <w:tcBorders>
              <w:top w:val="single" w:sz="8" w:color="auto"/>
            </w:tcBorders>
            <w:shd w:val="clear" w:color="auto" w:fill="CCCCCC"/>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shd w:val="clear" w:color="auto" w:fill="CCCCCC"/>
          </w:tcPr>
          <w:p>
            <w:pPr>
              <w:spacing w:after="0"/>
              <w:rPr>
                <w:sz w:val="12"/>
                <w:szCs w:val="12"/>
                <w:color w:val="auto"/>
              </w:rPr>
            </w:pPr>
          </w:p>
        </w:tc>
        <w:tc>
          <w:tcPr>
            <w:tcW w:w="1720" w:type="dxa"/>
            <w:vAlign w:val="bottom"/>
            <w:shd w:val="clear" w:color="auto" w:fill="CCCCCC"/>
          </w:tcPr>
          <w:p>
            <w:pPr>
              <w:spacing w:after="0"/>
              <w:rPr>
                <w:sz w:val="12"/>
                <w:szCs w:val="12"/>
                <w:color w:val="auto"/>
              </w:rPr>
            </w:pPr>
          </w:p>
        </w:tc>
        <w:tc>
          <w:tcPr>
            <w:tcW w:w="1480" w:type="dxa"/>
            <w:vAlign w:val="bottom"/>
            <w:shd w:val="clear" w:color="auto" w:fill="CCCCCC"/>
          </w:tcPr>
          <w:p>
            <w:pPr>
              <w:spacing w:after="0"/>
              <w:rPr>
                <w:sz w:val="12"/>
                <w:szCs w:val="12"/>
                <w:color w:val="auto"/>
              </w:rPr>
            </w:pPr>
          </w:p>
        </w:tc>
        <w:tc>
          <w:tcPr>
            <w:tcW w:w="1260" w:type="dxa"/>
            <w:vAlign w:val="bottom"/>
            <w:vMerge w:val="continue"/>
            <w:shd w:val="clear" w:color="auto" w:fill="CCCCCC"/>
          </w:tcPr>
          <w:p>
            <w:pPr>
              <w:spacing w:after="0"/>
              <w:rPr>
                <w:sz w:val="12"/>
                <w:szCs w:val="12"/>
                <w:color w:val="auto"/>
              </w:rPr>
            </w:pPr>
          </w:p>
        </w:tc>
        <w:tc>
          <w:tcPr>
            <w:tcW w:w="960" w:type="dxa"/>
            <w:vAlign w:val="bottom"/>
            <w:vMerge w:val="restart"/>
            <w:shd w:val="clear" w:color="auto" w:fill="CCCCCC"/>
          </w:tcPr>
          <w:p>
            <w:pPr>
              <w:jc w:val="center"/>
              <w:ind w:left="28"/>
              <w:spacing w:after="0"/>
              <w:rPr>
                <w:sz w:val="20"/>
                <w:szCs w:val="20"/>
                <w:color w:val="auto"/>
              </w:rPr>
            </w:pPr>
            <w:r>
              <w:rPr>
                <w:rFonts w:ascii="Arial" w:cs="Arial" w:eastAsia="Arial" w:hAnsi="Arial"/>
                <w:sz w:val="14"/>
                <w:szCs w:val="14"/>
                <w:b w:val="1"/>
                <w:bCs w:val="1"/>
                <w:color w:val="auto"/>
                <w:w w:val="89"/>
              </w:rPr>
              <w:t>Acceptance</w:t>
            </w:r>
          </w:p>
        </w:tc>
        <w:tc>
          <w:tcPr>
            <w:tcW w:w="1080" w:type="dxa"/>
            <w:vAlign w:val="bottom"/>
            <w:vMerge w:val="continue"/>
            <w:shd w:val="clear" w:color="auto" w:fill="CCCCCC"/>
          </w:tcPr>
          <w:p>
            <w:pPr>
              <w:spacing w:after="0"/>
              <w:rPr>
                <w:sz w:val="12"/>
                <w:szCs w:val="12"/>
                <w:color w:val="auto"/>
              </w:rPr>
            </w:pPr>
          </w:p>
        </w:tc>
        <w:tc>
          <w:tcPr>
            <w:tcW w:w="1240" w:type="dxa"/>
            <w:vAlign w:val="bottom"/>
            <w:shd w:val="clear" w:color="auto" w:fill="CCCCCC"/>
          </w:tcPr>
          <w:p>
            <w:pPr>
              <w:jc w:val="center"/>
              <w:spacing w:after="0" w:line="145" w:lineRule="exact"/>
              <w:rPr>
                <w:sz w:val="20"/>
                <w:szCs w:val="20"/>
                <w:color w:val="auto"/>
              </w:rPr>
            </w:pPr>
            <w:r>
              <w:rPr>
                <w:rFonts w:ascii="Arial" w:cs="Arial" w:eastAsia="Arial" w:hAnsi="Arial"/>
                <w:sz w:val="14"/>
                <w:szCs w:val="14"/>
                <w:b w:val="1"/>
                <w:bCs w:val="1"/>
                <w:color w:val="auto"/>
                <w:w w:val="94"/>
              </w:rPr>
              <w:t>Amount</w:t>
            </w:r>
          </w:p>
        </w:tc>
        <w:tc>
          <w:tcPr>
            <w:tcW w:w="1040" w:type="dxa"/>
            <w:vAlign w:val="bottom"/>
            <w:shd w:val="clear" w:color="auto" w:fill="CCCC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CCCC"/>
          </w:tcPr>
          <w:p>
            <w:pPr>
              <w:spacing w:after="0"/>
              <w:rPr>
                <w:sz w:val="12"/>
                <w:szCs w:val="12"/>
                <w:color w:val="auto"/>
              </w:rPr>
            </w:pPr>
          </w:p>
        </w:tc>
        <w:tc>
          <w:tcPr>
            <w:tcW w:w="1720" w:type="dxa"/>
            <w:vAlign w:val="bottom"/>
            <w:shd w:val="clear" w:color="auto" w:fill="CCCCCC"/>
          </w:tcPr>
          <w:p>
            <w:pPr>
              <w:spacing w:after="0"/>
              <w:rPr>
                <w:sz w:val="12"/>
                <w:szCs w:val="12"/>
                <w:color w:val="auto"/>
              </w:rPr>
            </w:pPr>
          </w:p>
        </w:tc>
        <w:tc>
          <w:tcPr>
            <w:tcW w:w="1480" w:type="dxa"/>
            <w:vAlign w:val="bottom"/>
            <w:vMerge w:val="restart"/>
            <w:shd w:val="clear" w:color="auto" w:fill="CCCCCC"/>
          </w:tcPr>
          <w:p>
            <w:pPr>
              <w:ind w:left="640"/>
              <w:spacing w:after="0"/>
              <w:rPr>
                <w:sz w:val="20"/>
                <w:szCs w:val="20"/>
                <w:color w:val="auto"/>
              </w:rPr>
            </w:pPr>
            <w:r>
              <w:rPr>
                <w:rFonts w:ascii="Arial" w:cs="Arial" w:eastAsia="Arial" w:hAnsi="Arial"/>
                <w:sz w:val="14"/>
                <w:szCs w:val="14"/>
                <w:b w:val="1"/>
                <w:bCs w:val="1"/>
                <w:color w:val="auto"/>
              </w:rPr>
              <w:t>CUSIP</w:t>
            </w:r>
          </w:p>
        </w:tc>
        <w:tc>
          <w:tcPr>
            <w:tcW w:w="1260" w:type="dxa"/>
            <w:vAlign w:val="bottom"/>
            <w:shd w:val="clear" w:color="auto" w:fill="CCCCCC"/>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Amount</w:t>
            </w:r>
          </w:p>
        </w:tc>
        <w:tc>
          <w:tcPr>
            <w:tcW w:w="960" w:type="dxa"/>
            <w:vAlign w:val="bottom"/>
            <w:vMerge w:val="continue"/>
            <w:shd w:val="clear" w:color="auto" w:fill="CCCCCC"/>
          </w:tcPr>
          <w:p>
            <w:pPr>
              <w:spacing w:after="0"/>
              <w:rPr>
                <w:sz w:val="12"/>
                <w:szCs w:val="12"/>
                <w:color w:val="auto"/>
              </w:rPr>
            </w:pPr>
          </w:p>
        </w:tc>
        <w:tc>
          <w:tcPr>
            <w:tcW w:w="1080" w:type="dxa"/>
            <w:vAlign w:val="bottom"/>
            <w:shd w:val="clear" w:color="auto" w:fill="CCCCCC"/>
          </w:tcPr>
          <w:p>
            <w:pPr>
              <w:jc w:val="center"/>
              <w:ind w:left="29"/>
              <w:spacing w:after="0" w:line="149" w:lineRule="exact"/>
              <w:rPr>
                <w:sz w:val="20"/>
                <w:szCs w:val="20"/>
                <w:color w:val="auto"/>
              </w:rPr>
            </w:pPr>
            <w:r>
              <w:rPr>
                <w:rFonts w:ascii="Arial" w:cs="Arial" w:eastAsia="Arial" w:hAnsi="Arial"/>
                <w:sz w:val="14"/>
                <w:szCs w:val="14"/>
                <w:b w:val="1"/>
                <w:bCs w:val="1"/>
                <w:color w:val="auto"/>
                <w:w w:val="94"/>
              </w:rPr>
              <w:t>Amount</w:t>
            </w:r>
          </w:p>
        </w:tc>
        <w:tc>
          <w:tcPr>
            <w:tcW w:w="1240" w:type="dxa"/>
            <w:vAlign w:val="bottom"/>
            <w:shd w:val="clear" w:color="auto" w:fill="CCCCCC"/>
          </w:tcPr>
          <w:p>
            <w:pPr>
              <w:jc w:val="center"/>
              <w:spacing w:after="0" w:line="149" w:lineRule="exact"/>
              <w:rPr>
                <w:sz w:val="20"/>
                <w:szCs w:val="20"/>
                <w:color w:val="auto"/>
              </w:rPr>
            </w:pPr>
            <w:r>
              <w:rPr>
                <w:rFonts w:ascii="Arial" w:cs="Arial" w:eastAsia="Arial" w:hAnsi="Arial"/>
                <w:sz w:val="14"/>
                <w:szCs w:val="14"/>
                <w:b w:val="1"/>
                <w:bCs w:val="1"/>
                <w:color w:val="auto"/>
                <w:w w:val="90"/>
              </w:rPr>
              <w:t>Expected to be</w:t>
            </w:r>
          </w:p>
        </w:tc>
        <w:tc>
          <w:tcPr>
            <w:tcW w:w="1040" w:type="dxa"/>
            <w:vAlign w:val="bottom"/>
            <w:vMerge w:val="restart"/>
            <w:shd w:val="clear" w:color="auto" w:fill="CCCCCC"/>
          </w:tcPr>
          <w:p>
            <w:pPr>
              <w:jc w:val="right"/>
              <w:ind w:right="189"/>
              <w:spacing w:after="0"/>
              <w:rPr>
                <w:sz w:val="20"/>
                <w:szCs w:val="20"/>
                <w:color w:val="auto"/>
              </w:rPr>
            </w:pPr>
            <w:r>
              <w:rPr>
                <w:rFonts w:ascii="Arial" w:cs="Arial" w:eastAsia="Arial" w:hAnsi="Arial"/>
                <w:sz w:val="14"/>
                <w:szCs w:val="14"/>
                <w:b w:val="1"/>
                <w:bCs w:val="1"/>
                <w:color w:val="auto"/>
              </w:rPr>
              <w:t>Proration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vMerge w:val="restart"/>
            <w:shd w:val="clear" w:color="auto" w:fill="CCCCCC"/>
          </w:tcPr>
          <w:p>
            <w:pPr>
              <w:ind w:left="120"/>
              <w:spacing w:after="0"/>
              <w:rPr>
                <w:sz w:val="20"/>
                <w:szCs w:val="20"/>
                <w:color w:val="auto"/>
              </w:rPr>
            </w:pPr>
            <w:r>
              <w:rPr>
                <w:rFonts w:ascii="Arial" w:cs="Arial" w:eastAsia="Arial" w:hAnsi="Arial"/>
                <w:sz w:val="14"/>
                <w:szCs w:val="14"/>
                <w:b w:val="1"/>
                <w:bCs w:val="1"/>
                <w:color w:val="auto"/>
              </w:rPr>
              <w:t>Title of Security</w:t>
            </w:r>
          </w:p>
        </w:tc>
        <w:tc>
          <w:tcPr>
            <w:tcW w:w="1720" w:type="dxa"/>
            <w:vAlign w:val="bottom"/>
            <w:vMerge w:val="restart"/>
            <w:shd w:val="clear" w:color="auto" w:fill="CCCCCC"/>
          </w:tcPr>
          <w:p>
            <w:pPr>
              <w:ind w:left="980"/>
              <w:spacing w:after="0"/>
              <w:rPr>
                <w:sz w:val="20"/>
                <w:szCs w:val="20"/>
                <w:color w:val="auto"/>
              </w:rPr>
            </w:pPr>
            <w:r>
              <w:rPr>
                <w:rFonts w:ascii="Arial" w:cs="Arial" w:eastAsia="Arial" w:hAnsi="Arial"/>
                <w:sz w:val="14"/>
                <w:szCs w:val="14"/>
                <w:b w:val="1"/>
                <w:bCs w:val="1"/>
                <w:color w:val="auto"/>
              </w:rPr>
              <w:t>Issuer</w:t>
            </w:r>
          </w:p>
        </w:tc>
        <w:tc>
          <w:tcPr>
            <w:tcW w:w="1480" w:type="dxa"/>
            <w:vAlign w:val="bottom"/>
            <w:vMerge w:val="continue"/>
            <w:shd w:val="clear" w:color="auto" w:fill="CCCCCC"/>
          </w:tcPr>
          <w:p>
            <w:pPr>
              <w:spacing w:after="0"/>
              <w:rPr>
                <w:sz w:val="12"/>
                <w:szCs w:val="12"/>
                <w:color w:val="auto"/>
              </w:rPr>
            </w:pPr>
          </w:p>
        </w:tc>
        <w:tc>
          <w:tcPr>
            <w:tcW w:w="1260" w:type="dxa"/>
            <w:vAlign w:val="bottom"/>
            <w:shd w:val="clear" w:color="auto" w:fill="CCCCCC"/>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Outstanding</w:t>
            </w:r>
          </w:p>
        </w:tc>
        <w:tc>
          <w:tcPr>
            <w:tcW w:w="960" w:type="dxa"/>
            <w:vAlign w:val="bottom"/>
            <w:shd w:val="clear" w:color="auto" w:fill="CCCCCC"/>
          </w:tcPr>
          <w:p>
            <w:pPr>
              <w:jc w:val="center"/>
              <w:spacing w:after="0" w:line="149" w:lineRule="exact"/>
              <w:rPr>
                <w:sz w:val="20"/>
                <w:szCs w:val="20"/>
                <w:color w:val="auto"/>
              </w:rPr>
            </w:pPr>
            <w:r>
              <w:rPr>
                <w:rFonts w:ascii="Arial" w:cs="Arial" w:eastAsia="Arial" w:hAnsi="Arial"/>
                <w:sz w:val="14"/>
                <w:szCs w:val="14"/>
                <w:b w:val="1"/>
                <w:bCs w:val="1"/>
                <w:color w:val="auto"/>
              </w:rPr>
              <w:t>Priority</w:t>
            </w:r>
          </w:p>
        </w:tc>
        <w:tc>
          <w:tcPr>
            <w:tcW w:w="1080" w:type="dxa"/>
            <w:vAlign w:val="bottom"/>
            <w:shd w:val="clear" w:color="auto" w:fill="CCCCCC"/>
          </w:tcPr>
          <w:p>
            <w:pPr>
              <w:jc w:val="center"/>
              <w:ind w:left="49"/>
              <w:spacing w:after="0" w:line="149" w:lineRule="exact"/>
              <w:rPr>
                <w:sz w:val="20"/>
                <w:szCs w:val="20"/>
                <w:color w:val="auto"/>
              </w:rPr>
            </w:pPr>
            <w:r>
              <w:rPr>
                <w:rFonts w:ascii="Arial" w:cs="Arial" w:eastAsia="Arial" w:hAnsi="Arial"/>
                <w:sz w:val="11"/>
                <w:szCs w:val="11"/>
                <w:b w:val="1"/>
                <w:bCs w:val="1"/>
                <w:color w:val="auto"/>
              </w:rPr>
              <w:t>Tendered</w:t>
            </w:r>
            <w:r>
              <w:rPr>
                <w:rFonts w:ascii="Arial" w:cs="Arial" w:eastAsia="Arial" w:hAnsi="Arial"/>
                <w:sz w:val="17"/>
                <w:szCs w:val="17"/>
                <w:b w:val="1"/>
                <w:bCs w:val="1"/>
                <w:color w:val="auto"/>
                <w:vertAlign w:val="superscript"/>
              </w:rPr>
              <w:t>(1)</w:t>
            </w:r>
          </w:p>
        </w:tc>
        <w:tc>
          <w:tcPr>
            <w:tcW w:w="1240" w:type="dxa"/>
            <w:vAlign w:val="bottom"/>
            <w:shd w:val="clear" w:color="auto" w:fill="CCCCCC"/>
          </w:tcPr>
          <w:p>
            <w:pPr>
              <w:jc w:val="center"/>
              <w:spacing w:after="0" w:line="149" w:lineRule="exact"/>
              <w:rPr>
                <w:sz w:val="20"/>
                <w:szCs w:val="20"/>
                <w:color w:val="auto"/>
              </w:rPr>
            </w:pPr>
            <w:r>
              <w:rPr>
                <w:rFonts w:ascii="Arial" w:cs="Arial" w:eastAsia="Arial" w:hAnsi="Arial"/>
                <w:sz w:val="14"/>
                <w:szCs w:val="14"/>
                <w:b w:val="1"/>
                <w:bCs w:val="1"/>
                <w:color w:val="auto"/>
                <w:w w:val="91"/>
              </w:rPr>
              <w:t>Accepted</w:t>
            </w:r>
          </w:p>
        </w:tc>
        <w:tc>
          <w:tcPr>
            <w:tcW w:w="1040" w:type="dxa"/>
            <w:vAlign w:val="bottom"/>
            <w:vMerge w:val="continue"/>
            <w:shd w:val="clear" w:color="auto" w:fill="CCCCC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20" w:type="dxa"/>
            <w:vAlign w:val="bottom"/>
            <w:tcBorders>
              <w:bottom w:val="single" w:sz="8" w:color="auto"/>
            </w:tcBorders>
            <w:vMerge w:val="continue"/>
            <w:shd w:val="clear" w:color="auto" w:fill="CCCCCC"/>
          </w:tcPr>
          <w:p>
            <w:pPr>
              <w:spacing w:after="0"/>
              <w:rPr>
                <w:sz w:val="15"/>
                <w:szCs w:val="15"/>
                <w:color w:val="auto"/>
              </w:rPr>
            </w:pPr>
          </w:p>
        </w:tc>
        <w:tc>
          <w:tcPr>
            <w:tcW w:w="1720" w:type="dxa"/>
            <w:vAlign w:val="bottom"/>
            <w:tcBorders>
              <w:bottom w:val="single" w:sz="8" w:color="auto"/>
            </w:tcBorders>
            <w:vMerge w:val="continue"/>
            <w:shd w:val="clear" w:color="auto" w:fill="CCCCCC"/>
          </w:tcPr>
          <w:p>
            <w:pPr>
              <w:spacing w:after="0"/>
              <w:rPr>
                <w:sz w:val="15"/>
                <w:szCs w:val="15"/>
                <w:color w:val="auto"/>
              </w:rPr>
            </w:pPr>
          </w:p>
        </w:tc>
        <w:tc>
          <w:tcPr>
            <w:tcW w:w="1480" w:type="dxa"/>
            <w:vAlign w:val="bottom"/>
            <w:tcBorders>
              <w:bottom w:val="single" w:sz="8" w:color="auto"/>
            </w:tcBorders>
            <w:shd w:val="clear" w:color="auto" w:fill="CCCCCC"/>
          </w:tcPr>
          <w:p>
            <w:pPr>
              <w:ind w:left="620"/>
              <w:spacing w:after="0"/>
              <w:rPr>
                <w:sz w:val="20"/>
                <w:szCs w:val="20"/>
                <w:color w:val="auto"/>
              </w:rPr>
            </w:pPr>
            <w:r>
              <w:rPr>
                <w:rFonts w:ascii="Arial" w:cs="Arial" w:eastAsia="Arial" w:hAnsi="Arial"/>
                <w:sz w:val="14"/>
                <w:szCs w:val="14"/>
                <w:b w:val="1"/>
                <w:bCs w:val="1"/>
                <w:color w:val="auto"/>
              </w:rPr>
              <w:t>Number</w:t>
            </w:r>
          </w:p>
        </w:tc>
        <w:tc>
          <w:tcPr>
            <w:tcW w:w="1260" w:type="dxa"/>
            <w:vAlign w:val="bottom"/>
            <w:tcBorders>
              <w:bottom w:val="single" w:sz="8" w:color="auto"/>
            </w:tcBorders>
            <w:shd w:val="clear" w:color="auto" w:fill="CCCCCC"/>
          </w:tcPr>
          <w:p>
            <w:pPr>
              <w:jc w:val="center"/>
              <w:ind w:left="88"/>
              <w:spacing w:after="0"/>
              <w:rPr>
                <w:sz w:val="20"/>
                <w:szCs w:val="20"/>
                <w:color w:val="auto"/>
              </w:rPr>
            </w:pPr>
            <w:r>
              <w:rPr>
                <w:rFonts w:ascii="Arial" w:cs="Arial" w:eastAsia="Arial" w:hAnsi="Arial"/>
                <w:sz w:val="14"/>
                <w:szCs w:val="14"/>
                <w:b w:val="1"/>
                <w:bCs w:val="1"/>
                <w:color w:val="auto"/>
                <w:w w:val="93"/>
              </w:rPr>
              <w:t>(millions)</w:t>
            </w:r>
          </w:p>
        </w:tc>
        <w:tc>
          <w:tcPr>
            <w:tcW w:w="960" w:type="dxa"/>
            <w:vAlign w:val="bottom"/>
            <w:tcBorders>
              <w:bottom w:val="single" w:sz="8" w:color="auto"/>
            </w:tcBorders>
            <w:shd w:val="clear" w:color="auto" w:fill="CCCCCC"/>
          </w:tcPr>
          <w:p>
            <w:pPr>
              <w:jc w:val="center"/>
              <w:ind w:left="28"/>
              <w:spacing w:after="0"/>
              <w:rPr>
                <w:sz w:val="20"/>
                <w:szCs w:val="20"/>
                <w:color w:val="auto"/>
              </w:rPr>
            </w:pPr>
            <w:r>
              <w:rPr>
                <w:rFonts w:ascii="Arial" w:cs="Arial" w:eastAsia="Arial" w:hAnsi="Arial"/>
                <w:sz w:val="14"/>
                <w:szCs w:val="14"/>
                <w:b w:val="1"/>
                <w:bCs w:val="1"/>
                <w:color w:val="auto"/>
                <w:w w:val="94"/>
              </w:rPr>
              <w:t>Level</w:t>
            </w:r>
          </w:p>
        </w:tc>
        <w:tc>
          <w:tcPr>
            <w:tcW w:w="1080" w:type="dxa"/>
            <w:vAlign w:val="bottom"/>
            <w:tcBorders>
              <w:bottom w:val="single" w:sz="8" w:color="auto"/>
            </w:tcBorders>
            <w:shd w:val="clear" w:color="auto" w:fill="CCCCCC"/>
          </w:tcPr>
          <w:p>
            <w:pPr>
              <w:jc w:val="center"/>
              <w:ind w:left="49"/>
              <w:spacing w:after="0"/>
              <w:rPr>
                <w:sz w:val="20"/>
                <w:szCs w:val="20"/>
                <w:color w:val="auto"/>
              </w:rPr>
            </w:pPr>
            <w:r>
              <w:rPr>
                <w:rFonts w:ascii="Arial" w:cs="Arial" w:eastAsia="Arial" w:hAnsi="Arial"/>
                <w:sz w:val="14"/>
                <w:szCs w:val="14"/>
                <w:b w:val="1"/>
                <w:bCs w:val="1"/>
                <w:color w:val="auto"/>
                <w:w w:val="89"/>
              </w:rPr>
              <w:t>(thousands)</w:t>
            </w:r>
          </w:p>
        </w:tc>
        <w:tc>
          <w:tcPr>
            <w:tcW w:w="12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b w:val="1"/>
                <w:bCs w:val="1"/>
                <w:color w:val="auto"/>
                <w:w w:val="89"/>
              </w:rPr>
              <w:t>(thousands)</w:t>
            </w:r>
          </w:p>
        </w:tc>
        <w:tc>
          <w:tcPr>
            <w:tcW w:w="1040" w:type="dxa"/>
            <w:vAlign w:val="bottom"/>
            <w:tcBorders>
              <w:bottom w:val="single" w:sz="8" w:color="auto"/>
            </w:tcBorders>
            <w:shd w:val="clear" w:color="auto" w:fill="CCCCCC"/>
          </w:tcPr>
          <w:p>
            <w:pPr>
              <w:jc w:val="right"/>
              <w:ind w:right="209"/>
              <w:spacing w:after="0" w:line="176" w:lineRule="exact"/>
              <w:rPr>
                <w:sz w:val="20"/>
                <w:szCs w:val="20"/>
                <w:color w:val="auto"/>
              </w:rPr>
            </w:pPr>
            <w:r>
              <w:rPr>
                <w:rFonts w:ascii="Arial" w:cs="Arial" w:eastAsia="Arial" w:hAnsi="Arial"/>
                <w:sz w:val="13"/>
                <w:szCs w:val="13"/>
                <w:b w:val="1"/>
                <w:bCs w:val="1"/>
                <w:color w:val="auto"/>
              </w:rPr>
              <w:t>Factor</w:t>
            </w:r>
            <w:r>
              <w:rPr>
                <w:rFonts w:ascii="Arial" w:cs="Arial" w:eastAsia="Arial" w:hAnsi="Arial"/>
                <w:sz w:val="20"/>
                <w:szCs w:val="20"/>
                <w:b w:val="1"/>
                <w:bCs w:val="1"/>
                <w:color w:val="auto"/>
                <w:vertAlign w:val="superscript"/>
              </w:rPr>
              <w:t>(2)</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6.950% Notes due 2037</w:t>
            </w:r>
          </w:p>
        </w:tc>
        <w:tc>
          <w:tcPr>
            <w:tcW w:w="1720" w:type="dxa"/>
            <w:vAlign w:val="bottom"/>
            <w:tcBorders>
              <w:bottom w:val="single" w:sz="8" w:color="auto"/>
            </w:tcBorders>
          </w:tcPr>
          <w:p>
            <w:pPr>
              <w:ind w:left="560"/>
              <w:spacing w:after="0" w:line="142" w:lineRule="exact"/>
              <w:rPr>
                <w:sz w:val="20"/>
                <w:szCs w:val="20"/>
                <w:color w:val="auto"/>
              </w:rPr>
            </w:pPr>
            <w:r>
              <w:rPr>
                <w:rFonts w:ascii="Arial" w:cs="Arial" w:eastAsia="Arial" w:hAnsi="Arial"/>
                <w:sz w:val="14"/>
                <w:szCs w:val="14"/>
                <w:color w:val="auto"/>
              </w:rPr>
              <w:t>Comcast</w:t>
            </w:r>
          </w:p>
        </w:tc>
        <w:tc>
          <w:tcPr>
            <w:tcW w:w="14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20030NAV3</w:t>
            </w:r>
          </w:p>
        </w:tc>
        <w:tc>
          <w:tcPr>
            <w:tcW w:w="12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$2,000</w:t>
            </w:r>
          </w:p>
        </w:tc>
        <w:tc>
          <w:tcPr>
            <w:tcW w:w="960" w:type="dxa"/>
            <w:vAlign w:val="bottom"/>
            <w:tcBorders>
              <w:bottom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76"/>
              </w:rPr>
              <w:t>1</w:t>
            </w:r>
          </w:p>
        </w:tc>
        <w:tc>
          <w:tcPr>
            <w:tcW w:w="1080" w:type="dxa"/>
            <w:vAlign w:val="bottom"/>
            <w:tcBorders>
              <w:bottom w:val="single" w:sz="8" w:color="auto"/>
            </w:tcBorders>
          </w:tcPr>
          <w:p>
            <w:pPr>
              <w:jc w:val="right"/>
              <w:ind w:right="269"/>
              <w:spacing w:after="0" w:line="142" w:lineRule="exact"/>
              <w:rPr>
                <w:sz w:val="20"/>
                <w:szCs w:val="20"/>
                <w:color w:val="auto"/>
              </w:rPr>
            </w:pPr>
            <w:r>
              <w:rPr>
                <w:rFonts w:ascii="Arial" w:cs="Arial" w:eastAsia="Arial" w:hAnsi="Arial"/>
                <w:sz w:val="14"/>
                <w:szCs w:val="14"/>
                <w:color w:val="auto"/>
              </w:rPr>
              <w:t>$1,212,275</w:t>
            </w:r>
          </w:p>
        </w:tc>
        <w:tc>
          <w:tcPr>
            <w:tcW w:w="124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$1,212,275</w:t>
            </w:r>
          </w:p>
        </w:tc>
        <w:tc>
          <w:tcPr>
            <w:tcW w:w="1040" w:type="dxa"/>
            <w:vAlign w:val="bottom"/>
            <w:tcBorders>
              <w:bottom w:val="single" w:sz="8" w:color="auto"/>
            </w:tcBorders>
          </w:tcPr>
          <w:p>
            <w:pPr>
              <w:jc w:val="right"/>
              <w:ind w:right="289"/>
              <w:spacing w:after="0" w:line="142" w:lineRule="exact"/>
              <w:rPr>
                <w:sz w:val="20"/>
                <w:szCs w:val="20"/>
                <w:color w:val="auto"/>
              </w:rPr>
            </w:pPr>
            <w:r>
              <w:rPr>
                <w:rFonts w:ascii="Arial" w:cs="Arial" w:eastAsia="Arial" w:hAnsi="Arial"/>
                <w:sz w:val="14"/>
                <w:szCs w:val="14"/>
                <w:color w:val="auto"/>
              </w:rPr>
              <w:t>100%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6.550% Notes due 2039</w:t>
            </w:r>
          </w:p>
        </w:tc>
        <w:tc>
          <w:tcPr>
            <w:tcW w:w="1720" w:type="dxa"/>
            <w:vAlign w:val="bottom"/>
            <w:tcBorders>
              <w:bottom w:val="single" w:sz="8" w:color="auto"/>
            </w:tcBorders>
          </w:tcPr>
          <w:p>
            <w:pPr>
              <w:ind w:left="560"/>
              <w:spacing w:after="0" w:line="142" w:lineRule="exact"/>
              <w:rPr>
                <w:sz w:val="20"/>
                <w:szCs w:val="20"/>
                <w:color w:val="auto"/>
              </w:rPr>
            </w:pPr>
            <w:r>
              <w:rPr>
                <w:rFonts w:ascii="Arial" w:cs="Arial" w:eastAsia="Arial" w:hAnsi="Arial"/>
                <w:sz w:val="14"/>
                <w:szCs w:val="14"/>
                <w:color w:val="auto"/>
              </w:rPr>
              <w:t>Comcast</w:t>
            </w:r>
          </w:p>
        </w:tc>
        <w:tc>
          <w:tcPr>
            <w:tcW w:w="14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20030NAY7</w:t>
            </w:r>
          </w:p>
        </w:tc>
        <w:tc>
          <w:tcPr>
            <w:tcW w:w="12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  800</w:t>
            </w:r>
          </w:p>
        </w:tc>
        <w:tc>
          <w:tcPr>
            <w:tcW w:w="960" w:type="dxa"/>
            <w:vAlign w:val="bottom"/>
            <w:tcBorders>
              <w:bottom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76"/>
              </w:rPr>
              <w:t>2</w:t>
            </w:r>
          </w:p>
        </w:tc>
        <w:tc>
          <w:tcPr>
            <w:tcW w:w="1080" w:type="dxa"/>
            <w:vAlign w:val="bottom"/>
            <w:tcBorders>
              <w:bottom w:val="single" w:sz="8" w:color="auto"/>
            </w:tcBorders>
          </w:tcPr>
          <w:p>
            <w:pPr>
              <w:jc w:val="right"/>
              <w:ind w:right="269"/>
              <w:spacing w:after="0" w:line="142" w:lineRule="exact"/>
              <w:rPr>
                <w:sz w:val="20"/>
                <w:szCs w:val="20"/>
                <w:color w:val="auto"/>
              </w:rPr>
            </w:pPr>
            <w:r>
              <w:rPr>
                <w:rFonts w:ascii="Arial" w:cs="Arial" w:eastAsia="Arial" w:hAnsi="Arial"/>
                <w:sz w:val="14"/>
                <w:szCs w:val="14"/>
                <w:color w:val="auto"/>
              </w:rPr>
              <w:t>$386,332</w:t>
            </w:r>
          </w:p>
        </w:tc>
        <w:tc>
          <w:tcPr>
            <w:tcW w:w="124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$386,332</w:t>
            </w:r>
          </w:p>
        </w:tc>
        <w:tc>
          <w:tcPr>
            <w:tcW w:w="1040" w:type="dxa"/>
            <w:vAlign w:val="bottom"/>
            <w:tcBorders>
              <w:bottom w:val="single" w:sz="8" w:color="auto"/>
            </w:tcBorders>
          </w:tcPr>
          <w:p>
            <w:pPr>
              <w:jc w:val="right"/>
              <w:ind w:right="289"/>
              <w:spacing w:after="0" w:line="142" w:lineRule="exact"/>
              <w:rPr>
                <w:sz w:val="20"/>
                <w:szCs w:val="20"/>
                <w:color w:val="auto"/>
              </w:rPr>
            </w:pPr>
            <w:r>
              <w:rPr>
                <w:rFonts w:ascii="Arial" w:cs="Arial" w:eastAsia="Arial" w:hAnsi="Arial"/>
                <w:sz w:val="14"/>
                <w:szCs w:val="14"/>
                <w:color w:val="auto"/>
              </w:rPr>
              <w:t>100%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6.400% Notes due March 1, 2040</w:t>
            </w:r>
          </w:p>
        </w:tc>
        <w:tc>
          <w:tcPr>
            <w:tcW w:w="1720" w:type="dxa"/>
            <w:vAlign w:val="bottom"/>
            <w:tcBorders>
              <w:bottom w:val="single" w:sz="8" w:color="auto"/>
            </w:tcBorders>
          </w:tcPr>
          <w:p>
            <w:pPr>
              <w:ind w:left="560"/>
              <w:spacing w:after="0" w:line="142" w:lineRule="exact"/>
              <w:rPr>
                <w:sz w:val="20"/>
                <w:szCs w:val="20"/>
                <w:color w:val="auto"/>
              </w:rPr>
            </w:pPr>
            <w:r>
              <w:rPr>
                <w:rFonts w:ascii="Arial" w:cs="Arial" w:eastAsia="Arial" w:hAnsi="Arial"/>
                <w:sz w:val="14"/>
                <w:szCs w:val="14"/>
                <w:color w:val="auto"/>
              </w:rPr>
              <w:t>Comcast</w:t>
            </w:r>
          </w:p>
        </w:tc>
        <w:tc>
          <w:tcPr>
            <w:tcW w:w="14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20030NBB6</w:t>
            </w:r>
          </w:p>
        </w:tc>
        <w:tc>
          <w:tcPr>
            <w:tcW w:w="12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$1,000</w:t>
            </w:r>
          </w:p>
        </w:tc>
        <w:tc>
          <w:tcPr>
            <w:tcW w:w="960" w:type="dxa"/>
            <w:vAlign w:val="bottom"/>
            <w:tcBorders>
              <w:bottom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76"/>
              </w:rPr>
              <w:t>3</w:t>
            </w:r>
          </w:p>
        </w:tc>
        <w:tc>
          <w:tcPr>
            <w:tcW w:w="1080" w:type="dxa"/>
            <w:vAlign w:val="bottom"/>
            <w:tcBorders>
              <w:bottom w:val="single" w:sz="8" w:color="auto"/>
            </w:tcBorders>
          </w:tcPr>
          <w:p>
            <w:pPr>
              <w:jc w:val="right"/>
              <w:ind w:right="269"/>
              <w:spacing w:after="0" w:line="142" w:lineRule="exact"/>
              <w:rPr>
                <w:sz w:val="20"/>
                <w:szCs w:val="20"/>
                <w:color w:val="auto"/>
              </w:rPr>
            </w:pPr>
            <w:r>
              <w:rPr>
                <w:rFonts w:ascii="Arial" w:cs="Arial" w:eastAsia="Arial" w:hAnsi="Arial"/>
                <w:sz w:val="14"/>
                <w:szCs w:val="14"/>
                <w:color w:val="auto"/>
              </w:rPr>
              <w:t>$518,257</w:t>
            </w:r>
          </w:p>
        </w:tc>
        <w:tc>
          <w:tcPr>
            <w:tcW w:w="124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$518,257</w:t>
            </w:r>
          </w:p>
        </w:tc>
        <w:tc>
          <w:tcPr>
            <w:tcW w:w="1040" w:type="dxa"/>
            <w:vAlign w:val="bottom"/>
            <w:tcBorders>
              <w:bottom w:val="single" w:sz="8" w:color="auto"/>
            </w:tcBorders>
          </w:tcPr>
          <w:p>
            <w:pPr>
              <w:jc w:val="right"/>
              <w:ind w:right="289"/>
              <w:spacing w:after="0" w:line="142" w:lineRule="exact"/>
              <w:rPr>
                <w:sz w:val="20"/>
                <w:szCs w:val="20"/>
                <w:color w:val="auto"/>
              </w:rPr>
            </w:pPr>
            <w:r>
              <w:rPr>
                <w:rFonts w:ascii="Arial" w:cs="Arial" w:eastAsia="Arial" w:hAnsi="Arial"/>
                <w:sz w:val="14"/>
                <w:szCs w:val="14"/>
                <w:color w:val="auto"/>
              </w:rPr>
              <w:t>100%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6.400% Notes due April 30, 2040</w:t>
            </w: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NBCUniversal</w:t>
            </w:r>
          </w:p>
        </w:tc>
        <w:tc>
          <w:tcPr>
            <w:tcW w:w="1480" w:type="dxa"/>
            <w:vAlign w:val="bottom"/>
            <w:tcBorders>
              <w:bottom w:val="single" w:sz="8" w:color="auto"/>
            </w:tcBorders>
          </w:tcPr>
          <w:p>
            <w:pPr>
              <w:ind w:left="300"/>
              <w:spacing w:after="0" w:line="183" w:lineRule="exact"/>
              <w:rPr>
                <w:sz w:val="20"/>
                <w:szCs w:val="20"/>
                <w:color w:val="auto"/>
              </w:rPr>
            </w:pPr>
            <w:r>
              <w:rPr>
                <w:rFonts w:ascii="Arial" w:cs="Arial" w:eastAsia="Arial" w:hAnsi="Arial"/>
                <w:sz w:val="13"/>
                <w:szCs w:val="13"/>
                <w:color w:val="auto"/>
              </w:rPr>
              <w:t>63946BAF7</w:t>
            </w:r>
            <w:r>
              <w:rPr>
                <w:rFonts w:ascii="Arial" w:cs="Arial" w:eastAsia="Arial" w:hAnsi="Arial"/>
                <w:sz w:val="21"/>
                <w:szCs w:val="21"/>
                <w:color w:val="auto"/>
                <w:vertAlign w:val="superscript"/>
              </w:rPr>
              <w:t>(3)</w:t>
            </w: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$1,000</w:t>
            </w:r>
          </w:p>
        </w:tc>
        <w:tc>
          <w:tcPr>
            <w:tcW w:w="9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76"/>
              </w:rPr>
              <w:t>4</w:t>
            </w:r>
          </w:p>
        </w:tc>
        <w:tc>
          <w:tcPr>
            <w:tcW w:w="10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$441,578</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$441,578</w:t>
            </w:r>
          </w:p>
        </w:tc>
        <w:tc>
          <w:tcPr>
            <w:tcW w:w="10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100%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6.450% Notes due 2037</w:t>
            </w:r>
          </w:p>
        </w:tc>
        <w:tc>
          <w:tcPr>
            <w:tcW w:w="1720" w:type="dxa"/>
            <w:vAlign w:val="bottom"/>
            <w:tcBorders>
              <w:bottom w:val="single" w:sz="8" w:color="auto"/>
            </w:tcBorders>
          </w:tcPr>
          <w:p>
            <w:pPr>
              <w:ind w:left="560"/>
              <w:spacing w:after="0" w:line="142" w:lineRule="exact"/>
              <w:rPr>
                <w:sz w:val="20"/>
                <w:szCs w:val="20"/>
                <w:color w:val="auto"/>
              </w:rPr>
            </w:pPr>
            <w:r>
              <w:rPr>
                <w:rFonts w:ascii="Arial" w:cs="Arial" w:eastAsia="Arial" w:hAnsi="Arial"/>
                <w:sz w:val="14"/>
                <w:szCs w:val="14"/>
                <w:color w:val="auto"/>
              </w:rPr>
              <w:t>Comcast</w:t>
            </w:r>
          </w:p>
        </w:tc>
        <w:tc>
          <w:tcPr>
            <w:tcW w:w="14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20030NAM3</w:t>
            </w:r>
          </w:p>
        </w:tc>
        <w:tc>
          <w:tcPr>
            <w:tcW w:w="12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$1,850</w:t>
            </w:r>
          </w:p>
        </w:tc>
        <w:tc>
          <w:tcPr>
            <w:tcW w:w="960" w:type="dxa"/>
            <w:vAlign w:val="bottom"/>
            <w:tcBorders>
              <w:bottom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76"/>
              </w:rPr>
              <w:t>5</w:t>
            </w:r>
          </w:p>
        </w:tc>
        <w:tc>
          <w:tcPr>
            <w:tcW w:w="1080" w:type="dxa"/>
            <w:vAlign w:val="bottom"/>
            <w:tcBorders>
              <w:bottom w:val="single" w:sz="8" w:color="auto"/>
            </w:tcBorders>
          </w:tcPr>
          <w:p>
            <w:pPr>
              <w:jc w:val="right"/>
              <w:ind w:right="269"/>
              <w:spacing w:after="0" w:line="142" w:lineRule="exact"/>
              <w:rPr>
                <w:sz w:val="20"/>
                <w:szCs w:val="20"/>
                <w:color w:val="auto"/>
              </w:rPr>
            </w:pPr>
            <w:r>
              <w:rPr>
                <w:rFonts w:ascii="Arial" w:cs="Arial" w:eastAsia="Arial" w:hAnsi="Arial"/>
                <w:sz w:val="14"/>
                <w:szCs w:val="14"/>
                <w:color w:val="auto"/>
              </w:rPr>
              <w:t>$945,650</w:t>
            </w:r>
          </w:p>
        </w:tc>
        <w:tc>
          <w:tcPr>
            <w:tcW w:w="124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$945,645</w:t>
            </w:r>
          </w:p>
        </w:tc>
        <w:tc>
          <w:tcPr>
            <w:tcW w:w="1040" w:type="dxa"/>
            <w:vAlign w:val="bottom"/>
            <w:tcBorders>
              <w:bottom w:val="single" w:sz="8" w:color="auto"/>
            </w:tcBorders>
          </w:tcPr>
          <w:p>
            <w:pPr>
              <w:jc w:val="right"/>
              <w:ind w:right="289"/>
              <w:spacing w:after="0" w:line="142" w:lineRule="exact"/>
              <w:rPr>
                <w:sz w:val="20"/>
                <w:szCs w:val="20"/>
                <w:color w:val="auto"/>
              </w:rPr>
            </w:pPr>
            <w:r>
              <w:rPr>
                <w:rFonts w:ascii="Arial" w:cs="Arial" w:eastAsia="Arial" w:hAnsi="Arial"/>
                <w:sz w:val="14"/>
                <w:szCs w:val="14"/>
                <w:color w:val="auto"/>
              </w:rPr>
              <w:t>100%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6.400% Notes due 2038</w:t>
            </w:r>
          </w:p>
        </w:tc>
        <w:tc>
          <w:tcPr>
            <w:tcW w:w="1720" w:type="dxa"/>
            <w:vAlign w:val="bottom"/>
            <w:tcBorders>
              <w:bottom w:val="single" w:sz="8" w:color="auto"/>
            </w:tcBorders>
          </w:tcPr>
          <w:p>
            <w:pPr>
              <w:ind w:left="560"/>
              <w:spacing w:after="0" w:line="142" w:lineRule="exact"/>
              <w:rPr>
                <w:sz w:val="20"/>
                <w:szCs w:val="20"/>
                <w:color w:val="auto"/>
              </w:rPr>
            </w:pPr>
            <w:r>
              <w:rPr>
                <w:rFonts w:ascii="Arial" w:cs="Arial" w:eastAsia="Arial" w:hAnsi="Arial"/>
                <w:sz w:val="14"/>
                <w:szCs w:val="14"/>
                <w:color w:val="auto"/>
              </w:rPr>
              <w:t>Comcast</w:t>
            </w:r>
          </w:p>
        </w:tc>
        <w:tc>
          <w:tcPr>
            <w:tcW w:w="14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20030NAX9</w:t>
            </w:r>
          </w:p>
        </w:tc>
        <w:tc>
          <w:tcPr>
            <w:tcW w:w="12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$1,000</w:t>
            </w:r>
          </w:p>
        </w:tc>
        <w:tc>
          <w:tcPr>
            <w:tcW w:w="960" w:type="dxa"/>
            <w:vAlign w:val="bottom"/>
            <w:tcBorders>
              <w:bottom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76"/>
              </w:rPr>
              <w:t>6</w:t>
            </w:r>
          </w:p>
        </w:tc>
        <w:tc>
          <w:tcPr>
            <w:tcW w:w="1080" w:type="dxa"/>
            <w:vAlign w:val="bottom"/>
            <w:tcBorders>
              <w:bottom w:val="single" w:sz="8" w:color="auto"/>
            </w:tcBorders>
          </w:tcPr>
          <w:p>
            <w:pPr>
              <w:jc w:val="right"/>
              <w:ind w:right="269"/>
              <w:spacing w:after="0" w:line="142" w:lineRule="exact"/>
              <w:rPr>
                <w:sz w:val="20"/>
                <w:szCs w:val="20"/>
                <w:color w:val="auto"/>
              </w:rPr>
            </w:pPr>
            <w:r>
              <w:rPr>
                <w:rFonts w:ascii="Arial" w:cs="Arial" w:eastAsia="Arial" w:hAnsi="Arial"/>
                <w:sz w:val="14"/>
                <w:szCs w:val="14"/>
                <w:color w:val="auto"/>
              </w:rPr>
              <w:t>$551,973</w:t>
            </w:r>
          </w:p>
        </w:tc>
        <w:tc>
          <w:tcPr>
            <w:tcW w:w="124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$428,085</w:t>
            </w:r>
          </w:p>
        </w:tc>
        <w:tc>
          <w:tcPr>
            <w:tcW w:w="1040" w:type="dxa"/>
            <w:vAlign w:val="bottom"/>
            <w:tcBorders>
              <w:bottom w:val="single" w:sz="8" w:color="auto"/>
            </w:tcBorders>
          </w:tcPr>
          <w:p>
            <w:pPr>
              <w:jc w:val="right"/>
              <w:ind w:right="289"/>
              <w:spacing w:after="0" w:line="142" w:lineRule="exact"/>
              <w:rPr>
                <w:sz w:val="20"/>
                <w:szCs w:val="20"/>
                <w:color w:val="auto"/>
              </w:rPr>
            </w:pPr>
            <w:r>
              <w:rPr>
                <w:rFonts w:ascii="Arial" w:cs="Arial" w:eastAsia="Arial" w:hAnsi="Arial"/>
                <w:sz w:val="14"/>
                <w:szCs w:val="14"/>
                <w:color w:val="auto"/>
              </w:rPr>
              <w:t>78%</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6.500% Notes due 2035</w:t>
            </w:r>
          </w:p>
        </w:tc>
        <w:tc>
          <w:tcPr>
            <w:tcW w:w="1720" w:type="dxa"/>
            <w:vAlign w:val="bottom"/>
            <w:tcBorders>
              <w:bottom w:val="single" w:sz="8" w:color="auto"/>
            </w:tcBorders>
          </w:tcPr>
          <w:p>
            <w:pPr>
              <w:ind w:left="560"/>
              <w:spacing w:after="0" w:line="142" w:lineRule="exact"/>
              <w:rPr>
                <w:sz w:val="20"/>
                <w:szCs w:val="20"/>
                <w:color w:val="auto"/>
              </w:rPr>
            </w:pPr>
            <w:r>
              <w:rPr>
                <w:rFonts w:ascii="Arial" w:cs="Arial" w:eastAsia="Arial" w:hAnsi="Arial"/>
                <w:sz w:val="14"/>
                <w:szCs w:val="14"/>
                <w:color w:val="auto"/>
              </w:rPr>
              <w:t>Comcast</w:t>
            </w:r>
          </w:p>
        </w:tc>
        <w:tc>
          <w:tcPr>
            <w:tcW w:w="14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20030NAK7</w:t>
            </w:r>
          </w:p>
        </w:tc>
        <w:tc>
          <w:tcPr>
            <w:tcW w:w="12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$1,000</w:t>
            </w:r>
          </w:p>
        </w:tc>
        <w:tc>
          <w:tcPr>
            <w:tcW w:w="960" w:type="dxa"/>
            <w:vAlign w:val="bottom"/>
            <w:tcBorders>
              <w:bottom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76"/>
              </w:rPr>
              <w:t>7</w:t>
            </w:r>
          </w:p>
        </w:tc>
        <w:tc>
          <w:tcPr>
            <w:tcW w:w="1080" w:type="dxa"/>
            <w:vAlign w:val="bottom"/>
            <w:tcBorders>
              <w:bottom w:val="single" w:sz="8" w:color="auto"/>
            </w:tcBorders>
          </w:tcPr>
          <w:p>
            <w:pPr>
              <w:jc w:val="right"/>
              <w:ind w:right="269"/>
              <w:spacing w:after="0" w:line="142" w:lineRule="exact"/>
              <w:rPr>
                <w:sz w:val="20"/>
                <w:szCs w:val="20"/>
                <w:color w:val="auto"/>
              </w:rPr>
            </w:pPr>
            <w:r>
              <w:rPr>
                <w:rFonts w:ascii="Arial" w:cs="Arial" w:eastAsia="Arial" w:hAnsi="Arial"/>
                <w:sz w:val="14"/>
                <w:szCs w:val="14"/>
                <w:color w:val="auto"/>
              </w:rPr>
              <w:t>$380,007</w:t>
            </w:r>
          </w:p>
        </w:tc>
        <w:tc>
          <w:tcPr>
            <w:tcW w:w="124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9"/>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5.950% Notes due 2041</w:t>
            </w:r>
          </w:p>
        </w:tc>
        <w:tc>
          <w:tcPr>
            <w:tcW w:w="1720" w:type="dxa"/>
            <w:vAlign w:val="bottom"/>
            <w:tcBorders>
              <w:bottom w:val="single" w:sz="8" w:color="auto"/>
            </w:tcBorders>
          </w:tcPr>
          <w:p>
            <w:pPr>
              <w:ind w:left="560"/>
              <w:spacing w:after="0" w:line="142" w:lineRule="exact"/>
              <w:rPr>
                <w:sz w:val="20"/>
                <w:szCs w:val="20"/>
                <w:color w:val="auto"/>
              </w:rPr>
            </w:pPr>
            <w:r>
              <w:rPr>
                <w:rFonts w:ascii="Arial" w:cs="Arial" w:eastAsia="Arial" w:hAnsi="Arial"/>
                <w:sz w:val="14"/>
                <w:szCs w:val="14"/>
                <w:color w:val="auto"/>
              </w:rPr>
              <w:t>NBCUniversal</w:t>
            </w:r>
          </w:p>
        </w:tc>
        <w:tc>
          <w:tcPr>
            <w:tcW w:w="14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63946BAG5</w:t>
            </w:r>
          </w:p>
        </w:tc>
        <w:tc>
          <w:tcPr>
            <w:tcW w:w="12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$1,200</w:t>
            </w:r>
          </w:p>
        </w:tc>
        <w:tc>
          <w:tcPr>
            <w:tcW w:w="960" w:type="dxa"/>
            <w:vAlign w:val="bottom"/>
            <w:tcBorders>
              <w:bottom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76"/>
              </w:rPr>
              <w:t>8</w:t>
            </w:r>
          </w:p>
        </w:tc>
        <w:tc>
          <w:tcPr>
            <w:tcW w:w="1080" w:type="dxa"/>
            <w:vAlign w:val="bottom"/>
            <w:tcBorders>
              <w:bottom w:val="single" w:sz="8" w:color="auto"/>
            </w:tcBorders>
          </w:tcPr>
          <w:p>
            <w:pPr>
              <w:jc w:val="right"/>
              <w:ind w:right="269"/>
              <w:spacing w:after="0" w:line="142" w:lineRule="exact"/>
              <w:rPr>
                <w:sz w:val="20"/>
                <w:szCs w:val="20"/>
                <w:color w:val="auto"/>
              </w:rPr>
            </w:pPr>
            <w:r>
              <w:rPr>
                <w:rFonts w:ascii="Arial" w:cs="Arial" w:eastAsia="Arial" w:hAnsi="Arial"/>
                <w:sz w:val="14"/>
                <w:szCs w:val="14"/>
                <w:color w:val="auto"/>
              </w:rPr>
              <w:t>$526,783</w:t>
            </w:r>
          </w:p>
        </w:tc>
        <w:tc>
          <w:tcPr>
            <w:tcW w:w="124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9"/>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5.650% Notes due 2035</w:t>
            </w:r>
          </w:p>
        </w:tc>
        <w:tc>
          <w:tcPr>
            <w:tcW w:w="1720" w:type="dxa"/>
            <w:vAlign w:val="bottom"/>
            <w:tcBorders>
              <w:bottom w:val="single" w:sz="8" w:color="auto"/>
            </w:tcBorders>
          </w:tcPr>
          <w:p>
            <w:pPr>
              <w:ind w:left="560"/>
              <w:spacing w:after="0" w:line="142" w:lineRule="exact"/>
              <w:rPr>
                <w:sz w:val="20"/>
                <w:szCs w:val="20"/>
                <w:color w:val="auto"/>
              </w:rPr>
            </w:pPr>
            <w:r>
              <w:rPr>
                <w:rFonts w:ascii="Arial" w:cs="Arial" w:eastAsia="Arial" w:hAnsi="Arial"/>
                <w:sz w:val="14"/>
                <w:szCs w:val="14"/>
                <w:color w:val="auto"/>
              </w:rPr>
              <w:t>Comcast</w:t>
            </w:r>
          </w:p>
        </w:tc>
        <w:tc>
          <w:tcPr>
            <w:tcW w:w="14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20030NAF8</w:t>
            </w:r>
          </w:p>
        </w:tc>
        <w:tc>
          <w:tcPr>
            <w:tcW w:w="12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  750</w:t>
            </w:r>
          </w:p>
        </w:tc>
        <w:tc>
          <w:tcPr>
            <w:tcW w:w="960" w:type="dxa"/>
            <w:vAlign w:val="bottom"/>
            <w:tcBorders>
              <w:bottom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76"/>
              </w:rPr>
              <w:t>9</w:t>
            </w:r>
          </w:p>
        </w:tc>
        <w:tc>
          <w:tcPr>
            <w:tcW w:w="1080" w:type="dxa"/>
            <w:vAlign w:val="bottom"/>
            <w:tcBorders>
              <w:bottom w:val="single" w:sz="8" w:color="auto"/>
            </w:tcBorders>
          </w:tcPr>
          <w:p>
            <w:pPr>
              <w:jc w:val="right"/>
              <w:ind w:right="269"/>
              <w:spacing w:after="0" w:line="142" w:lineRule="exact"/>
              <w:rPr>
                <w:sz w:val="20"/>
                <w:szCs w:val="20"/>
                <w:color w:val="auto"/>
              </w:rPr>
            </w:pPr>
            <w:r>
              <w:rPr>
                <w:rFonts w:ascii="Arial" w:cs="Arial" w:eastAsia="Arial" w:hAnsi="Arial"/>
                <w:sz w:val="14"/>
                <w:szCs w:val="14"/>
                <w:color w:val="auto"/>
              </w:rPr>
              <w:t>$229,145</w:t>
            </w:r>
          </w:p>
        </w:tc>
        <w:tc>
          <w:tcPr>
            <w:tcW w:w="124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9"/>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620" w:type="dxa"/>
            <w:vAlign w:val="bottom"/>
          </w:tcPr>
          <w:p>
            <w:pPr>
              <w:ind w:left="120"/>
              <w:spacing w:after="0"/>
              <w:rPr>
                <w:sz w:val="20"/>
                <w:szCs w:val="20"/>
                <w:color w:val="auto"/>
              </w:rPr>
            </w:pPr>
            <w:r>
              <w:rPr>
                <w:rFonts w:ascii="Arial" w:cs="Arial" w:eastAsia="Arial" w:hAnsi="Arial"/>
                <w:sz w:val="14"/>
                <w:szCs w:val="14"/>
                <w:b w:val="1"/>
                <w:bCs w:val="1"/>
                <w:color w:val="auto"/>
              </w:rPr>
              <w:t>Totals:</w:t>
            </w:r>
          </w:p>
        </w:tc>
        <w:tc>
          <w:tcPr>
            <w:tcW w:w="1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jc w:val="right"/>
              <w:ind w:right="268"/>
              <w:spacing w:after="0"/>
              <w:rPr>
                <w:sz w:val="20"/>
                <w:szCs w:val="20"/>
                <w:color w:val="auto"/>
              </w:rPr>
            </w:pPr>
            <w:r>
              <w:rPr>
                <w:rFonts w:ascii="Arial" w:cs="Arial" w:eastAsia="Arial" w:hAnsi="Arial"/>
                <w:sz w:val="14"/>
                <w:szCs w:val="14"/>
                <w:b w:val="1"/>
                <w:bCs w:val="1"/>
                <w:color w:val="auto"/>
              </w:rPr>
              <w:t>$10,600</w:t>
            </w:r>
          </w:p>
        </w:tc>
        <w:tc>
          <w:tcPr>
            <w:tcW w:w="960" w:type="dxa"/>
            <w:vAlign w:val="bottom"/>
          </w:tcPr>
          <w:p>
            <w:pPr>
              <w:spacing w:after="0"/>
              <w:rPr>
                <w:sz w:val="15"/>
                <w:szCs w:val="15"/>
                <w:color w:val="auto"/>
              </w:rPr>
            </w:pPr>
          </w:p>
        </w:tc>
        <w:tc>
          <w:tcPr>
            <w:tcW w:w="1080" w:type="dxa"/>
            <w:vAlign w:val="bottom"/>
          </w:tcPr>
          <w:p>
            <w:pPr>
              <w:jc w:val="right"/>
              <w:ind w:right="269"/>
              <w:spacing w:after="0"/>
              <w:rPr>
                <w:sz w:val="20"/>
                <w:szCs w:val="20"/>
                <w:color w:val="auto"/>
              </w:rPr>
            </w:pPr>
            <w:r>
              <w:rPr>
                <w:rFonts w:ascii="Arial" w:cs="Arial" w:eastAsia="Arial" w:hAnsi="Arial"/>
                <w:sz w:val="14"/>
                <w:szCs w:val="14"/>
                <w:b w:val="1"/>
                <w:bCs w:val="1"/>
                <w:color w:val="auto"/>
              </w:rPr>
              <w:t>$5,192,000</w:t>
            </w:r>
          </w:p>
        </w:tc>
        <w:tc>
          <w:tcPr>
            <w:tcW w:w="1240" w:type="dxa"/>
            <w:vAlign w:val="bottom"/>
          </w:tcPr>
          <w:p>
            <w:pPr>
              <w:jc w:val="right"/>
              <w:ind w:right="368"/>
              <w:spacing w:after="0"/>
              <w:rPr>
                <w:sz w:val="20"/>
                <w:szCs w:val="20"/>
                <w:color w:val="auto"/>
              </w:rPr>
            </w:pPr>
            <w:r>
              <w:rPr>
                <w:rFonts w:ascii="Arial" w:cs="Arial" w:eastAsia="Arial" w:hAnsi="Arial"/>
                <w:sz w:val="14"/>
                <w:szCs w:val="14"/>
                <w:b w:val="1"/>
                <w:bCs w:val="1"/>
                <w:color w:val="auto"/>
              </w:rPr>
              <w:t>$3,932,172</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1080" w:right="660" w:hanging="316"/>
        <w:spacing w:after="0" w:line="230" w:lineRule="auto"/>
        <w:tabs>
          <w:tab w:leader="none" w:pos="10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aggregate principal amounts of each series of Old Notes that have been validly tendered for exchange and not validly withdrawn, as of the Early Participation Date, based on information provided by the Exchange Agent to Comcast and NBCUniversal.</w:t>
      </w:r>
    </w:p>
    <w:p>
      <w:pPr>
        <w:ind w:left="1080" w:right="680" w:hanging="316"/>
        <w:spacing w:after="0" w:line="221" w:lineRule="auto"/>
        <w:tabs>
          <w:tab w:leader="none" w:pos="10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proration factor is the approximate percentage of the aggregate principal amount of Old Notes of the applicable series validly tendered (and not validly withdrawn) that Comcast and NBCUniversal expect to accept for exchange in the Exchange Offer on the Early Settlement Date.</w:t>
      </w:r>
    </w:p>
    <w:p>
      <w:pPr>
        <w:ind w:left="1080" w:hanging="316"/>
        <w:spacing w:after="0"/>
        <w:tabs>
          <w:tab w:leader="none" w:pos="10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6.400% Notes due April 30, 2040 also include notes with a restrictive legend (144A CUSIP number: 62875UAD7; Regulation S CUSIP: U63763AB9).</w:t>
      </w:r>
    </w:p>
    <w:p>
      <w:pPr>
        <w:spacing w:after="0" w:line="1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each $1,000 principal amount of Old Notes validly tendered and not validly withdrawn as of the Early Participation Date and accepted by Comcast or NBCUniversal, the following table sets forth the Total Consideration and the approximate principal amount of the New Notes (subject to rounding and cash in lieu of fractional notes) to be received by Eligible Holders, as priced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20840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08407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720" w:type="dxa"/>
            <w:vAlign w:val="bottom"/>
            <w:tcBorders>
              <w:bottom w:val="single" w:sz="8" w:color="CCCCCC"/>
            </w:tcBorders>
            <w:shd w:val="clear" w:color="auto" w:fill="CCCCCC"/>
          </w:tcPr>
          <w:p>
            <w:pPr>
              <w:spacing w:after="0"/>
              <w:rPr>
                <w:sz w:val="24"/>
                <w:szCs w:val="24"/>
                <w:color w:val="auto"/>
              </w:rPr>
            </w:pPr>
          </w:p>
        </w:tc>
        <w:tc>
          <w:tcPr>
            <w:tcW w:w="1340" w:type="dxa"/>
            <w:vAlign w:val="bottom"/>
            <w:tcBorders>
              <w:bottom w:val="single" w:sz="8" w:color="CCCCCC"/>
            </w:tcBorders>
            <w:shd w:val="clear" w:color="auto" w:fill="CCCCCC"/>
          </w:tcPr>
          <w:p>
            <w:pPr>
              <w:spacing w:after="0"/>
              <w:rPr>
                <w:sz w:val="24"/>
                <w:szCs w:val="24"/>
                <w:color w:val="auto"/>
              </w:rPr>
            </w:pPr>
          </w:p>
        </w:tc>
        <w:tc>
          <w:tcPr>
            <w:tcW w:w="1180" w:type="dxa"/>
            <w:vAlign w:val="bottom"/>
            <w:tcBorders>
              <w:bottom w:val="single" w:sz="8" w:color="CCCCCC"/>
            </w:tcBorders>
            <w:shd w:val="clear" w:color="auto" w:fill="CCCCCC"/>
          </w:tcPr>
          <w:p>
            <w:pPr>
              <w:spacing w:after="0"/>
              <w:rPr>
                <w:sz w:val="24"/>
                <w:szCs w:val="24"/>
                <w:color w:val="auto"/>
              </w:rPr>
            </w:pPr>
          </w:p>
        </w:tc>
        <w:tc>
          <w:tcPr>
            <w:tcW w:w="880" w:type="dxa"/>
            <w:vAlign w:val="bottom"/>
            <w:tcBorders>
              <w:bottom w:val="single" w:sz="8" w:color="CCCCCC"/>
            </w:tcBorders>
            <w:vMerge w:val="restart"/>
            <w:shd w:val="clear" w:color="auto" w:fill="CCCCCC"/>
          </w:tcPr>
          <w:p>
            <w:pPr>
              <w:jc w:val="center"/>
              <w:spacing w:after="0"/>
              <w:rPr>
                <w:sz w:val="20"/>
                <w:szCs w:val="20"/>
                <w:color w:val="auto"/>
              </w:rPr>
            </w:pPr>
            <w:r>
              <w:rPr>
                <w:rFonts w:ascii="Arial" w:cs="Arial" w:eastAsia="Arial" w:hAnsi="Arial"/>
                <w:sz w:val="18"/>
                <w:szCs w:val="18"/>
                <w:b w:val="1"/>
                <w:bCs w:val="1"/>
                <w:color w:val="auto"/>
                <w:w w:val="89"/>
              </w:rPr>
              <w:t>Fixed</w:t>
            </w:r>
          </w:p>
        </w:tc>
        <w:tc>
          <w:tcPr>
            <w:tcW w:w="880" w:type="dxa"/>
            <w:vAlign w:val="bottom"/>
            <w:tcBorders>
              <w:bottom w:val="single" w:sz="8" w:color="CCCCCC"/>
            </w:tcBorders>
            <w:shd w:val="clear" w:color="auto" w:fill="CCCCCC"/>
          </w:tcPr>
          <w:p>
            <w:pPr>
              <w:spacing w:after="0"/>
              <w:rPr>
                <w:sz w:val="24"/>
                <w:szCs w:val="24"/>
                <w:color w:val="auto"/>
              </w:rPr>
            </w:pPr>
          </w:p>
        </w:tc>
        <w:tc>
          <w:tcPr>
            <w:tcW w:w="4400" w:type="dxa"/>
            <w:vAlign w:val="bottom"/>
            <w:tcBorders>
              <w:bottom w:val="single" w:sz="8" w:color="auto"/>
            </w:tcBorders>
            <w:gridSpan w:val="4"/>
            <w:shd w:val="clear" w:color="auto" w:fill="CCCCCC"/>
          </w:tcPr>
          <w:p>
            <w:pPr>
              <w:jc w:val="right"/>
              <w:ind w:right="390"/>
              <w:spacing w:after="0"/>
              <w:rPr>
                <w:sz w:val="20"/>
                <w:szCs w:val="20"/>
                <w:color w:val="auto"/>
              </w:rPr>
            </w:pPr>
            <w:r>
              <w:rPr>
                <w:rFonts w:ascii="Arial" w:cs="Arial" w:eastAsia="Arial" w:hAnsi="Arial"/>
                <w:sz w:val="18"/>
                <w:szCs w:val="18"/>
                <w:b w:val="1"/>
                <w:bCs w:val="1"/>
                <w:color w:val="auto"/>
              </w:rPr>
              <w:t>Per $1,000 Principal Amount of Old Notes</w:t>
            </w:r>
            <w:r>
              <w:rPr>
                <w:rFonts w:ascii="Arial" w:cs="Arial" w:eastAsia="Arial" w:hAnsi="Arial"/>
                <w:sz w:val="30"/>
                <w:szCs w:val="30"/>
                <w:b w:val="1"/>
                <w:bCs w:val="1"/>
                <w:color w:val="auto"/>
                <w:vertAlign w:val="superscript"/>
              </w:rPr>
              <w:t>(3)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720" w:type="dxa"/>
            <w:vAlign w:val="bottom"/>
            <w:shd w:val="clear" w:color="auto" w:fill="CCCCCC"/>
          </w:tcPr>
          <w:p>
            <w:pPr>
              <w:spacing w:after="0"/>
              <w:rPr>
                <w:sz w:val="14"/>
                <w:szCs w:val="14"/>
                <w:color w:val="auto"/>
              </w:rPr>
            </w:pPr>
          </w:p>
        </w:tc>
        <w:tc>
          <w:tcPr>
            <w:tcW w:w="1340" w:type="dxa"/>
            <w:vAlign w:val="bottom"/>
            <w:shd w:val="clear" w:color="auto" w:fill="CCCCCC"/>
          </w:tcPr>
          <w:p>
            <w:pPr>
              <w:spacing w:after="0"/>
              <w:rPr>
                <w:sz w:val="14"/>
                <w:szCs w:val="14"/>
                <w:color w:val="auto"/>
              </w:rPr>
            </w:pPr>
          </w:p>
        </w:tc>
        <w:tc>
          <w:tcPr>
            <w:tcW w:w="1180" w:type="dxa"/>
            <w:vAlign w:val="bottom"/>
            <w:shd w:val="clear" w:color="auto" w:fill="CCCCCC"/>
          </w:tcPr>
          <w:p>
            <w:pPr>
              <w:spacing w:after="0"/>
              <w:rPr>
                <w:sz w:val="14"/>
                <w:szCs w:val="14"/>
                <w:color w:val="auto"/>
              </w:rPr>
            </w:pPr>
          </w:p>
        </w:tc>
        <w:tc>
          <w:tcPr>
            <w:tcW w:w="880" w:type="dxa"/>
            <w:vAlign w:val="bottom"/>
            <w:vMerge w:val="continue"/>
            <w:shd w:val="clear" w:color="auto" w:fill="CCCCCC"/>
          </w:tcPr>
          <w:p>
            <w:pPr>
              <w:spacing w:after="0"/>
              <w:rPr>
                <w:sz w:val="14"/>
                <w:szCs w:val="14"/>
                <w:color w:val="auto"/>
              </w:rPr>
            </w:pPr>
          </w:p>
        </w:tc>
        <w:tc>
          <w:tcPr>
            <w:tcW w:w="880" w:type="dxa"/>
            <w:vAlign w:val="bottom"/>
            <w:shd w:val="clear" w:color="auto" w:fill="CCCCCC"/>
          </w:tcPr>
          <w:p>
            <w:pPr>
              <w:spacing w:after="0"/>
              <w:rPr>
                <w:sz w:val="14"/>
                <w:szCs w:val="14"/>
                <w:color w:val="auto"/>
              </w:rPr>
            </w:pPr>
          </w:p>
        </w:tc>
        <w:tc>
          <w:tcPr>
            <w:tcW w:w="1120" w:type="dxa"/>
            <w:vAlign w:val="bottom"/>
            <w:shd w:val="clear" w:color="auto" w:fill="CCCCCC"/>
          </w:tcPr>
          <w:p>
            <w:pPr>
              <w:spacing w:after="0"/>
              <w:rPr>
                <w:sz w:val="14"/>
                <w:szCs w:val="14"/>
                <w:color w:val="auto"/>
              </w:rPr>
            </w:pPr>
          </w:p>
        </w:tc>
        <w:tc>
          <w:tcPr>
            <w:tcW w:w="2360" w:type="dxa"/>
            <w:vAlign w:val="bottom"/>
            <w:gridSpan w:val="2"/>
            <w:shd w:val="clear" w:color="auto" w:fill="CCCCCC"/>
          </w:tcPr>
          <w:p>
            <w:pPr>
              <w:jc w:val="center"/>
              <w:ind w:left="830"/>
              <w:spacing w:after="0" w:line="164" w:lineRule="exact"/>
              <w:rPr>
                <w:sz w:val="20"/>
                <w:szCs w:val="20"/>
                <w:color w:val="auto"/>
              </w:rPr>
            </w:pPr>
            <w:r>
              <w:rPr>
                <w:rFonts w:ascii="Arial" w:cs="Arial" w:eastAsia="Arial" w:hAnsi="Arial"/>
                <w:sz w:val="18"/>
                <w:szCs w:val="18"/>
                <w:b w:val="1"/>
                <w:bCs w:val="1"/>
                <w:color w:val="auto"/>
                <w:w w:val="93"/>
              </w:rPr>
              <w:t>Principal Amount</w:t>
            </w:r>
          </w:p>
        </w:tc>
        <w:tc>
          <w:tcPr>
            <w:tcW w:w="920" w:type="dxa"/>
            <w:vAlign w:val="bottom"/>
            <w:shd w:val="clear" w:color="auto" w:fill="CCCCC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720" w:type="dxa"/>
            <w:vAlign w:val="bottom"/>
            <w:tcBorders>
              <w:bottom w:val="single" w:sz="8" w:color="CCCCCC"/>
            </w:tcBorders>
            <w:shd w:val="clear" w:color="auto" w:fill="CCCCCC"/>
          </w:tcPr>
          <w:p>
            <w:pPr>
              <w:spacing w:after="0"/>
              <w:rPr>
                <w:sz w:val="22"/>
                <w:szCs w:val="22"/>
                <w:color w:val="auto"/>
              </w:rPr>
            </w:pPr>
          </w:p>
        </w:tc>
        <w:tc>
          <w:tcPr>
            <w:tcW w:w="1340" w:type="dxa"/>
            <w:vAlign w:val="bottom"/>
            <w:tcBorders>
              <w:bottom w:val="single" w:sz="8" w:color="CCCCCC"/>
            </w:tcBorders>
            <w:shd w:val="clear" w:color="auto" w:fill="CCCCCC"/>
          </w:tcPr>
          <w:p>
            <w:pPr>
              <w:spacing w:after="0"/>
              <w:rPr>
                <w:sz w:val="22"/>
                <w:szCs w:val="22"/>
                <w:color w:val="auto"/>
              </w:rPr>
            </w:pPr>
          </w:p>
        </w:tc>
        <w:tc>
          <w:tcPr>
            <w:tcW w:w="1180" w:type="dxa"/>
            <w:vAlign w:val="bottom"/>
            <w:tcBorders>
              <w:bottom w:val="single" w:sz="8" w:color="CCCCCC"/>
            </w:tcBorders>
            <w:shd w:val="clear" w:color="auto" w:fill="CCCCCC"/>
          </w:tcPr>
          <w:p>
            <w:pPr>
              <w:spacing w:after="0"/>
              <w:rPr>
                <w:sz w:val="22"/>
                <w:szCs w:val="22"/>
                <w:color w:val="auto"/>
              </w:rPr>
            </w:pPr>
          </w:p>
        </w:tc>
        <w:tc>
          <w:tcPr>
            <w:tcW w:w="8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88"/>
              </w:rPr>
              <w:t>Spread</w:t>
            </w:r>
          </w:p>
        </w:tc>
        <w:tc>
          <w:tcPr>
            <w:tcW w:w="880" w:type="dxa"/>
            <w:vAlign w:val="bottom"/>
            <w:tcBorders>
              <w:bottom w:val="single" w:sz="8" w:color="CCCCCC"/>
            </w:tcBorders>
            <w:shd w:val="clear" w:color="auto" w:fill="CCCCCC"/>
          </w:tcPr>
          <w:p>
            <w:pPr>
              <w:spacing w:after="0"/>
              <w:rPr>
                <w:sz w:val="22"/>
                <w:szCs w:val="22"/>
                <w:color w:val="auto"/>
              </w:rPr>
            </w:pPr>
          </w:p>
        </w:tc>
        <w:tc>
          <w:tcPr>
            <w:tcW w:w="1120" w:type="dxa"/>
            <w:vAlign w:val="bottom"/>
            <w:tcBorders>
              <w:bottom w:val="single" w:sz="8" w:color="CCCCCC"/>
            </w:tcBorders>
            <w:shd w:val="clear" w:color="auto" w:fill="CCCCCC"/>
          </w:tcPr>
          <w:p>
            <w:pPr>
              <w:spacing w:after="0"/>
              <w:rPr>
                <w:sz w:val="22"/>
                <w:szCs w:val="22"/>
                <w:color w:val="auto"/>
              </w:rPr>
            </w:pPr>
          </w:p>
        </w:tc>
        <w:tc>
          <w:tcPr>
            <w:tcW w:w="1060" w:type="dxa"/>
            <w:vAlign w:val="bottom"/>
            <w:tcBorders>
              <w:bottom w:val="single" w:sz="8" w:color="CCCCCC"/>
            </w:tcBorders>
            <w:shd w:val="clear" w:color="auto" w:fill="CCCCCC"/>
          </w:tcPr>
          <w:p>
            <w:pPr>
              <w:spacing w:after="0"/>
              <w:rPr>
                <w:sz w:val="22"/>
                <w:szCs w:val="22"/>
                <w:color w:val="auto"/>
              </w:rPr>
            </w:pPr>
          </w:p>
        </w:tc>
        <w:tc>
          <w:tcPr>
            <w:tcW w:w="1300" w:type="dxa"/>
            <w:vAlign w:val="bottom"/>
            <w:tcBorders>
              <w:bottom w:val="single" w:sz="8" w:color="CCCCCC"/>
            </w:tcBorders>
            <w:shd w:val="clear" w:color="auto" w:fill="CCCCCC"/>
          </w:tcPr>
          <w:p>
            <w:pPr>
              <w:jc w:val="center"/>
              <w:ind w:right="10"/>
              <w:spacing w:after="0"/>
              <w:rPr>
                <w:sz w:val="20"/>
                <w:szCs w:val="20"/>
                <w:color w:val="auto"/>
              </w:rPr>
            </w:pPr>
            <w:r>
              <w:rPr>
                <w:rFonts w:ascii="Arial" w:cs="Arial" w:eastAsia="Arial" w:hAnsi="Arial"/>
                <w:sz w:val="18"/>
                <w:szCs w:val="18"/>
                <w:b w:val="1"/>
                <w:bCs w:val="1"/>
                <w:color w:val="auto"/>
                <w:w w:val="87"/>
              </w:rPr>
              <w:t>of New Notes</w:t>
            </w:r>
          </w:p>
        </w:tc>
        <w:tc>
          <w:tcPr>
            <w:tcW w:w="920" w:type="dxa"/>
            <w:vAlign w:val="bottom"/>
            <w:tcBorders>
              <w:bottom w:val="single" w:sz="8" w:color="CCCCCC"/>
            </w:tcBorders>
            <w:shd w:val="clear" w:color="auto" w:fill="CCCCC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720" w:type="dxa"/>
            <w:vAlign w:val="bottom"/>
            <w:tcBorders>
              <w:top w:val="single" w:sz="8" w:color="CCCCCC"/>
            </w:tcBorders>
            <w:shd w:val="clear" w:color="auto" w:fill="CCCCCC"/>
          </w:tcPr>
          <w:p>
            <w:pPr>
              <w:spacing w:after="0"/>
              <w:rPr>
                <w:sz w:val="13"/>
                <w:szCs w:val="13"/>
                <w:color w:val="auto"/>
              </w:rPr>
            </w:pPr>
          </w:p>
        </w:tc>
        <w:tc>
          <w:tcPr>
            <w:tcW w:w="1340" w:type="dxa"/>
            <w:vAlign w:val="bottom"/>
            <w:tcBorders>
              <w:top w:val="single" w:sz="8" w:color="CCCCCC"/>
            </w:tcBorders>
            <w:shd w:val="clear" w:color="auto" w:fill="CCCCCC"/>
          </w:tcPr>
          <w:p>
            <w:pPr>
              <w:spacing w:after="0"/>
              <w:rPr>
                <w:sz w:val="13"/>
                <w:szCs w:val="13"/>
                <w:color w:val="auto"/>
              </w:rPr>
            </w:pPr>
          </w:p>
        </w:tc>
        <w:tc>
          <w:tcPr>
            <w:tcW w:w="1180" w:type="dxa"/>
            <w:vAlign w:val="bottom"/>
            <w:tcBorders>
              <w:top w:val="single" w:sz="8" w:color="CCCCCC"/>
            </w:tcBorders>
            <w:shd w:val="clear" w:color="auto" w:fill="CCCCCC"/>
          </w:tcPr>
          <w:p>
            <w:pPr>
              <w:ind w:left="260"/>
              <w:spacing w:after="0" w:line="156" w:lineRule="exact"/>
              <w:rPr>
                <w:sz w:val="20"/>
                <w:szCs w:val="20"/>
                <w:color w:val="auto"/>
              </w:rPr>
            </w:pPr>
            <w:r>
              <w:rPr>
                <w:rFonts w:ascii="Arial" w:cs="Arial" w:eastAsia="Arial" w:hAnsi="Arial"/>
                <w:sz w:val="18"/>
                <w:szCs w:val="18"/>
                <w:b w:val="1"/>
                <w:bCs w:val="1"/>
                <w:color w:val="auto"/>
              </w:rPr>
              <w:t>CUSIP</w:t>
            </w:r>
          </w:p>
        </w:tc>
        <w:tc>
          <w:tcPr>
            <w:tcW w:w="880" w:type="dxa"/>
            <w:vAlign w:val="bottom"/>
            <w:tcBorders>
              <w:top w:val="single" w:sz="8" w:color="CCCCCC"/>
            </w:tcBorders>
            <w:shd w:val="clear" w:color="auto" w:fill="CCCCCC"/>
          </w:tcPr>
          <w:p>
            <w:pPr>
              <w:jc w:val="center"/>
              <w:spacing w:after="0" w:line="156" w:lineRule="exact"/>
              <w:rPr>
                <w:sz w:val="20"/>
                <w:szCs w:val="20"/>
                <w:color w:val="auto"/>
              </w:rPr>
            </w:pPr>
            <w:r>
              <w:rPr>
                <w:rFonts w:ascii="Arial" w:cs="Arial" w:eastAsia="Arial" w:hAnsi="Arial"/>
                <w:sz w:val="18"/>
                <w:szCs w:val="18"/>
                <w:b w:val="1"/>
                <w:bCs w:val="1"/>
                <w:color w:val="auto"/>
                <w:w w:val="84"/>
              </w:rPr>
              <w:t>(basis</w:t>
            </w:r>
          </w:p>
        </w:tc>
        <w:tc>
          <w:tcPr>
            <w:tcW w:w="880" w:type="dxa"/>
            <w:vAlign w:val="bottom"/>
            <w:tcBorders>
              <w:top w:val="single" w:sz="8" w:color="CCCCCC"/>
            </w:tcBorders>
            <w:vMerge w:val="restart"/>
            <w:shd w:val="clear" w:color="auto" w:fill="CCCCCC"/>
          </w:tcPr>
          <w:p>
            <w:pPr>
              <w:ind w:left="140"/>
              <w:spacing w:after="0"/>
              <w:rPr>
                <w:sz w:val="20"/>
                <w:szCs w:val="20"/>
                <w:color w:val="auto"/>
              </w:rPr>
            </w:pPr>
            <w:r>
              <w:rPr>
                <w:rFonts w:ascii="Arial" w:cs="Arial" w:eastAsia="Arial" w:hAnsi="Arial"/>
                <w:sz w:val="18"/>
                <w:szCs w:val="18"/>
                <w:b w:val="1"/>
                <w:bCs w:val="1"/>
                <w:color w:val="auto"/>
              </w:rPr>
              <w:t>Yield</w:t>
            </w:r>
            <w:r>
              <w:rPr>
                <w:rFonts w:ascii="Arial" w:cs="Arial" w:eastAsia="Arial" w:hAnsi="Arial"/>
                <w:sz w:val="30"/>
                <w:szCs w:val="30"/>
                <w:b w:val="1"/>
                <w:bCs w:val="1"/>
                <w:color w:val="auto"/>
                <w:vertAlign w:val="superscript"/>
              </w:rPr>
              <w:t>(2)</w:t>
            </w:r>
          </w:p>
        </w:tc>
        <w:tc>
          <w:tcPr>
            <w:tcW w:w="1120" w:type="dxa"/>
            <w:vAlign w:val="bottom"/>
            <w:tcBorders>
              <w:top w:val="single" w:sz="8" w:color="CCCCCC"/>
            </w:tcBorders>
            <w:shd w:val="clear" w:color="auto" w:fill="CCCCCC"/>
          </w:tcPr>
          <w:p>
            <w:pPr>
              <w:jc w:val="right"/>
              <w:ind w:right="250"/>
              <w:spacing w:after="0" w:line="156" w:lineRule="exact"/>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tcBorders>
            <w:shd w:val="clear" w:color="auto" w:fill="CCCCCC"/>
          </w:tcPr>
          <w:p>
            <w:pPr>
              <w:jc w:val="right"/>
              <w:ind w:right="10"/>
              <w:spacing w:after="0" w:line="156" w:lineRule="exact"/>
              <w:rPr>
                <w:sz w:val="20"/>
                <w:szCs w:val="20"/>
                <w:color w:val="auto"/>
              </w:rPr>
            </w:pPr>
            <w:r>
              <w:rPr>
                <w:rFonts w:ascii="Arial" w:cs="Arial" w:eastAsia="Arial" w:hAnsi="Arial"/>
                <w:sz w:val="18"/>
                <w:szCs w:val="18"/>
                <w:b w:val="1"/>
                <w:bCs w:val="1"/>
                <w:color w:val="auto"/>
              </w:rPr>
              <w:t>New 2047</w:t>
            </w:r>
          </w:p>
        </w:tc>
        <w:tc>
          <w:tcPr>
            <w:tcW w:w="1300" w:type="dxa"/>
            <w:vAlign w:val="bottom"/>
            <w:tcBorders>
              <w:top w:val="single" w:sz="8" w:color="auto"/>
            </w:tcBorders>
            <w:shd w:val="clear" w:color="auto" w:fill="CCCCCC"/>
          </w:tcPr>
          <w:p>
            <w:pPr>
              <w:jc w:val="center"/>
              <w:spacing w:after="0" w:line="156" w:lineRule="exact"/>
              <w:rPr>
                <w:sz w:val="20"/>
                <w:szCs w:val="20"/>
                <w:color w:val="auto"/>
              </w:rPr>
            </w:pPr>
            <w:r>
              <w:rPr>
                <w:rFonts w:ascii="Arial" w:cs="Arial" w:eastAsia="Arial" w:hAnsi="Arial"/>
                <w:sz w:val="18"/>
                <w:szCs w:val="18"/>
                <w:b w:val="1"/>
                <w:bCs w:val="1"/>
                <w:color w:val="auto"/>
                <w:w w:val="90"/>
              </w:rPr>
              <w:t>New 2049</w:t>
            </w:r>
          </w:p>
        </w:tc>
        <w:tc>
          <w:tcPr>
            <w:tcW w:w="920" w:type="dxa"/>
            <w:vAlign w:val="bottom"/>
            <w:tcBorders>
              <w:top w:val="single" w:sz="8" w:color="auto"/>
            </w:tcBorders>
            <w:shd w:val="clear" w:color="auto" w:fill="CCCCCC"/>
          </w:tcPr>
          <w:p>
            <w:pPr>
              <w:jc w:val="right"/>
              <w:ind w:right="70"/>
              <w:spacing w:after="0" w:line="156" w:lineRule="exact"/>
              <w:rPr>
                <w:sz w:val="20"/>
                <w:szCs w:val="20"/>
                <w:color w:val="auto"/>
              </w:rPr>
            </w:pPr>
            <w:r>
              <w:rPr>
                <w:rFonts w:ascii="Arial" w:cs="Arial" w:eastAsia="Arial" w:hAnsi="Arial"/>
                <w:sz w:val="18"/>
                <w:szCs w:val="18"/>
                <w:b w:val="1"/>
                <w:bCs w:val="1"/>
                <w:color w:val="auto"/>
                <w:w w:val="90"/>
              </w:rPr>
              <w:t>New 2052</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720" w:type="dxa"/>
            <w:vAlign w:val="bottom"/>
            <w:tcBorders>
              <w:bottom w:val="single" w:sz="8" w:color="auto"/>
            </w:tcBorders>
            <w:shd w:val="clear" w:color="auto" w:fill="CCCCCC"/>
          </w:tcPr>
          <w:p>
            <w:pPr>
              <w:ind w:left="20"/>
              <w:spacing w:after="0"/>
              <w:rPr>
                <w:sz w:val="20"/>
                <w:szCs w:val="20"/>
                <w:color w:val="auto"/>
              </w:rPr>
            </w:pPr>
            <w:r>
              <w:rPr>
                <w:rFonts w:ascii="Arial" w:cs="Arial" w:eastAsia="Arial" w:hAnsi="Arial"/>
                <w:sz w:val="18"/>
                <w:szCs w:val="18"/>
                <w:b w:val="1"/>
                <w:bCs w:val="1"/>
                <w:color w:val="auto"/>
              </w:rPr>
              <w:t>Title of Security</w:t>
            </w:r>
          </w:p>
        </w:tc>
        <w:tc>
          <w:tcPr>
            <w:tcW w:w="1340" w:type="dxa"/>
            <w:vAlign w:val="bottom"/>
            <w:tcBorders>
              <w:bottom w:val="single" w:sz="8" w:color="auto"/>
            </w:tcBorders>
            <w:shd w:val="clear" w:color="auto" w:fill="CCCCCC"/>
          </w:tcPr>
          <w:p>
            <w:pPr>
              <w:ind w:left="500"/>
              <w:spacing w:after="0"/>
              <w:rPr>
                <w:sz w:val="20"/>
                <w:szCs w:val="20"/>
                <w:color w:val="auto"/>
              </w:rPr>
            </w:pPr>
            <w:r>
              <w:rPr>
                <w:rFonts w:ascii="Arial" w:cs="Arial" w:eastAsia="Arial" w:hAnsi="Arial"/>
                <w:sz w:val="18"/>
                <w:szCs w:val="18"/>
                <w:b w:val="1"/>
                <w:bCs w:val="1"/>
                <w:color w:val="auto"/>
              </w:rPr>
              <w:t>Issuer</w:t>
            </w:r>
          </w:p>
        </w:tc>
        <w:tc>
          <w:tcPr>
            <w:tcW w:w="1180" w:type="dxa"/>
            <w:vAlign w:val="bottom"/>
            <w:tcBorders>
              <w:bottom w:val="single" w:sz="8" w:color="auto"/>
            </w:tcBorders>
            <w:shd w:val="clear" w:color="auto" w:fill="CCCCCC"/>
          </w:tcPr>
          <w:p>
            <w:pPr>
              <w:ind w:left="240"/>
              <w:spacing w:after="0"/>
              <w:rPr>
                <w:sz w:val="20"/>
                <w:szCs w:val="20"/>
                <w:color w:val="auto"/>
              </w:rPr>
            </w:pPr>
            <w:r>
              <w:rPr>
                <w:rFonts w:ascii="Arial" w:cs="Arial" w:eastAsia="Arial" w:hAnsi="Arial"/>
                <w:sz w:val="18"/>
                <w:szCs w:val="18"/>
                <w:b w:val="1"/>
                <w:bCs w:val="1"/>
                <w:color w:val="auto"/>
              </w:rPr>
              <w:t>Number</w:t>
            </w:r>
          </w:p>
        </w:tc>
        <w:tc>
          <w:tcPr>
            <w:tcW w:w="880" w:type="dxa"/>
            <w:vAlign w:val="bottom"/>
            <w:tcBorders>
              <w:bottom w:val="single" w:sz="8" w:color="auto"/>
            </w:tcBorders>
            <w:shd w:val="clear" w:color="auto" w:fill="CCCCCC"/>
          </w:tcPr>
          <w:p>
            <w:pPr>
              <w:jc w:val="center"/>
              <w:spacing w:after="0" w:line="269" w:lineRule="exact"/>
              <w:rPr>
                <w:sz w:val="20"/>
                <w:szCs w:val="20"/>
                <w:color w:val="auto"/>
              </w:rPr>
            </w:pPr>
            <w:r>
              <w:rPr>
                <w:rFonts w:ascii="Arial" w:cs="Arial" w:eastAsia="Arial" w:hAnsi="Arial"/>
                <w:sz w:val="18"/>
                <w:szCs w:val="18"/>
                <w:b w:val="1"/>
                <w:bCs w:val="1"/>
                <w:color w:val="auto"/>
                <w:w w:val="82"/>
              </w:rPr>
              <w:t>points)</w:t>
            </w:r>
            <w:r>
              <w:rPr>
                <w:rFonts w:ascii="Arial" w:cs="Arial" w:eastAsia="Arial" w:hAnsi="Arial"/>
                <w:sz w:val="30"/>
                <w:szCs w:val="30"/>
                <w:b w:val="1"/>
                <w:bCs w:val="1"/>
                <w:color w:val="auto"/>
                <w:w w:val="82"/>
                <w:vertAlign w:val="superscript"/>
              </w:rPr>
              <w:t>(1)</w:t>
            </w:r>
          </w:p>
        </w:tc>
        <w:tc>
          <w:tcPr>
            <w:tcW w:w="880" w:type="dxa"/>
            <w:vAlign w:val="bottom"/>
            <w:tcBorders>
              <w:bottom w:val="single" w:sz="8" w:color="auto"/>
            </w:tcBorders>
            <w:vMerge w:val="continue"/>
            <w:shd w:val="clear" w:color="auto" w:fill="CCCCCC"/>
          </w:tcPr>
          <w:p>
            <w:pPr>
              <w:spacing w:after="0"/>
              <w:rPr>
                <w:sz w:val="23"/>
                <w:szCs w:val="23"/>
                <w:color w:val="auto"/>
              </w:rPr>
            </w:pPr>
          </w:p>
        </w:tc>
        <w:tc>
          <w:tcPr>
            <w:tcW w:w="11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b w:val="1"/>
                <w:bCs w:val="1"/>
                <w:color w:val="auto"/>
                <w:w w:val="90"/>
              </w:rPr>
              <w:t>Consideration</w:t>
            </w:r>
          </w:p>
        </w:tc>
        <w:tc>
          <w:tcPr>
            <w:tcW w:w="1060" w:type="dxa"/>
            <w:vAlign w:val="bottom"/>
            <w:tcBorders>
              <w:bottom w:val="single" w:sz="8" w:color="auto"/>
            </w:tcBorders>
            <w:shd w:val="clear" w:color="auto" w:fill="CCCCCC"/>
          </w:tcPr>
          <w:p>
            <w:pPr>
              <w:jc w:val="right"/>
              <w:ind w:right="170"/>
              <w:spacing w:after="0"/>
              <w:rPr>
                <w:sz w:val="20"/>
                <w:szCs w:val="20"/>
                <w:color w:val="auto"/>
              </w:rPr>
            </w:pPr>
            <w:r>
              <w:rPr>
                <w:rFonts w:ascii="Arial" w:cs="Arial" w:eastAsia="Arial" w:hAnsi="Arial"/>
                <w:sz w:val="18"/>
                <w:szCs w:val="18"/>
                <w:b w:val="1"/>
                <w:bCs w:val="1"/>
                <w:color w:val="auto"/>
              </w:rPr>
              <w:t>Notes</w:t>
            </w:r>
          </w:p>
        </w:tc>
        <w:tc>
          <w:tcPr>
            <w:tcW w:w="1300" w:type="dxa"/>
            <w:vAlign w:val="bottom"/>
            <w:tcBorders>
              <w:bottom w:val="single" w:sz="8" w:color="auto"/>
            </w:tcBorders>
            <w:shd w:val="clear" w:color="auto" w:fill="CCCCCC"/>
          </w:tcPr>
          <w:p>
            <w:pPr>
              <w:jc w:val="center"/>
              <w:ind w:right="10"/>
              <w:spacing w:after="0"/>
              <w:rPr>
                <w:sz w:val="20"/>
                <w:szCs w:val="20"/>
                <w:color w:val="auto"/>
              </w:rPr>
            </w:pPr>
            <w:r>
              <w:rPr>
                <w:rFonts w:ascii="Arial" w:cs="Arial" w:eastAsia="Arial" w:hAnsi="Arial"/>
                <w:sz w:val="18"/>
                <w:szCs w:val="18"/>
                <w:b w:val="1"/>
                <w:bCs w:val="1"/>
                <w:color w:val="auto"/>
                <w:w w:val="87"/>
              </w:rPr>
              <w:t>Notes</w:t>
            </w:r>
          </w:p>
        </w:tc>
        <w:tc>
          <w:tcPr>
            <w:tcW w:w="920" w:type="dxa"/>
            <w:vAlign w:val="bottom"/>
            <w:tcBorders>
              <w:bottom w:val="single" w:sz="8" w:color="auto"/>
            </w:tcBorders>
            <w:shd w:val="clear" w:color="auto" w:fill="CCCCCC"/>
          </w:tcPr>
          <w:p>
            <w:pPr>
              <w:jc w:val="right"/>
              <w:ind w:right="230"/>
              <w:spacing w:after="0"/>
              <w:rPr>
                <w:sz w:val="20"/>
                <w:szCs w:val="20"/>
                <w:color w:val="auto"/>
              </w:rPr>
            </w:pPr>
            <w:r>
              <w:rPr>
                <w:rFonts w:ascii="Arial" w:cs="Arial" w:eastAsia="Arial" w:hAnsi="Arial"/>
                <w:sz w:val="18"/>
                <w:szCs w:val="18"/>
                <w:b w:val="1"/>
                <w:bCs w:val="1"/>
                <w:color w:val="auto"/>
              </w:rPr>
              <w:t>Notes</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6.950% Notes due 2037</w:t>
            </w: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Comcast</w:t>
            </w: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20030NAV3</w:t>
            </w: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88</w:t>
            </w: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3.729%</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$1,448.42</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$1,448.42</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6.550% Notes due 2039</w:t>
            </w: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Comcast</w:t>
            </w: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20030NAY7</w:t>
            </w: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3.849%</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$1,394.84</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$633.29</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$761.55</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6"/>
              </w:rPr>
              <w:t>6.400% Notes due March 1, 2040</w:t>
            </w: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Comcast</w:t>
            </w: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20030NBB6</w:t>
            </w: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3.849%</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$1,380.20</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$1,380.20</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8"/>
              </w:rPr>
              <w:t>6.400% Notes due April 30, 2040</w:t>
            </w: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NBCUniversal</w:t>
            </w:r>
          </w:p>
        </w:tc>
        <w:tc>
          <w:tcPr>
            <w:tcW w:w="118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17"/>
                <w:szCs w:val="17"/>
                <w:color w:val="auto"/>
                <w:w w:val="97"/>
              </w:rPr>
              <w:t>63946BAF7</w:t>
            </w:r>
            <w:r>
              <w:rPr>
                <w:rFonts w:ascii="Arial" w:cs="Arial" w:eastAsia="Arial" w:hAnsi="Arial"/>
                <w:sz w:val="28"/>
                <w:szCs w:val="28"/>
                <w:color w:val="auto"/>
                <w:w w:val="97"/>
                <w:vertAlign w:val="superscript"/>
              </w:rPr>
              <w:t>(4)</w:t>
            </w: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3.849%</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$1,382.00</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$1,382.00</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6.450% Notes due 2037</w:t>
            </w: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Comcast</w:t>
            </w: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20030NAM3</w:t>
            </w: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90</w:t>
            </w: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3.749%</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$1,370.00</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$402.96</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$967.04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6.400% Notes due 2038</w:t>
            </w: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Comcast</w:t>
            </w: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20030NAX9</w:t>
            </w: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95</w:t>
            </w: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3.799%</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$1,368.94</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7"/>
              </w:rPr>
              <w:t>$1,368.94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6.500% Notes due 2035</w:t>
            </w: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Comcast</w:t>
            </w: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20030NAK7</w:t>
            </w: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85</w:t>
            </w: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3.699%</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5.950% Notes due 2041</w:t>
            </w: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NBCUniversal</w:t>
            </w: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63946BAG5</w:t>
            </w: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103</w:t>
            </w: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3.879%</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100"/>
              <w:spacing w:after="0"/>
              <w:rPr>
                <w:sz w:val="20"/>
                <w:szCs w:val="20"/>
                <w:color w:val="auto"/>
              </w:rPr>
            </w:pPr>
            <w:r>
              <w:rPr>
                <w:rFonts w:ascii="Arial" w:cs="Arial" w:eastAsia="Arial" w:hAnsi="Arial"/>
                <w:sz w:val="18"/>
                <w:szCs w:val="18"/>
                <w:color w:val="auto"/>
              </w:rPr>
              <w:t>5.650% Notes due 2035</w:t>
            </w:r>
          </w:p>
        </w:tc>
        <w:tc>
          <w:tcPr>
            <w:tcW w:w="1340" w:type="dxa"/>
            <w:vAlign w:val="bottom"/>
          </w:tcPr>
          <w:p>
            <w:pPr>
              <w:ind w:left="200"/>
              <w:spacing w:after="0"/>
              <w:rPr>
                <w:sz w:val="20"/>
                <w:szCs w:val="20"/>
                <w:color w:val="auto"/>
              </w:rPr>
            </w:pPr>
            <w:r>
              <w:rPr>
                <w:rFonts w:ascii="Arial" w:cs="Arial" w:eastAsia="Arial" w:hAnsi="Arial"/>
                <w:sz w:val="18"/>
                <w:szCs w:val="18"/>
                <w:color w:val="auto"/>
              </w:rPr>
              <w:t>Comcast</w:t>
            </w:r>
          </w:p>
        </w:tc>
        <w:tc>
          <w:tcPr>
            <w:tcW w:w="1180" w:type="dxa"/>
            <w:vAlign w:val="bottom"/>
          </w:tcPr>
          <w:p>
            <w:pPr>
              <w:ind w:left="60"/>
              <w:spacing w:after="0"/>
              <w:rPr>
                <w:sz w:val="20"/>
                <w:szCs w:val="20"/>
                <w:color w:val="auto"/>
              </w:rPr>
            </w:pPr>
            <w:r>
              <w:rPr>
                <w:rFonts w:ascii="Arial" w:cs="Arial" w:eastAsia="Arial" w:hAnsi="Arial"/>
                <w:sz w:val="18"/>
                <w:szCs w:val="18"/>
                <w:color w:val="auto"/>
              </w:rPr>
              <w:t>20030NAF8</w:t>
            </w: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85</w:t>
            </w:r>
          </w:p>
        </w:tc>
        <w:tc>
          <w:tcPr>
            <w:tcW w:w="880" w:type="dxa"/>
            <w:vAlign w:val="bottom"/>
          </w:tcPr>
          <w:p>
            <w:pPr>
              <w:ind w:left="140"/>
              <w:spacing w:after="0"/>
              <w:rPr>
                <w:sz w:val="20"/>
                <w:szCs w:val="20"/>
                <w:color w:val="auto"/>
              </w:rPr>
            </w:pPr>
            <w:r>
              <w:rPr>
                <w:rFonts w:ascii="Arial" w:cs="Arial" w:eastAsia="Arial" w:hAnsi="Arial"/>
                <w:sz w:val="18"/>
                <w:szCs w:val="18"/>
                <w:color w:val="auto"/>
              </w:rPr>
              <w:t>3.699%</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820" w:hanging="488"/>
        <w:spacing w:after="0" w:line="221" w:lineRule="auto"/>
        <w:tabs>
          <w:tab w:leader="none" w:pos="8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Fixed Spread is inclusive of the Early Participation Payment of $30.00 per $1,000 principal amount of Old Notes tendered and accepted.</w:t>
      </w:r>
    </w:p>
    <w:p>
      <w:pPr>
        <w:ind w:left="820" w:right="940" w:hanging="488"/>
        <w:spacing w:after="0" w:line="221" w:lineRule="auto"/>
        <w:tabs>
          <w:tab w:leader="none" w:pos="8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Reflects the bid-side yield on the Reference UST Security plus the applicable Fixed Spread, calculated in accordance with the procedures set forth in the Offering Memorandum. The Reference UST Security refers to the 3.000% U.S. Treasury Notes due May 15, 2047 (the “Reference UST Security”), which had a bid-side yield of 2.849% as of the Pricing Time of the Exchange Offer (the “Bid-Side Yield”).</w:t>
      </w:r>
    </w:p>
    <w:p>
      <w:pPr>
        <w:ind w:left="820" w:hanging="488"/>
        <w:spacing w:after="0" w:line="221" w:lineRule="auto"/>
        <w:tabs>
          <w:tab w:leader="none" w:pos="8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None of the 6.500% Notes due 2035, 5.950% Notes due 2041 or 5.650% Notes due 2035 are expected to be accepted for exchange.</w:t>
      </w:r>
    </w:p>
    <w:p>
      <w:pPr>
        <w:ind w:left="820" w:hanging="488"/>
        <w:spacing w:after="0"/>
        <w:tabs>
          <w:tab w:leader="none" w:pos="8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6.400% Notes due April 30, 2040 also include notes with a restrictive legend (144A CUSIP number: 62875UAD7; Regulation S CUSIP: U63763AB9).</w:t>
      </w:r>
    </w:p>
    <w:p>
      <w:pPr>
        <w:spacing w:after="0" w:line="1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Exchange Offer is being conducted upon the terms and subject to the conditions set forth in a confidential offering memorandum (the “Offering Memorandum”), dated October 3, 2017.</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color w:val="auto"/>
        </w:rPr>
        <w:t>Because the Exchange Offer was over-subscribed as of the Early Participation Date, holders who tender Old Notes after the Early Participation Date will not have any of their Old Notes accepted for exchange. Any Old Notes tendered after the Early Participation Date, together with any Old Notes tendered at or prior to the Early Participation Date but not accepted for exchange by Comcast or NBCUniversal, including Old Notes not accepted because of proration, will be returned to the holders thereof as described in the Offering Memorandum.</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each $1,000 principal amount of Old Notes validly tendered and not validly withdrawn, and accepted by Comcast or NBCUniversal, Eligible Holders of such Old Notes will also receive a cash payment for accrued and unpaid interest on the applicable series of Old Notes up to, but not including, the Early Settlement Date, as well as a cash payment for amounts due in lieu of fractional amounts of New Notes.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Exchange Offer will expire at 11:59 p.m., New York City time, on October 31, 2017, unless extended or earlier terminated by Comcast or NBCUniversal. In accordance with the terms of the Exchange Offer, the withdrawal deadline relating to the Exchange Offer occurred at 5:00 p.m. New York City time on October 17, 2017. As a result, tendered Old Notes may no longer be withdrawn, except in certain limited circumstances where additional withdrawal rights are required by law (as determined by Comcast and NBCUniversal).</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Exchange Offer is only made and the New Notes are only being offered and will only be issued, to holders of Old Notes either (a) in the United States, that are “qualified institutional buyers,” as that term is defined in Rule 144A under the Securities Act of 1933 (the “Securities Act”), in a private transaction in reliance upon an exemption from the registration requirements of the Securities Act or (b) (i) outside the United States, that are persons other than “U.S. persons,” as that term is defined in Rule 902 under the Securities Act, in offshore transactions in reliance upon Regulation S under the Securities Act, (ii) if located or resident in any Member State of the European Economic Area which has implemented Directive 2003/71/EC, as amended (the “Prospectus Directive”), who are “Qualified Investors” as defined under the Prospectus Directive and (iii) if located or resident in Canada, is located or resident in a province of Canada and is an “accredited investor” as such term is defined in National Instrument 45- 106 – Prospectus Exemptions (“NI 45-106”), and, if resident in Ontario, section 73.3(1) of the Securities Act (Ontario) that is not an individual unless that person is also a “permitted client” as defined in National Instrument 31-103 - Registration Requirements, Exemptions and Ongoing Registrant Obligations (“NI 31-103”) (each, an “Eligible Holder”).</w:t>
      </w:r>
    </w:p>
    <w:p>
      <w:pPr>
        <w:spacing w:after="0" w:line="16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New Notes have not been registered under the Securities Act or any other applicable securities laws. Therefore, the New Notes may not be offered or sold except pursuant to an exemption from or in a transaction not subject to the registration requirements of the Securities Act and the applicable state securities laws. Comcast, NBCUniversal and Comcast Cable Communications, LLC will enter into a registration rights agreement with respect to the New Notes providing for certain registration rights with respect to the New Notes as described in the Offering Memorandum.</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press release is not an offer to sell or a solicitation of an offer to buy any of the securities described herein. The Exchange Offer is being made solely by means of the Offering Memorandum and only to such persons and in such jurisdictions as is permitted under applicable law.</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Exchange Offer is only being made, and copies of the Offering Memorandum will only be made available, to holders of the Old Notes who have certified to Comcast in an eligibility letter that they are Eligible Holders. Copies of the eligibility letter are available to holders of the Old Notes through the information agent, D.F. King &amp; Co., Inc., at their website http://www.dfking.com/comcast, by calling (866) 342-8290 (toll-free) or (212) 269-5550 (banks and brokers) or by email at comcast@dfking.com.</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CAUTIONARY LANGUAGE CONCERNING FORWARD-LOOKING STATEMENTS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and NBCUniversal’s periodic and other reports filed with the Securities and Exchange Commission (SEC) for a description of such risks and uncertainties. Neither company undertakes any obligation to update any forward-looking statements. In evaluating those statements, you should specifically consider various factors, including the risks and uncertainties discussed in the Offer to Purchase, under the caption “Risk Factors” in Comcast’s and NBCUniversal’s Annual and Quarterly Reports on Forms 10-K and 10-Q and in other reports Comcast and NBCUniversal file with the SEC. Actual events or Comcast’s and NBCUniversal’s actual results may differ materially from any of Comcast’s and NBCUniversal’s forward-looking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William Dordelman, 215-286-7550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Jennifer Daley, 215-286-7732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Jim McCue, 215-286-8701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John Demming, 215-286-8011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Comcast Corporation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69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2019-12-29T04:23:01Z</dcterms:created>
  <dcterms:modified xsi:type="dcterms:W3CDTF">2019-12-29T04:23:01Z</dcterms:modified>
</cp:coreProperties>
</file>