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5" w:lineRule="exact"/>
        <w:rPr>
          <w:sz w:val="24"/>
          <w:szCs w:val="24"/>
          <w:color w:val="auto"/>
        </w:rPr>
      </w:pPr>
    </w:p>
    <w:p>
      <w:pPr>
        <w:ind w:left="6001"/>
        <w:spacing w:after="0"/>
        <w:rPr>
          <w:sz w:val="20"/>
          <w:szCs w:val="20"/>
          <w:color w:val="auto"/>
        </w:rPr>
      </w:pPr>
      <w:r>
        <w:rPr>
          <w:rFonts w:ascii="Courier New" w:cs="Courier New" w:eastAsia="Courier New" w:hAnsi="Courier New"/>
          <w:sz w:val="18"/>
          <w:szCs w:val="18"/>
          <w:color w:val="auto"/>
        </w:rPr>
        <w:t>Page 1 of 12 Pages</w:t>
      </w:r>
    </w:p>
    <w:p>
      <w:pPr>
        <w:spacing w:after="0" w:line="201" w:lineRule="exact"/>
        <w:rPr>
          <w:sz w:val="24"/>
          <w:szCs w:val="24"/>
          <w:color w:val="auto"/>
        </w:rPr>
      </w:pPr>
    </w:p>
    <w:p>
      <w:pPr>
        <w:ind w:left="3481"/>
        <w:spacing w:after="0"/>
        <w:rPr>
          <w:sz w:val="20"/>
          <w:szCs w:val="20"/>
          <w:color w:val="auto"/>
        </w:rPr>
      </w:pPr>
      <w:r>
        <w:rPr>
          <w:rFonts w:ascii="Courier New" w:cs="Courier New" w:eastAsia="Courier New" w:hAnsi="Courier New"/>
          <w:sz w:val="18"/>
          <w:szCs w:val="18"/>
          <w:color w:val="auto"/>
        </w:rPr>
        <w:t>UNITED STATES</w:t>
      </w:r>
    </w:p>
    <w:p>
      <w:pPr>
        <w:spacing w:after="0" w:line="29" w:lineRule="exact"/>
        <w:rPr>
          <w:sz w:val="24"/>
          <w:szCs w:val="24"/>
          <w:color w:val="auto"/>
        </w:rPr>
      </w:pPr>
    </w:p>
    <w:p>
      <w:pPr>
        <w:ind w:left="2221"/>
        <w:spacing w:after="0"/>
        <w:rPr>
          <w:sz w:val="20"/>
          <w:szCs w:val="20"/>
          <w:color w:val="auto"/>
        </w:rPr>
      </w:pPr>
      <w:r>
        <w:rPr>
          <w:rFonts w:ascii="Courier New" w:cs="Courier New" w:eastAsia="Courier New" w:hAnsi="Courier New"/>
          <w:sz w:val="18"/>
          <w:szCs w:val="18"/>
          <w:color w:val="auto"/>
        </w:rPr>
        <w:t>SECURITIES AND EXCHANGE COMMISSION</w:t>
      </w:r>
    </w:p>
    <w:p>
      <w:pPr>
        <w:ind w:left="2741"/>
        <w:spacing w:after="0"/>
        <w:tabs>
          <w:tab w:leader="none" w:pos="4621"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169" w:lineRule="exact"/>
        <w:rPr>
          <w:sz w:val="24"/>
          <w:szCs w:val="24"/>
          <w:color w:val="auto"/>
        </w:rPr>
      </w:pPr>
    </w:p>
    <w:p>
      <w:pPr>
        <w:jc w:val="center"/>
        <w:ind w:right="1778"/>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ind w:left="2001"/>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741"/>
        <w:spacing w:after="0"/>
        <w:rPr>
          <w:sz w:val="20"/>
          <w:szCs w:val="20"/>
          <w:color w:val="auto"/>
        </w:rPr>
      </w:pPr>
      <w:r>
        <w:rPr>
          <w:rFonts w:ascii="Courier New" w:cs="Courier New" w:eastAsia="Courier New" w:hAnsi="Courier New"/>
          <w:sz w:val="18"/>
          <w:szCs w:val="18"/>
          <w:color w:val="auto"/>
        </w:rPr>
        <w:t>COMCAST CORP NEW</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3061"/>
        <w:spacing w:after="0"/>
        <w:rPr>
          <w:sz w:val="20"/>
          <w:szCs w:val="20"/>
          <w:color w:val="auto"/>
        </w:rPr>
      </w:pPr>
      <w:r>
        <w:rPr>
          <w:rFonts w:ascii="Courier New" w:cs="Courier New" w:eastAsia="Courier New" w:hAnsi="Courier New"/>
          <w:sz w:val="18"/>
          <w:szCs w:val="18"/>
          <w:color w:val="auto"/>
        </w:rPr>
        <w:t>CL A SPL</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jc w:val="center"/>
        <w:ind w:right="2418"/>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ind w:left="3261"/>
        <w:spacing w:after="0"/>
        <w:rPr>
          <w:sz w:val="20"/>
          <w:szCs w:val="20"/>
          <w:color w:val="auto"/>
        </w:rPr>
      </w:pPr>
      <w:r>
        <w:rPr>
          <w:rFonts w:ascii="Courier New" w:cs="Courier New" w:eastAsia="Courier New" w:hAnsi="Courier New"/>
          <w:sz w:val="18"/>
          <w:szCs w:val="18"/>
          <w:color w:val="auto"/>
        </w:rPr>
        <w:t>20030N200</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2941"/>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ind w:left="2641"/>
        <w:spacing w:after="0"/>
        <w:rPr>
          <w:sz w:val="20"/>
          <w:szCs w:val="20"/>
          <w:color w:val="auto"/>
        </w:rPr>
      </w:pPr>
      <w:r>
        <w:rPr>
          <w:rFonts w:ascii="Courier New" w:cs="Courier New" w:eastAsia="Courier New" w:hAnsi="Courier New"/>
          <w:sz w:val="18"/>
          <w:szCs w:val="18"/>
          <w:color w:val="auto"/>
        </w:rPr>
        <w:t>June 30, 2003</w:t>
      </w:r>
    </w:p>
    <w:p>
      <w:pPr>
        <w:spacing w:after="0" w:line="29" w:lineRule="exact"/>
        <w:rPr>
          <w:sz w:val="24"/>
          <w:szCs w:val="24"/>
          <w:color w:val="auto"/>
        </w:rPr>
      </w:pPr>
    </w:p>
    <w:p>
      <w:pPr>
        <w:ind w:left="1161"/>
        <w:spacing w:after="0"/>
        <w:rPr>
          <w:sz w:val="20"/>
          <w:szCs w:val="20"/>
          <w:color w:val="auto"/>
        </w:rPr>
      </w:pPr>
      <w:r>
        <w:rPr>
          <w:rFonts w:ascii="Courier New" w:cs="Courier New" w:eastAsia="Courier New" w:hAnsi="Courier New"/>
          <w:sz w:val="18"/>
          <w:szCs w:val="18"/>
          <w:color w:val="auto"/>
        </w:rPr>
        <w:t>-----------------------------------------------------</w:t>
      </w:r>
    </w:p>
    <w:p>
      <w:pPr>
        <w:ind w:left="1061"/>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left="201" w:right="1999"/>
        <w:spacing w:after="0" w:line="274" w:lineRule="auto"/>
        <w:rPr>
          <w:sz w:val="20"/>
          <w:szCs w:val="20"/>
          <w:color w:val="auto"/>
        </w:rPr>
      </w:pPr>
      <w:r>
        <w:rPr>
          <w:rFonts w:ascii="Courier New" w:cs="Courier New" w:eastAsia="Courier New" w:hAnsi="Courier New"/>
          <w:sz w:val="18"/>
          <w:szCs w:val="18"/>
          <w:color w:val="auto"/>
        </w:rPr>
        <w:t>NOTE: A MAJORITY OF THE SHARES REPORTED IN THIS SCHEDULE 13G ARE HELD BY UNAFFILIATED THIRD-PARTY CLIENT ACCOUNTS MANAGED BY ALLIANCE CAPITAL MANAGEMENT L.P., AS INVESTMENT ADVISER. (ALLIANCE CAPITAL MANAGEMENT L.P. IS A MAJORITY-OWNED SUBSIDIARY OF AXA FINANCIAL, INC.)</w:t>
      </w:r>
    </w:p>
    <w:p>
      <w:pPr>
        <w:spacing w:after="0" w:line="82" w:lineRule="exact"/>
        <w:rPr>
          <w:sz w:val="24"/>
          <w:szCs w:val="24"/>
          <w:color w:val="auto"/>
        </w:rPr>
      </w:pPr>
    </w:p>
    <w:p>
      <w:pPr>
        <w:ind w:left="201" w:right="2939"/>
        <w:spacing w:after="0" w:line="347"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18" w:lineRule="exact"/>
        <w:rPr>
          <w:sz w:val="24"/>
          <w:szCs w:val="24"/>
          <w:color w:val="auto"/>
        </w:rPr>
      </w:pPr>
    </w:p>
    <w:p>
      <w:pPr>
        <w:jc w:val="both"/>
        <w:ind w:left="741" w:right="7899" w:hanging="320"/>
        <w:spacing w:after="0" w:line="344" w:lineRule="auto"/>
        <w:tabs>
          <w:tab w:leader="none" w:pos="741" w:val="left"/>
        </w:tabs>
        <w:numPr>
          <w:ilvl w:val="1"/>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Rule 13d-1(c) Rule 13d-1(d)</w:t>
      </w:r>
    </w:p>
    <w:p>
      <w:pPr>
        <w:spacing w:after="0" w:line="30" w:lineRule="exact"/>
        <w:rPr>
          <w:rFonts w:ascii="Courier New" w:cs="Courier New" w:eastAsia="Courier New" w:hAnsi="Courier New"/>
          <w:sz w:val="16"/>
          <w:szCs w:val="16"/>
          <w:color w:val="auto"/>
        </w:rPr>
      </w:pPr>
    </w:p>
    <w:p>
      <w:pPr>
        <w:jc w:val="both"/>
        <w:ind w:left="201" w:right="2419"/>
        <w:spacing w:after="0" w:line="31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52"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The information required in the remainder of this cover page shall not</w:t>
      </w:r>
    </w:p>
    <w:p>
      <w:pPr>
        <w:spacing w:after="0" w:line="29" w:lineRule="exact"/>
        <w:rPr>
          <w:sz w:val="24"/>
          <w:szCs w:val="24"/>
          <w:color w:val="auto"/>
        </w:rPr>
      </w:pPr>
    </w:p>
    <w:p>
      <w:pPr>
        <w:ind w:left="201"/>
        <w:spacing w:after="0"/>
        <w:rPr>
          <w:sz w:val="20"/>
          <w:szCs w:val="20"/>
          <w:color w:val="auto"/>
        </w:rPr>
      </w:pPr>
      <w:r>
        <w:rPr>
          <w:rFonts w:ascii="Courier New" w:cs="Courier New" w:eastAsia="Courier New" w:hAnsi="Courier New"/>
          <w:sz w:val="18"/>
          <w:szCs w:val="18"/>
          <w:color w:val="auto"/>
        </w:rPr>
        <w:t>be deemed to be 'filed' for the purpose of Section 18 of the Securities</w:t>
      </w:r>
    </w:p>
    <w:p>
      <w:pPr>
        <w:ind w:left="201"/>
        <w:spacing w:after="0" w:line="238" w:lineRule="auto"/>
        <w:rPr>
          <w:sz w:val="20"/>
          <w:szCs w:val="20"/>
          <w:color w:val="auto"/>
        </w:rPr>
      </w:pPr>
      <w:r>
        <w:rPr>
          <w:rFonts w:ascii="Courier New" w:cs="Courier New" w:eastAsia="Courier New" w:hAnsi="Courier New"/>
          <w:sz w:val="18"/>
          <w:szCs w:val="18"/>
          <w:color w:val="auto"/>
        </w:rPr>
        <w:t>Exchange Act of 1934 ('Act') or otherwise subject to the liabilities</w:t>
      </w:r>
    </w:p>
    <w:p>
      <w:pPr>
        <w:ind w:left="201"/>
        <w:spacing w:after="0"/>
        <w:rPr>
          <w:sz w:val="20"/>
          <w:szCs w:val="20"/>
          <w:color w:val="auto"/>
        </w:rPr>
      </w:pPr>
      <w:r>
        <w:rPr>
          <w:rFonts w:ascii="Courier New" w:cs="Courier New" w:eastAsia="Courier New" w:hAnsi="Courier New"/>
          <w:sz w:val="18"/>
          <w:szCs w:val="18"/>
          <w:color w:val="auto"/>
        </w:rPr>
        <w:t>of that section of the Act but shall be subject to all other provisions</w:t>
      </w:r>
    </w:p>
    <w:p>
      <w:pPr>
        <w:ind w:left="201"/>
        <w:spacing w:after="0"/>
        <w:rPr>
          <w:sz w:val="20"/>
          <w:szCs w:val="20"/>
          <w:color w:val="auto"/>
        </w:rPr>
      </w:pPr>
      <w:r>
        <w:rPr>
          <w:rFonts w:ascii="Courier New" w:cs="Courier New" w:eastAsia="Courier New" w:hAnsi="Courier New"/>
          <w:sz w:val="18"/>
          <w:szCs w:val="18"/>
          <w:color w:val="auto"/>
        </w:rPr>
        <w:t>of the Act (however, see the Notes).</w:t>
      </w:r>
    </w:p>
    <w:p>
      <w:pPr>
        <w:spacing w:after="0" w:line="169" w:lineRule="exact"/>
        <w:rPr>
          <w:sz w:val="24"/>
          <w:szCs w:val="24"/>
          <w:color w:val="auto"/>
        </w:rPr>
      </w:pPr>
    </w:p>
    <w:p>
      <w:pPr>
        <w:ind w:left="2421"/>
        <w:spacing w:after="0"/>
        <w:rPr>
          <w:sz w:val="20"/>
          <w:szCs w:val="20"/>
          <w:color w:val="auto"/>
        </w:rPr>
      </w:pPr>
      <w:r>
        <w:rPr>
          <w:rFonts w:ascii="Courier New" w:cs="Courier New" w:eastAsia="Courier New" w:hAnsi="Courier New"/>
          <w:sz w:val="18"/>
          <w:szCs w:val="18"/>
          <w:color w:val="auto"/>
        </w:rPr>
        <w:t>(CONTINUED ON FOLLOWING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ind w:left="201"/>
        <w:spacing w:after="0"/>
        <w:tabs>
          <w:tab w:leader="none" w:pos="3341" w:val="left"/>
          <w:tab w:leader="none" w:pos="6201"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2 of 12 Pages</w:t>
      </w:r>
    </w:p>
    <w:p>
      <w:pPr>
        <w:spacing w:after="0" w:line="200" w:lineRule="exact"/>
        <w:rPr>
          <w:sz w:val="24"/>
          <w:szCs w:val="24"/>
          <w:color w:val="auto"/>
        </w:rPr>
      </w:pPr>
    </w:p>
    <w:p>
      <w:pPr>
        <w:spacing w:after="0" w:line="204" w:lineRule="exact"/>
        <w:rPr>
          <w:sz w:val="24"/>
          <w:szCs w:val="24"/>
          <w:color w:val="auto"/>
        </w:rPr>
      </w:pPr>
    </w:p>
    <w:p>
      <w:pPr>
        <w:ind w:left="321" w:hanging="321"/>
        <w:spacing w:after="0"/>
        <w:tabs>
          <w:tab w:leader="none" w:pos="32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321"/>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4"/>
          <w:szCs w:val="24"/>
          <w:color w:val="auto"/>
        </w:rPr>
      </w:pPr>
    </w:p>
    <w:tbl>
      <w:tblPr>
        <w:tblLayout w:type="fixed"/>
        <w:tblInd w:w="1"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 Assurances I.A.R.D. Mutuelle</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4"/>
          <w:szCs w:val="24"/>
          <w:color w:val="auto"/>
        </w:rPr>
      </w:pPr>
    </w:p>
    <w:tbl>
      <w:tblPr>
        <w:tblLayout w:type="fixed"/>
        <w:tblInd w:w="521" w:type="dxa"/>
        <w:tblCellMar>
          <w:top w:w="0" w:type="dxa"/>
          <w:left w:w="0" w:type="dxa"/>
          <w:bottom w:w="0" w:type="dxa"/>
          <w:right w:w="0" w:type="dxa"/>
        </w:tblCellMar>
      </w:tblPr>
      <w:tr>
        <w:trPr>
          <w:trHeight w:val="296"/>
        </w:trPr>
        <w:tc>
          <w:tcPr>
            <w:tcW w:w="1960" w:type="dxa"/>
            <w:vAlign w:val="bottom"/>
          </w:tcPr>
          <w:p>
            <w:pPr>
              <w:jc w:val="right"/>
              <w:ind w:right="1132"/>
              <w:spacing w:after="0"/>
              <w:rPr>
                <w:sz w:val="20"/>
                <w:szCs w:val="20"/>
                <w:color w:val="auto"/>
              </w:rPr>
            </w:pPr>
            <w:r>
              <w:rPr>
                <w:rFonts w:ascii="Courier New" w:cs="Courier New" w:eastAsia="Courier New" w:hAnsi="Courier New"/>
                <w:sz w:val="18"/>
                <w:szCs w:val="18"/>
                <w:color w:val="auto"/>
              </w:rPr>
              <w:t>France</w:t>
            </w:r>
          </w:p>
        </w:tc>
        <w:tc>
          <w:tcPr>
            <w:tcW w:w="6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2"/>
        </w:trPr>
        <w:tc>
          <w:tcPr>
            <w:tcW w:w="196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7"/>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580" w:type="dxa"/>
            <w:vAlign w:val="bottom"/>
          </w:tcPr>
          <w:p>
            <w:pPr>
              <w:jc w:val="right"/>
              <w:spacing w:after="0"/>
              <w:rPr>
                <w:sz w:val="20"/>
                <w:szCs w:val="20"/>
                <w:color w:val="auto"/>
              </w:rPr>
            </w:pPr>
            <w:r>
              <w:rPr>
                <w:rFonts w:ascii="Courier New" w:cs="Courier New" w:eastAsia="Courier New" w:hAnsi="Courier New"/>
                <w:sz w:val="18"/>
                <w:szCs w:val="18"/>
                <w:color w:val="auto"/>
              </w:rPr>
              <w:t>43,272,006</w:t>
            </w:r>
          </w:p>
        </w:tc>
        <w:tc>
          <w:tcPr>
            <w:tcW w:w="0" w:type="dxa"/>
            <w:vAlign w:val="bottom"/>
          </w:tcPr>
          <w:p>
            <w:pPr>
              <w:spacing w:after="0"/>
              <w:rPr>
                <w:sz w:val="1"/>
                <w:szCs w:val="1"/>
                <w:color w:val="auto"/>
              </w:rPr>
            </w:pPr>
          </w:p>
        </w:tc>
      </w:tr>
      <w:tr>
        <w:trPr>
          <w:trHeight w:val="203"/>
        </w:trPr>
        <w:tc>
          <w:tcPr>
            <w:tcW w:w="1960" w:type="dxa"/>
            <w:vAlign w:val="bottom"/>
          </w:tcPr>
          <w:p>
            <w:pPr>
              <w:jc w:val="right"/>
              <w:ind w:right="392"/>
              <w:spacing w:after="0" w:line="203" w:lineRule="exact"/>
              <w:rPr>
                <w:sz w:val="20"/>
                <w:szCs w:val="20"/>
                <w:color w:val="auto"/>
              </w:rPr>
            </w:pPr>
            <w:r>
              <w:rPr>
                <w:rFonts w:ascii="Courier New" w:cs="Courier New" w:eastAsia="Courier New" w:hAnsi="Courier New"/>
                <w:sz w:val="18"/>
                <w:szCs w:val="18"/>
                <w:color w:val="auto"/>
              </w:rPr>
              <w:t>BENEFICIALLY</w:t>
            </w: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70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5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17,600,519</w:t>
            </w:r>
          </w:p>
        </w:tc>
        <w:tc>
          <w:tcPr>
            <w:tcW w:w="0" w:type="dxa"/>
            <w:vAlign w:val="bottom"/>
          </w:tcPr>
          <w:p>
            <w:pPr>
              <w:spacing w:after="0"/>
              <w:rPr>
                <w:sz w:val="1"/>
                <w:szCs w:val="1"/>
                <w:color w:val="auto"/>
              </w:rPr>
            </w:pPr>
          </w:p>
        </w:tc>
      </w:tr>
      <w:tr>
        <w:trPr>
          <w:trHeight w:val="296"/>
        </w:trPr>
        <w:tc>
          <w:tcPr>
            <w:tcW w:w="19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OWNED AS OF</w:t>
            </w:r>
          </w:p>
        </w:tc>
        <w:tc>
          <w:tcPr>
            <w:tcW w:w="620" w:type="dxa"/>
            <w:vAlign w:val="bottom"/>
            <w:vMerge w:val="continue"/>
          </w:tcPr>
          <w:p>
            <w:pPr>
              <w:spacing w:after="0"/>
              <w:rPr>
                <w:sz w:val="24"/>
                <w:szCs w:val="24"/>
                <w:color w:val="auto"/>
              </w:rPr>
            </w:pPr>
          </w:p>
        </w:tc>
        <w:tc>
          <w:tcPr>
            <w:tcW w:w="2700" w:type="dxa"/>
            <w:vAlign w:val="bottom"/>
            <w:vMerge w:val="continue"/>
          </w:tcPr>
          <w:p>
            <w:pPr>
              <w:spacing w:after="0"/>
              <w:rPr>
                <w:sz w:val="24"/>
                <w:szCs w:val="24"/>
                <w:color w:val="auto"/>
              </w:rPr>
            </w:pPr>
          </w:p>
        </w:tc>
        <w:tc>
          <w:tcPr>
            <w:tcW w:w="15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ectPr>
          <w:pgSz w:w="11900" w:h="16894" w:orient="portrait"/>
          <w:cols w:equalWidth="0" w:num="1">
            <w:col w:w="10000"/>
          </w:cols>
          <w:pgMar w:left="459" w:top="218" w:right="1440" w:bottom="0" w:gutter="0" w:footer="0" w:header="0"/>
        </w:sectPr>
      </w:pPr>
    </w:p>
    <w:bookmarkStart w:id="1" w:name="page2"/>
    <w:bookmarkEnd w:id="1"/>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June 30, 2003</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96,632,327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100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100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PERSON WITH:</w:t>
            </w:r>
          </w:p>
        </w:tc>
        <w:tc>
          <w:tcPr>
            <w:tcW w:w="100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AMOUNT</w:t>
            </w:r>
          </w:p>
        </w:tc>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96,737,283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100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IF THE</w:t>
            </w:r>
          </w:p>
        </w:tc>
        <w:tc>
          <w:tcPr>
            <w:tcW w:w="5280" w:type="dxa"/>
            <w:vAlign w:val="bottom"/>
            <w:gridSpan w:val="3"/>
          </w:tcPr>
          <w:p>
            <w:pPr>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SHARES *</w:t>
            </w: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6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2"/>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627" w:right="6939" w:hanging="627"/>
        <w:spacing w:after="0" w:line="257" w:lineRule="auto"/>
        <w:tabs>
          <w:tab w:leader="none" w:pos="4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007"/>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106"/>
          </w:cols>
          <w:pgMar w:left="353" w:top="108" w:right="1440" w:bottom="1440" w:gutter="0" w:footer="0" w:header="0"/>
        </w:sectPr>
      </w:pPr>
    </w:p>
    <w:bookmarkStart w:id="2" w:name="page3"/>
    <w:bookmarkEnd w:id="2"/>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3 of 12 Pages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Assurances Vie Mutuelle</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43"/>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43,272,006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17,600,519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June 30, 2003</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96,632,327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96,737,283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257" w:lineRule="auto"/>
        <w:tabs>
          <w:tab w:leader="none" w:pos="529"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type w:val="continuous"/>
        </w:sectPr>
      </w:pPr>
    </w:p>
    <w:bookmarkStart w:id="3" w:name="page4"/>
    <w:bookmarkEnd w:id="3"/>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4 of 12 Pages</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00" w:lineRule="exact"/>
        <w:rPr>
          <w:sz w:val="20"/>
          <w:szCs w:val="20"/>
          <w:color w:val="auto"/>
        </w:rPr>
      </w:pPr>
    </w:p>
    <w:tbl>
      <w:tblPr>
        <w:tblLayout w:type="fixed"/>
        <w:tblInd w:w="220" w:type="dxa"/>
        <w:tblCellMar>
          <w:top w:w="0" w:type="dxa"/>
          <w:left w:w="0" w:type="dxa"/>
          <w:bottom w:w="0" w:type="dxa"/>
          <w:right w:w="0" w:type="dxa"/>
        </w:tblCellMar>
      </w:tblPr>
      <w:tr>
        <w:trPr>
          <w:trHeight w:val="204"/>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[X]</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ind w:left="60"/>
              <w:spacing w:after="0"/>
              <w:rPr>
                <w:sz w:val="20"/>
                <w:szCs w:val="20"/>
                <w:color w:val="auto"/>
              </w:rPr>
            </w:pPr>
            <w:r>
              <w:rPr>
                <w:rFonts w:ascii="Courier New" w:cs="Courier New" w:eastAsia="Courier New" w:hAnsi="Courier New"/>
                <w:sz w:val="18"/>
                <w:szCs w:val="18"/>
                <w:color w:val="auto"/>
                <w:w w:val="86"/>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43,272,006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17,600,519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June 30, 2003</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96,632,327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96,737,283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488" w:right="1440" w:bottom="1440" w:gutter="0" w:footer="0" w:header="0"/>
          <w:type w:val="continuous"/>
        </w:sectPr>
      </w:pPr>
    </w:p>
    <w:bookmarkStart w:id="4" w:name="page5"/>
    <w:bookmarkEnd w:id="4"/>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5 of 12 Pages</w:t>
      </w:r>
    </w:p>
    <w:p>
      <w:pPr>
        <w:sectPr>
          <w:pgSz w:w="11900" w:h="16838" w:orient="portrait"/>
          <w:cols w:equalWidth="0" w:num="1">
            <w:col w:w="10219"/>
          </w:cols>
          <w:pgMar w:left="240" w:top="488" w:right="1440" w:bottom="1440" w:gutter="0" w:footer="0" w:header="0"/>
        </w:sectPr>
      </w:pPr>
    </w:p>
    <w:p>
      <w:pPr>
        <w:spacing w:after="0" w:line="200" w:lineRule="exact"/>
        <w:rPr>
          <w:sz w:val="20"/>
          <w:szCs w:val="20"/>
          <w:color w:val="auto"/>
        </w:rPr>
      </w:pPr>
    </w:p>
    <w:p>
      <w:pPr>
        <w:spacing w:after="0" w:line="204" w:lineRule="exact"/>
        <w:rPr>
          <w:sz w:val="20"/>
          <w:szCs w:val="20"/>
          <w:color w:val="auto"/>
        </w:rPr>
      </w:pPr>
    </w:p>
    <w:p>
      <w:pPr>
        <w:ind w:left="540" w:hanging="321"/>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tbl>
      <w:tblPr>
        <w:tblLayout w:type="fixed"/>
        <w:tblInd w:w="220" w:type="dxa"/>
        <w:tblCellMar>
          <w:top w:w="0" w:type="dxa"/>
          <w:left w:w="0" w:type="dxa"/>
          <w:bottom w:w="0" w:type="dxa"/>
          <w:right w:w="0" w:type="dxa"/>
        </w:tblCellMar>
      </w:tblPr>
      <w:tr>
        <w:trPr>
          <w:trHeight w:val="296"/>
        </w:trPr>
        <w:tc>
          <w:tcPr>
            <w:tcW w:w="260" w:type="dxa"/>
            <w:vAlign w:val="bottom"/>
          </w:tcPr>
          <w:p>
            <w:pPr>
              <w:spacing w:after="0"/>
              <w:rPr>
                <w:sz w:val="24"/>
                <w:szCs w:val="24"/>
                <w:color w:val="auto"/>
              </w:rPr>
            </w:pPr>
          </w:p>
        </w:tc>
        <w:tc>
          <w:tcPr>
            <w:tcW w:w="5800" w:type="dxa"/>
            <w:vAlign w:val="bottom"/>
          </w:tcPr>
          <w:p>
            <w:pPr>
              <w:ind w:left="380"/>
              <w:spacing w:after="0"/>
              <w:rPr>
                <w:sz w:val="20"/>
                <w:szCs w:val="20"/>
                <w:color w:val="auto"/>
              </w:rPr>
            </w:pPr>
            <w:r>
              <w:rPr>
                <w:rFonts w:ascii="Courier New" w:cs="Courier New" w:eastAsia="Courier New" w:hAnsi="Courier New"/>
                <w:sz w:val="18"/>
                <w:szCs w:val="18"/>
                <w:color w:val="auto"/>
              </w:rPr>
              <w:t>AXA</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311"/>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2.</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CHECK THE APPROPRIATE BOX IF A MEMBER OF A GROUP *</w:t>
            </w: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(A)</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296"/>
        </w:trPr>
        <w:tc>
          <w:tcPr>
            <w:tcW w:w="260" w:type="dxa"/>
            <w:vAlign w:val="bottom"/>
          </w:tcPr>
          <w:p>
            <w:pPr>
              <w:spacing w:after="0"/>
              <w:rPr>
                <w:sz w:val="24"/>
                <w:szCs w:val="24"/>
                <w:color w:val="auto"/>
              </w:rPr>
            </w:pPr>
          </w:p>
        </w:tc>
        <w:tc>
          <w:tcPr>
            <w:tcW w:w="5800" w:type="dxa"/>
            <w:vAlign w:val="bottom"/>
          </w:tcPr>
          <w:p>
            <w:pPr>
              <w:spacing w:after="0"/>
              <w:rPr>
                <w:sz w:val="24"/>
                <w:szCs w:val="24"/>
                <w:color w:val="auto"/>
              </w:rPr>
            </w:pPr>
          </w:p>
        </w:tc>
        <w:tc>
          <w:tcPr>
            <w:tcW w:w="840" w:type="dxa"/>
            <w:vAlign w:val="bottom"/>
          </w:tcPr>
          <w:p>
            <w:pPr>
              <w:ind w:left="460"/>
              <w:spacing w:after="0"/>
              <w:rPr>
                <w:sz w:val="20"/>
                <w:szCs w:val="20"/>
                <w:color w:val="auto"/>
              </w:rPr>
            </w:pPr>
            <w:r>
              <w:rPr>
                <w:rFonts w:ascii="Courier New" w:cs="Courier New" w:eastAsia="Courier New" w:hAnsi="Courier New"/>
                <w:sz w:val="18"/>
                <w:szCs w:val="18"/>
                <w:color w:val="auto"/>
              </w:rPr>
              <w:t>(B)</w:t>
            </w:r>
          </w:p>
        </w:tc>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 ]</w:t>
            </w:r>
          </w:p>
        </w:tc>
      </w:tr>
      <w:tr>
        <w:trPr>
          <w:trHeight w:val="405"/>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3.</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SEC USE ONLY</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46"/>
        </w:trPr>
        <w:tc>
          <w:tcPr>
            <w:tcW w:w="260" w:type="dxa"/>
            <w:vAlign w:val="bottom"/>
          </w:tcPr>
          <w:p>
            <w:pPr>
              <w:jc w:val="right"/>
              <w:spacing w:after="0"/>
              <w:rPr>
                <w:sz w:val="20"/>
                <w:szCs w:val="20"/>
                <w:color w:val="auto"/>
              </w:rPr>
            </w:pPr>
            <w:r>
              <w:rPr>
                <w:rFonts w:ascii="Courier New" w:cs="Courier New" w:eastAsia="Courier New" w:hAnsi="Courier New"/>
                <w:sz w:val="18"/>
                <w:szCs w:val="18"/>
                <w:color w:val="auto"/>
                <w:w w:val="83"/>
              </w:rPr>
              <w:t>4.</w:t>
            </w:r>
          </w:p>
        </w:tc>
        <w:tc>
          <w:tcPr>
            <w:tcW w:w="5800" w:type="dxa"/>
            <w:vAlign w:val="bottom"/>
          </w:tcPr>
          <w:p>
            <w:pPr>
              <w:ind w:left="60"/>
              <w:spacing w:after="0"/>
              <w:rPr>
                <w:sz w:val="20"/>
                <w:szCs w:val="20"/>
                <w:color w:val="auto"/>
              </w:rPr>
            </w:pPr>
            <w:r>
              <w:rPr>
                <w:rFonts w:ascii="Courier New" w:cs="Courier New" w:eastAsia="Courier New" w:hAnsi="Courier New"/>
                <w:sz w:val="18"/>
                <w:szCs w:val="18"/>
                <w:color w:val="auto"/>
              </w:rPr>
              <w:t>CITIZENSHIP OR PLACE OF ORGANIZATION</w:t>
            </w: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6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France</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9"/>
        </w:trPr>
        <w:tc>
          <w:tcPr>
            <w:tcW w:w="360" w:type="dxa"/>
            <w:vAlign w:val="bottom"/>
          </w:tcPr>
          <w:p>
            <w:pPr>
              <w:spacing w:after="0"/>
              <w:rPr>
                <w:sz w:val="24"/>
                <w:szCs w:val="24"/>
                <w:color w:val="auto"/>
              </w:rPr>
            </w:pPr>
          </w:p>
        </w:tc>
        <w:tc>
          <w:tcPr>
            <w:tcW w:w="2220" w:type="dxa"/>
            <w:vAlign w:val="bottom"/>
            <w:gridSpan w:val="3"/>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43,272,006</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17,600,519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June 30, 2003</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96,632,327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BY</w:t>
            </w:r>
          </w:p>
        </w:tc>
        <w:tc>
          <w:tcPr>
            <w:tcW w:w="78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EACH</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REPORTING</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AGGREGATE</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96,737,283</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0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REPORTING</w:t>
            </w:r>
          </w:p>
        </w:tc>
        <w:tc>
          <w:tcPr>
            <w:tcW w:w="7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6"/>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CHECK BOX</w:t>
            </w:r>
          </w:p>
        </w:tc>
        <w:tc>
          <w:tcPr>
            <w:tcW w:w="7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7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IC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488" w:right="1440" w:bottom="1440" w:gutter="0" w:footer="0" w:header="0"/>
          <w:type w:val="continuous"/>
        </w:sectPr>
      </w:pPr>
    </w:p>
    <w:bookmarkStart w:id="5" w:name="page6"/>
    <w:bookmarkEnd w:id="5"/>
    <w:p>
      <w:pPr>
        <w:spacing w:after="0"/>
        <w:tabs>
          <w:tab w:leader="none" w:pos="3680" w:val="left"/>
          <w:tab w:leader="none" w:pos="6200" w:val="left"/>
        </w:tabs>
        <w:rPr>
          <w:sz w:val="20"/>
          <w:szCs w:val="20"/>
          <w:color w:val="auto"/>
        </w:rPr>
      </w:pPr>
      <w:r>
        <w:rPr>
          <w:rFonts w:ascii="Courier New" w:cs="Courier New" w:eastAsia="Courier New" w:hAnsi="Courier New"/>
          <w:sz w:val="18"/>
          <w:szCs w:val="18"/>
          <w:color w:val="auto"/>
        </w:rPr>
        <w:t>CUSIP NO. 20030N200</w:t>
      </w:r>
      <w:r>
        <w:rPr>
          <w:sz w:val="20"/>
          <w:szCs w:val="20"/>
          <w:color w:val="auto"/>
        </w:rPr>
        <w:tab/>
      </w: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6"/>
          <w:szCs w:val="16"/>
          <w:color w:val="auto"/>
        </w:rPr>
        <w:t>Page 6 of 12 Pages</w:t>
      </w:r>
    </w:p>
    <w:p>
      <w:pPr>
        <w:sectPr>
          <w:pgSz w:w="11900" w:h="16838" w:orient="portrait"/>
          <w:cols w:equalWidth="0" w:num="1">
            <w:col w:w="10219"/>
          </w:cols>
          <w:pgMar w:left="240" w:top="691" w:right="1440" w:bottom="1440" w:gutter="0" w:footer="0" w:header="0"/>
        </w:sectPr>
      </w:pPr>
    </w:p>
    <w:p>
      <w:pPr>
        <w:spacing w:after="0" w:line="201" w:lineRule="exact"/>
        <w:rPr>
          <w:sz w:val="20"/>
          <w:szCs w:val="20"/>
          <w:color w:val="auto"/>
        </w:rPr>
      </w:pPr>
    </w:p>
    <w:p>
      <w:pPr>
        <w:ind w:left="540" w:hanging="321"/>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30"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 OF ABOVE PERSON</w:t>
      </w:r>
    </w:p>
    <w:p>
      <w:pPr>
        <w:spacing w:after="0" w:line="169" w:lineRule="exact"/>
        <w:rPr>
          <w:sz w:val="20"/>
          <w:szCs w:val="20"/>
          <w:color w:val="auto"/>
        </w:rPr>
      </w:pPr>
    </w:p>
    <w:p>
      <w:pPr>
        <w:ind w:left="860"/>
        <w:spacing w:after="0"/>
        <w:tabs>
          <w:tab w:leader="none" w:pos="3460" w:val="left"/>
        </w:tabs>
        <w:rPr>
          <w:sz w:val="20"/>
          <w:szCs w:val="20"/>
          <w:color w:val="auto"/>
        </w:rPr>
      </w:pPr>
      <w:r>
        <w:rPr>
          <w:rFonts w:ascii="Courier New" w:cs="Courier New" w:eastAsia="Courier New" w:hAnsi="Courier New"/>
          <w:sz w:val="18"/>
          <w:szCs w:val="18"/>
          <w:color w:val="auto"/>
        </w:rPr>
        <w:t>AXA Financial, Inc.</w:t>
      </w:r>
      <w:r>
        <w:rPr>
          <w:sz w:val="20"/>
          <w:szCs w:val="20"/>
          <w:color w:val="auto"/>
        </w:rPr>
        <w:tab/>
      </w:r>
      <w:r>
        <w:rPr>
          <w:rFonts w:ascii="Courier New" w:cs="Courier New" w:eastAsia="Courier New" w:hAnsi="Courier New"/>
          <w:sz w:val="16"/>
          <w:szCs w:val="16"/>
          <w:color w:val="auto"/>
        </w:rPr>
        <w:t>13-3623351</w:t>
      </w:r>
    </w:p>
    <w:p>
      <w:pPr>
        <w:spacing w:after="0" w:line="201" w:lineRule="exact"/>
        <w:rPr>
          <w:sz w:val="20"/>
          <w:szCs w:val="20"/>
          <w:color w:val="auto"/>
        </w:rPr>
      </w:pPr>
    </w:p>
    <w:p>
      <w:pPr>
        <w:ind w:left="220"/>
        <w:spacing w:after="0"/>
        <w:tabs>
          <w:tab w:leader="none" w:pos="6720" w:val="left"/>
        </w:tabs>
        <w:rPr>
          <w:sz w:val="20"/>
          <w:szCs w:val="20"/>
          <w:color w:val="auto"/>
        </w:rPr>
      </w:pPr>
      <w:r>
        <w:rPr>
          <w:rFonts w:ascii="Courier New" w:cs="Courier New" w:eastAsia="Courier New" w:hAnsi="Courier New"/>
          <w:sz w:val="18"/>
          <w:szCs w:val="18"/>
          <w:color w:val="auto"/>
        </w:rPr>
        <w:t>2. CHECK THE APPROPRIATE BOX IF A MEMBER OF A GROUP *</w:t>
      </w:r>
      <w:r>
        <w:rPr>
          <w:sz w:val="20"/>
          <w:szCs w:val="20"/>
          <w:color w:val="auto"/>
        </w:rPr>
        <w:tab/>
      </w:r>
      <w:r>
        <w:rPr>
          <w:rFonts w:ascii="Courier New" w:cs="Courier New" w:eastAsia="Courier New" w:hAnsi="Courier New"/>
          <w:sz w:val="16"/>
          <w:szCs w:val="16"/>
          <w:color w:val="auto"/>
        </w:rPr>
        <w:t>(A) [ ]</w:t>
      </w:r>
    </w:p>
    <w:p>
      <w:pPr>
        <w:spacing w:after="0" w:line="31" w:lineRule="exact"/>
        <w:rPr>
          <w:sz w:val="20"/>
          <w:szCs w:val="20"/>
          <w:color w:val="auto"/>
        </w:rPr>
      </w:pPr>
    </w:p>
    <w:p>
      <w:pPr>
        <w:ind w:left="6740"/>
        <w:spacing w:after="0"/>
        <w:rPr>
          <w:sz w:val="20"/>
          <w:szCs w:val="20"/>
          <w:color w:val="auto"/>
        </w:rPr>
      </w:pPr>
      <w:r>
        <w:rPr>
          <w:rFonts w:ascii="Courier New" w:cs="Courier New" w:eastAsia="Courier New" w:hAnsi="Courier New"/>
          <w:sz w:val="18"/>
          <w:szCs w:val="18"/>
          <w:color w:val="auto"/>
        </w:rPr>
        <w:t>(B) [ ]</w:t>
      </w:r>
    </w:p>
    <w:p>
      <w:pPr>
        <w:spacing w:after="0" w:line="169" w:lineRule="exact"/>
        <w:rPr>
          <w:sz w:val="20"/>
          <w:szCs w:val="20"/>
          <w:color w:val="auto"/>
        </w:rPr>
      </w:pPr>
    </w:p>
    <w:p>
      <w:pPr>
        <w:ind w:left="540" w:hanging="321"/>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740" w:right="5899" w:hanging="521"/>
        <w:spacing w:after="0" w:line="347" w:lineRule="auto"/>
        <w:tabs>
          <w:tab w:leader="none" w:pos="529"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State of Delaware</w:t>
      </w:r>
    </w:p>
    <w:p>
      <w:pPr>
        <w:spacing w:after="0" w:line="17"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60" w:type="dxa"/>
            <w:vAlign w:val="bottom"/>
          </w:tcPr>
          <w:p>
            <w:pPr>
              <w:spacing w:after="0"/>
              <w:rPr>
                <w:sz w:val="17"/>
                <w:szCs w:val="17"/>
                <w:color w:val="auto"/>
              </w:rPr>
            </w:pPr>
          </w:p>
        </w:tc>
        <w:tc>
          <w:tcPr>
            <w:tcW w:w="2220" w:type="dxa"/>
            <w:vAlign w:val="bottom"/>
            <w:gridSpan w:val="2"/>
          </w:tcPr>
          <w:p>
            <w:pPr>
              <w:ind w:left="260"/>
              <w:spacing w:after="0"/>
              <w:rPr>
                <w:sz w:val="20"/>
                <w:szCs w:val="20"/>
                <w:color w:val="auto"/>
              </w:rPr>
            </w:pPr>
            <w:r>
              <w:rPr>
                <w:rFonts w:ascii="Courier New" w:cs="Courier New" w:eastAsia="Courier New" w:hAnsi="Courier New"/>
                <w:sz w:val="18"/>
                <w:szCs w:val="18"/>
                <w:color w:val="auto"/>
              </w:rPr>
              <w:t>NUMBER OF SHARES</w:t>
            </w:r>
          </w:p>
        </w:tc>
        <w:tc>
          <w:tcPr>
            <w:tcW w:w="6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5.</w:t>
            </w:r>
          </w:p>
        </w:tc>
        <w:tc>
          <w:tcPr>
            <w:tcW w:w="2960" w:type="dxa"/>
            <w:vAlign w:val="bottom"/>
          </w:tcPr>
          <w:p>
            <w:pPr>
              <w:ind w:left="160"/>
              <w:spacing w:after="0"/>
              <w:rPr>
                <w:sz w:val="20"/>
                <w:szCs w:val="20"/>
                <w:color w:val="auto"/>
              </w:rPr>
            </w:pPr>
            <w:r>
              <w:rPr>
                <w:rFonts w:ascii="Courier New" w:cs="Courier New" w:eastAsia="Courier New" w:hAnsi="Courier New"/>
                <w:sz w:val="18"/>
                <w:szCs w:val="18"/>
                <w:color w:val="auto"/>
              </w:rPr>
              <w:t>SOLE VOTING POWER</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43,268,687</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BENEFICIALLY</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6.</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VOTING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17,600,519</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OWNED AS OF</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6"/>
              </w:rPr>
              <w:t>June 30, 2003</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7.</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SOLE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w w:val="96"/>
              </w:rPr>
              <w:t>96,629,008</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5"/>
              </w:rPr>
              <w:t>BY EACH</w:t>
            </w:r>
          </w:p>
        </w:tc>
        <w:tc>
          <w:tcPr>
            <w:tcW w:w="38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2960" w:type="dxa"/>
            <w:vAlign w:val="bottom"/>
            <w:vMerge w:val="continue"/>
          </w:tcPr>
          <w:p>
            <w:pPr>
              <w:spacing w:after="0"/>
              <w:rPr>
                <w:sz w:val="17"/>
                <w:szCs w:val="17"/>
                <w:color w:val="auto"/>
              </w:rPr>
            </w:pPr>
          </w:p>
        </w:tc>
        <w:tc>
          <w:tcPr>
            <w:tcW w:w="13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center"/>
              <w:ind w:left="392"/>
              <w:spacing w:after="0" w:line="203" w:lineRule="exact"/>
              <w:rPr>
                <w:sz w:val="20"/>
                <w:szCs w:val="20"/>
                <w:color w:val="auto"/>
              </w:rPr>
            </w:pPr>
            <w:r>
              <w:rPr>
                <w:rFonts w:ascii="Courier New" w:cs="Courier New" w:eastAsia="Courier New" w:hAnsi="Courier New"/>
                <w:sz w:val="18"/>
                <w:szCs w:val="18"/>
                <w:color w:val="auto"/>
                <w:w w:val="98"/>
              </w:rPr>
              <w:t>REPORTING</w:t>
            </w:r>
          </w:p>
        </w:tc>
        <w:tc>
          <w:tcPr>
            <w:tcW w:w="380" w:type="dxa"/>
            <w:vAlign w:val="bottom"/>
          </w:tcPr>
          <w:p>
            <w:pPr>
              <w:spacing w:after="0"/>
              <w:rPr>
                <w:sz w:val="17"/>
                <w:szCs w:val="17"/>
                <w:color w:val="auto"/>
              </w:rPr>
            </w:pPr>
          </w:p>
        </w:tc>
        <w:tc>
          <w:tcPr>
            <w:tcW w:w="6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2960" w:type="dxa"/>
            <w:vAlign w:val="bottom"/>
            <w:vMerge w:val="restart"/>
          </w:tcPr>
          <w:p>
            <w:pPr>
              <w:ind w:left="160"/>
              <w:spacing w:after="0"/>
              <w:rPr>
                <w:sz w:val="20"/>
                <w:szCs w:val="20"/>
                <w:color w:val="auto"/>
              </w:rPr>
            </w:pPr>
            <w:r>
              <w:rPr>
                <w:rFonts w:ascii="Courier New" w:cs="Courier New" w:eastAsia="Courier New" w:hAnsi="Courier New"/>
                <w:sz w:val="18"/>
                <w:szCs w:val="18"/>
                <w:color w:val="auto"/>
              </w:rPr>
              <w:t>SHARED DISPOSITIVE POWER</w:t>
            </w:r>
          </w:p>
        </w:tc>
        <w:tc>
          <w:tcPr>
            <w:tcW w:w="1320" w:type="dxa"/>
            <w:vAlign w:val="bottom"/>
            <w:vMerge w:val="restart"/>
          </w:tcPr>
          <w:p>
            <w:pPr>
              <w:ind w:left="260"/>
              <w:spacing w:after="0"/>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PERSON WITH:</w:t>
            </w:r>
          </w:p>
        </w:tc>
        <w:tc>
          <w:tcPr>
            <w:tcW w:w="380" w:type="dxa"/>
            <w:vAlign w:val="bottom"/>
          </w:tcPr>
          <w:p>
            <w:pPr>
              <w:spacing w:after="0"/>
              <w:rPr>
                <w:sz w:val="24"/>
                <w:szCs w:val="24"/>
                <w:color w:val="auto"/>
              </w:rPr>
            </w:pPr>
          </w:p>
        </w:tc>
        <w:tc>
          <w:tcPr>
            <w:tcW w:w="620" w:type="dxa"/>
            <w:vAlign w:val="bottom"/>
            <w:vMerge w:val="continue"/>
          </w:tcPr>
          <w:p>
            <w:pPr>
              <w:spacing w:after="0"/>
              <w:rPr>
                <w:sz w:val="24"/>
                <w:szCs w:val="24"/>
                <w:color w:val="auto"/>
              </w:rPr>
            </w:pPr>
          </w:p>
        </w:tc>
        <w:tc>
          <w:tcPr>
            <w:tcW w:w="2960" w:type="dxa"/>
            <w:vAlign w:val="bottom"/>
            <w:vMerge w:val="continue"/>
          </w:tcPr>
          <w:p>
            <w:pPr>
              <w:spacing w:after="0"/>
              <w:rPr>
                <w:sz w:val="24"/>
                <w:szCs w:val="24"/>
                <w:color w:val="auto"/>
              </w:rPr>
            </w:pPr>
          </w:p>
        </w:tc>
        <w:tc>
          <w:tcPr>
            <w:tcW w:w="13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514"/>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AGGREGATE AMOUNT</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BENEFICIALLY OWNED BY EACH</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w w:val="96"/>
              </w:rPr>
              <w:t>96,733,964</w:t>
            </w:r>
          </w:p>
        </w:tc>
        <w:tc>
          <w:tcPr>
            <w:tcW w:w="0" w:type="dxa"/>
            <w:vAlign w:val="bottom"/>
          </w:tcPr>
          <w:p>
            <w:pPr>
              <w:spacing w:after="0"/>
              <w:rPr>
                <w:sz w:val="1"/>
                <w:szCs w:val="1"/>
                <w:color w:val="auto"/>
              </w:rPr>
            </w:pPr>
          </w:p>
        </w:tc>
      </w:tr>
      <w:tr>
        <w:trPr>
          <w:trHeight w:val="203"/>
        </w:trPr>
        <w:tc>
          <w:tcPr>
            <w:tcW w:w="360" w:type="dxa"/>
            <w:vAlign w:val="bottom"/>
          </w:tcPr>
          <w:p>
            <w:pPr>
              <w:spacing w:after="0"/>
              <w:rPr>
                <w:sz w:val="17"/>
                <w:szCs w:val="17"/>
                <w:color w:val="auto"/>
              </w:rPr>
            </w:pPr>
          </w:p>
        </w:tc>
        <w:tc>
          <w:tcPr>
            <w:tcW w:w="1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REPORTING PERSON</w:t>
            </w:r>
          </w:p>
        </w:tc>
        <w:tc>
          <w:tcPr>
            <w:tcW w:w="3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7120" w:type="dxa"/>
            <w:vAlign w:val="bottom"/>
            <w:gridSpan w:val="5"/>
          </w:tcPr>
          <w:p>
            <w:pPr>
              <w:ind w:left="60"/>
              <w:spacing w:after="0"/>
              <w:rPr>
                <w:sz w:val="20"/>
                <w:szCs w:val="20"/>
                <w:color w:val="auto"/>
              </w:rPr>
            </w:pPr>
            <w:r>
              <w:rPr>
                <w:rFonts w:ascii="Courier New" w:cs="Courier New" w:eastAsia="Courier New" w:hAnsi="Courier New"/>
                <w:sz w:val="18"/>
                <w:szCs w:val="18"/>
                <w:color w:val="auto"/>
              </w:rPr>
              <w:t>(Not to be construed as an admission of beneficial ownership)</w:t>
            </w:r>
          </w:p>
        </w:tc>
        <w:tc>
          <w:tcPr>
            <w:tcW w:w="0" w:type="dxa"/>
            <w:vAlign w:val="bottom"/>
          </w:tcPr>
          <w:p>
            <w:pPr>
              <w:spacing w:after="0"/>
              <w:rPr>
                <w:sz w:val="1"/>
                <w:szCs w:val="1"/>
                <w:color w:val="auto"/>
              </w:rPr>
            </w:pPr>
          </w:p>
        </w:tc>
      </w:tr>
      <w:tr>
        <w:trPr>
          <w:trHeight w:val="311"/>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10.</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CHECK BOX IF THE</w:t>
            </w:r>
          </w:p>
        </w:tc>
        <w:tc>
          <w:tcPr>
            <w:tcW w:w="5280" w:type="dxa"/>
            <w:vAlign w:val="bottom"/>
            <w:gridSpan w:val="4"/>
          </w:tcPr>
          <w:p>
            <w:pPr>
              <w:spacing w:after="0"/>
              <w:rPr>
                <w:sz w:val="20"/>
                <w:szCs w:val="20"/>
                <w:color w:val="auto"/>
              </w:rPr>
            </w:pPr>
            <w:r>
              <w:rPr>
                <w:rFonts w:ascii="Courier New" w:cs="Courier New" w:eastAsia="Courier New" w:hAnsi="Courier New"/>
                <w:sz w:val="18"/>
                <w:szCs w:val="18"/>
                <w:color w:val="auto"/>
              </w:rPr>
              <w:t>AGGREGATE AMOUNT IN ROW (9) EXCLUDES CERTAIN</w:t>
            </w:r>
          </w:p>
        </w:tc>
        <w:tc>
          <w:tcPr>
            <w:tcW w:w="0" w:type="dxa"/>
            <w:vAlign w:val="bottom"/>
          </w:tcPr>
          <w:p>
            <w:pPr>
              <w:spacing w:after="0"/>
              <w:rPr>
                <w:sz w:val="1"/>
                <w:szCs w:val="1"/>
                <w:color w:val="auto"/>
              </w:rPr>
            </w:pPr>
          </w:p>
        </w:tc>
      </w:tr>
      <w:tr>
        <w:trPr>
          <w:trHeight w:val="296"/>
        </w:trPr>
        <w:tc>
          <w:tcPr>
            <w:tcW w:w="360" w:type="dxa"/>
            <w:vAlign w:val="bottom"/>
          </w:tcPr>
          <w:p>
            <w:pPr>
              <w:spacing w:after="0"/>
              <w:rPr>
                <w:sz w:val="24"/>
                <w:szCs w:val="24"/>
                <w:color w:val="auto"/>
              </w:rPr>
            </w:pPr>
          </w:p>
        </w:tc>
        <w:tc>
          <w:tcPr>
            <w:tcW w:w="1840" w:type="dxa"/>
            <w:vAlign w:val="bottom"/>
          </w:tcPr>
          <w:p>
            <w:pPr>
              <w:ind w:left="60"/>
              <w:spacing w:after="0"/>
              <w:rPr>
                <w:sz w:val="20"/>
                <w:szCs w:val="20"/>
                <w:color w:val="auto"/>
              </w:rPr>
            </w:pPr>
            <w:r>
              <w:rPr>
                <w:rFonts w:ascii="Courier New" w:cs="Courier New" w:eastAsia="Courier New" w:hAnsi="Courier New"/>
                <w:sz w:val="18"/>
                <w:szCs w:val="18"/>
                <w:color w:val="auto"/>
              </w:rPr>
              <w:t>SHARES *</w:t>
            </w:r>
          </w:p>
        </w:tc>
        <w:tc>
          <w:tcPr>
            <w:tcW w:w="3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960" w:type="dxa"/>
            <w:vAlign w:val="bottom"/>
          </w:tcPr>
          <w:p>
            <w:pPr>
              <w:spacing w:after="0"/>
              <w:rPr>
                <w:sz w:val="24"/>
                <w:szCs w:val="24"/>
                <w:color w:val="auto"/>
              </w:rPr>
            </w:pPr>
          </w:p>
        </w:tc>
        <w:tc>
          <w:tcPr>
            <w:tcW w:w="1320" w:type="dxa"/>
            <w:vAlign w:val="bottom"/>
          </w:tcPr>
          <w:p>
            <w:pPr>
              <w:ind w:left="580"/>
              <w:spacing w:after="0"/>
              <w:rPr>
                <w:sz w:val="20"/>
                <w:szCs w:val="20"/>
                <w:color w:val="auto"/>
              </w:rPr>
            </w:pPr>
            <w:r>
              <w:rPr>
                <w:rFonts w:ascii="Courier New" w:cs="Courier New" w:eastAsia="Courier New" w:hAnsi="Courier New"/>
                <w:sz w:val="18"/>
                <w:szCs w:val="18"/>
                <w:color w:val="auto"/>
              </w:rPr>
              <w:t>| |</w:t>
            </w:r>
          </w:p>
        </w:tc>
        <w:tc>
          <w:tcPr>
            <w:tcW w:w="0" w:type="dxa"/>
            <w:vAlign w:val="bottom"/>
          </w:tcPr>
          <w:p>
            <w:pPr>
              <w:spacing w:after="0"/>
              <w:rPr>
                <w:sz w:val="1"/>
                <w:szCs w:val="1"/>
                <w:color w:val="auto"/>
              </w:rPr>
            </w:pPr>
          </w:p>
        </w:tc>
      </w:tr>
      <w:tr>
        <w:trPr>
          <w:trHeight w:val="608"/>
        </w:trPr>
        <w:tc>
          <w:tcPr>
            <w:tcW w:w="360" w:type="dxa"/>
            <w:vAlign w:val="bottom"/>
          </w:tcPr>
          <w:p>
            <w:pPr>
              <w:jc w:val="right"/>
              <w:spacing w:after="0"/>
              <w:rPr>
                <w:sz w:val="20"/>
                <w:szCs w:val="20"/>
                <w:color w:val="auto"/>
              </w:rPr>
            </w:pPr>
            <w:r>
              <w:rPr>
                <w:rFonts w:ascii="Courier New" w:cs="Courier New" w:eastAsia="Courier New" w:hAnsi="Courier New"/>
                <w:sz w:val="18"/>
                <w:szCs w:val="18"/>
                <w:color w:val="auto"/>
                <w:w w:val="86"/>
              </w:rPr>
              <w:t>11.</w:t>
            </w:r>
          </w:p>
        </w:tc>
        <w:tc>
          <w:tcPr>
            <w:tcW w:w="1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PERCENT OF CLASS</w:t>
            </w:r>
          </w:p>
        </w:tc>
        <w:tc>
          <w:tcPr>
            <w:tcW w:w="3960" w:type="dxa"/>
            <w:vAlign w:val="bottom"/>
            <w:gridSpan w:val="3"/>
          </w:tcPr>
          <w:p>
            <w:pPr>
              <w:spacing w:after="0"/>
              <w:rPr>
                <w:sz w:val="20"/>
                <w:szCs w:val="20"/>
                <w:color w:val="auto"/>
              </w:rPr>
            </w:pPr>
            <w:r>
              <w:rPr>
                <w:rFonts w:ascii="Courier New" w:cs="Courier New" w:eastAsia="Courier New" w:hAnsi="Courier New"/>
                <w:sz w:val="18"/>
                <w:szCs w:val="18"/>
                <w:color w:val="auto"/>
              </w:rPr>
              <w:t>REPRESENTED BY AMOUNT IN ROW 9</w:t>
            </w:r>
          </w:p>
        </w:tc>
        <w:tc>
          <w:tcPr>
            <w:tcW w:w="1320" w:type="dxa"/>
            <w:vAlign w:val="bottom"/>
          </w:tcPr>
          <w:p>
            <w:pPr>
              <w:ind w:left="260"/>
              <w:spacing w:after="0"/>
              <w:rPr>
                <w:sz w:val="20"/>
                <w:szCs w:val="20"/>
                <w:color w:val="auto"/>
              </w:rPr>
            </w:pPr>
            <w:r>
              <w:rPr>
                <w:rFonts w:ascii="Courier New" w:cs="Courier New" w:eastAsia="Courier New" w:hAnsi="Courier New"/>
                <w:sz w:val="18"/>
                <w:szCs w:val="18"/>
                <w:color w:val="auto"/>
              </w:rPr>
              <w:t>10.9%</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left="740" w:right="6939" w:hanging="627"/>
        <w:spacing w:after="0" w:line="347" w:lineRule="auto"/>
        <w:tabs>
          <w:tab w:leader="none" w:pos="529"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 HC</w:t>
      </w:r>
    </w:p>
    <w:p>
      <w:pPr>
        <w:spacing w:after="0" w:line="18" w:lineRule="exact"/>
        <w:rPr>
          <w:rFonts w:ascii="Courier New" w:cs="Courier New" w:eastAsia="Courier New" w:hAnsi="Courier New"/>
          <w:sz w:val="18"/>
          <w:szCs w:val="18"/>
          <w:color w:val="auto"/>
        </w:rPr>
      </w:pPr>
    </w:p>
    <w:p>
      <w:pPr>
        <w:ind w:left="2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 SEE INSTRUCTIONS BEFORE FILLING OUT!</w:t>
      </w:r>
    </w:p>
    <w:p>
      <w:pPr>
        <w:sectPr>
          <w:pgSz w:w="11900" w:h="16838" w:orient="portrait"/>
          <w:cols w:equalWidth="0" w:num="1">
            <w:col w:w="10219"/>
          </w:cols>
          <w:pgMar w:left="240" w:top="691" w:right="1440" w:bottom="1440" w:gutter="0" w:footer="0" w:header="0"/>
          <w:type w:val="continuous"/>
        </w:sectPr>
      </w:pPr>
    </w:p>
    <w:bookmarkStart w:id="6" w:name="page7"/>
    <w:bookmarkEnd w:id="6"/>
    <w:p>
      <w:pPr>
        <w:jc w:val="both"/>
        <w:ind w:left="3700"/>
        <w:spacing w:after="0"/>
        <w:tabs>
          <w:tab w:leader="none" w:pos="6200" w:val="left"/>
        </w:tabs>
        <w:rPr>
          <w:sz w:val="20"/>
          <w:szCs w:val="20"/>
          <w:color w:val="auto"/>
        </w:rPr>
      </w:pPr>
      <w:r>
        <w:rPr>
          <w:rFonts w:ascii="Courier New" w:cs="Courier New" w:eastAsia="Courier New" w:hAnsi="Courier New"/>
          <w:sz w:val="18"/>
          <w:szCs w:val="18"/>
          <w:color w:val="auto"/>
        </w:rPr>
        <w:t>13G</w:t>
      </w:r>
      <w:r>
        <w:rPr>
          <w:sz w:val="20"/>
          <w:szCs w:val="20"/>
          <w:color w:val="auto"/>
        </w:rPr>
        <w:tab/>
      </w:r>
      <w:r>
        <w:rPr>
          <w:rFonts w:ascii="Courier New" w:cs="Courier New" w:eastAsia="Courier New" w:hAnsi="Courier New"/>
          <w:sz w:val="18"/>
          <w:szCs w:val="18"/>
          <w:color w:val="auto"/>
        </w:rPr>
        <w:t>Page 7 of 12 Pages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COMCAST CORP NEW</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1500 Market Street</w:t>
      </w:r>
    </w:p>
    <w:p>
      <w:pPr>
        <w:ind w:left="1060"/>
        <w:spacing w:after="0"/>
        <w:tabs>
          <w:tab w:leader="none" w:pos="2620" w:val="left"/>
        </w:tabs>
        <w:rPr>
          <w:sz w:val="20"/>
          <w:szCs w:val="20"/>
          <w:color w:val="auto"/>
        </w:rPr>
      </w:pPr>
      <w:r>
        <w:rPr>
          <w:rFonts w:ascii="Courier New" w:cs="Courier New" w:eastAsia="Courier New" w:hAnsi="Courier New"/>
          <w:sz w:val="18"/>
          <w:szCs w:val="18"/>
          <w:color w:val="auto"/>
        </w:rPr>
        <w:t>Philadelphia,</w:t>
        <w:tab/>
        <w:t>PA 19102</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2(a) and (b)</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Name of Person Filing and Address of Principal</w:t>
      </w:r>
    </w:p>
    <w:p>
      <w:pPr>
        <w:spacing w:after="0"/>
        <w:rPr>
          <w:sz w:val="20"/>
          <w:szCs w:val="20"/>
          <w:color w:val="auto"/>
        </w:rPr>
      </w:pPr>
      <w:r>
        <w:rPr>
          <w:rFonts w:ascii="Courier New" w:cs="Courier New" w:eastAsia="Courier New" w:hAnsi="Courier New"/>
          <w:sz w:val="18"/>
          <w:szCs w:val="18"/>
          <w:color w:val="auto"/>
        </w:rPr>
        <w:t>Business Office: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I.A.R.D Mutuelle, and</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Assurances Vie Mutuelle,</w:t>
      </w:r>
    </w:p>
    <w:p>
      <w:pPr>
        <w:ind w:left="1060"/>
        <w:spacing w:after="0" w:line="238" w:lineRule="auto"/>
        <w:rPr>
          <w:sz w:val="20"/>
          <w:szCs w:val="20"/>
          <w:color w:val="auto"/>
        </w:rPr>
      </w:pPr>
      <w:r>
        <w:rPr>
          <w:rFonts w:ascii="Courier New" w:cs="Courier New" w:eastAsia="Courier New" w:hAnsi="Courier New"/>
          <w:sz w:val="18"/>
          <w:szCs w:val="18"/>
          <w:color w:val="auto"/>
        </w:rPr>
        <w:t>370, rue Saint Honore</w:t>
      </w:r>
    </w:p>
    <w:p>
      <w:pPr>
        <w:ind w:left="1060"/>
        <w:spacing w:after="0"/>
        <w:rPr>
          <w:sz w:val="20"/>
          <w:szCs w:val="20"/>
          <w:color w:val="auto"/>
        </w:rPr>
      </w:pPr>
      <w:r>
        <w:rPr>
          <w:rFonts w:ascii="Courier New" w:cs="Courier New" w:eastAsia="Courier New" w:hAnsi="Courier New"/>
          <w:sz w:val="18"/>
          <w:szCs w:val="18"/>
          <w:color w:val="auto"/>
        </w:rPr>
        <w:t>75001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Courtage Assurance Mutuelle</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26, rue Louis le Grand</w:t>
      </w:r>
    </w:p>
    <w:p>
      <w:pPr>
        <w:ind w:left="1060"/>
        <w:spacing w:after="0"/>
        <w:rPr>
          <w:sz w:val="20"/>
          <w:szCs w:val="20"/>
          <w:color w:val="auto"/>
        </w:rPr>
      </w:pPr>
      <w:r>
        <w:rPr>
          <w:rFonts w:ascii="Courier New" w:cs="Courier New" w:eastAsia="Courier New" w:hAnsi="Courier New"/>
          <w:sz w:val="18"/>
          <w:szCs w:val="18"/>
          <w:color w:val="auto"/>
        </w:rPr>
        <w:t>75002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as a group (collectively, the 'Mutuelles AXA').</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25, avenue Matignon</w:t>
      </w:r>
    </w:p>
    <w:p>
      <w:pPr>
        <w:ind w:left="1060"/>
        <w:spacing w:after="0"/>
        <w:rPr>
          <w:sz w:val="20"/>
          <w:szCs w:val="20"/>
          <w:color w:val="auto"/>
        </w:rPr>
      </w:pPr>
      <w:r>
        <w:rPr>
          <w:rFonts w:ascii="Courier New" w:cs="Courier New" w:eastAsia="Courier New" w:hAnsi="Courier New"/>
          <w:sz w:val="18"/>
          <w:szCs w:val="18"/>
          <w:color w:val="auto"/>
        </w:rPr>
        <w:t>75008 Paris, France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1290 Avenue of the Americas</w:t>
      </w:r>
    </w:p>
    <w:p>
      <w:pPr>
        <w:ind w:left="1060"/>
        <w:spacing w:after="0"/>
        <w:rPr>
          <w:sz w:val="20"/>
          <w:szCs w:val="20"/>
          <w:color w:val="auto"/>
        </w:rPr>
      </w:pPr>
      <w:r>
        <w:rPr>
          <w:rFonts w:ascii="Courier New" w:cs="Courier New" w:eastAsia="Courier New" w:hAnsi="Courier New"/>
          <w:sz w:val="18"/>
          <w:szCs w:val="18"/>
          <w:color w:val="auto"/>
        </w:rPr>
        <w:t>New York, New York 10104</w:t>
      </w:r>
    </w:p>
    <w:p>
      <w:pPr>
        <w:spacing w:after="0" w:line="169"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(Please contact Dean Dubovy at (212) 314-5528 with any</w:t>
      </w:r>
    </w:p>
    <w:p>
      <w:pPr>
        <w:sectPr>
          <w:pgSz w:w="11900" w:h="16838" w:orient="portrait"/>
          <w:cols w:equalWidth="0" w:num="1">
            <w:col w:w="10219"/>
          </w:cols>
          <w:pgMar w:left="240" w:top="691" w:right="1440"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96"/>
        </w:trPr>
        <w:tc>
          <w:tcPr>
            <w:tcW w:w="3320" w:type="dxa"/>
            <w:vAlign w:val="bottom"/>
            <w:vMerge w:val="restart"/>
          </w:tcPr>
          <w:p>
            <w:pPr>
              <w:spacing w:after="0"/>
              <w:rPr>
                <w:sz w:val="20"/>
                <w:szCs w:val="20"/>
                <w:color w:val="auto"/>
              </w:rPr>
            </w:pPr>
            <w:r>
              <w:rPr>
                <w:rFonts w:ascii="Courier New" w:cs="Courier New" w:eastAsia="Courier New" w:hAnsi="Courier New"/>
                <w:sz w:val="18"/>
                <w:szCs w:val="18"/>
                <w:color w:val="auto"/>
              </w:rPr>
              <w:t>Item 2(c) Citizenship:</w:t>
            </w:r>
          </w:p>
        </w:tc>
        <w:tc>
          <w:tcPr>
            <w:tcW w:w="1900" w:type="dxa"/>
            <w:vAlign w:val="bottom"/>
          </w:tcPr>
          <w:p>
            <w:pPr>
              <w:ind w:left="380"/>
              <w:spacing w:after="0"/>
              <w:rPr>
                <w:sz w:val="20"/>
                <w:szCs w:val="20"/>
                <w:color w:val="auto"/>
              </w:rPr>
            </w:pPr>
            <w:r>
              <w:rPr>
                <w:rFonts w:ascii="Courier New" w:cs="Courier New" w:eastAsia="Courier New" w:hAnsi="Courier New"/>
                <w:sz w:val="18"/>
                <w:szCs w:val="18"/>
                <w:color w:val="auto"/>
              </w:rPr>
              <w:t>13G</w:t>
            </w:r>
          </w:p>
        </w:tc>
        <w:tc>
          <w:tcPr>
            <w:tcW w:w="2900" w:type="dxa"/>
            <w:vAlign w:val="bottom"/>
          </w:tcPr>
          <w:p>
            <w:pPr>
              <w:ind w:left="1000"/>
              <w:spacing w:after="0"/>
              <w:rPr>
                <w:sz w:val="20"/>
                <w:szCs w:val="20"/>
                <w:color w:val="auto"/>
              </w:rPr>
            </w:pPr>
            <w:r>
              <w:rPr>
                <w:rFonts w:ascii="Courier New" w:cs="Courier New" w:eastAsia="Courier New" w:hAnsi="Courier New"/>
                <w:sz w:val="18"/>
                <w:szCs w:val="18"/>
                <w:color w:val="auto"/>
                <w:w w:val="96"/>
              </w:rPr>
              <w:t>Page 8 of 12 Pages</w:t>
            </w:r>
          </w:p>
        </w:tc>
        <w:tc>
          <w:tcPr>
            <w:tcW w:w="0" w:type="dxa"/>
            <w:vAlign w:val="bottom"/>
          </w:tcPr>
          <w:p>
            <w:pPr>
              <w:spacing w:after="0"/>
              <w:rPr>
                <w:sz w:val="1"/>
                <w:szCs w:val="1"/>
                <w:color w:val="auto"/>
              </w:rPr>
            </w:pPr>
          </w:p>
        </w:tc>
      </w:tr>
      <w:tr>
        <w:trPr>
          <w:trHeight w:val="109"/>
        </w:trPr>
        <w:tc>
          <w:tcPr>
            <w:tcW w:w="3320" w:type="dxa"/>
            <w:vAlign w:val="bottom"/>
            <w:vMerge w:val="continue"/>
          </w:tcPr>
          <w:p>
            <w:pPr>
              <w:spacing w:after="0"/>
              <w:rPr>
                <w:sz w:val="9"/>
                <w:szCs w:val="9"/>
                <w:color w:val="auto"/>
              </w:rPr>
            </w:pPr>
          </w:p>
        </w:tc>
        <w:tc>
          <w:tcPr>
            <w:tcW w:w="1900" w:type="dxa"/>
            <w:vAlign w:val="bottom"/>
            <w:vMerge w:val="restart"/>
          </w:tcPr>
          <w:p>
            <w:pPr>
              <w:ind w:left="60"/>
              <w:spacing w:after="0"/>
              <w:rPr>
                <w:sz w:val="20"/>
                <w:szCs w:val="20"/>
                <w:color w:val="auto"/>
              </w:rPr>
            </w:pPr>
            <w:r>
              <w:rPr>
                <w:rFonts w:ascii="Courier New" w:cs="Courier New" w:eastAsia="Courier New" w:hAnsi="Courier New"/>
                <w:sz w:val="18"/>
                <w:szCs w:val="18"/>
                <w:color w:val="auto"/>
              </w:rPr>
              <w:t>- France</w:t>
            </w:r>
          </w:p>
        </w:tc>
        <w:tc>
          <w:tcPr>
            <w:tcW w:w="2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332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w w:val="98"/>
              </w:rPr>
              <w:t>Mutuelles AXA and AXA</w:t>
            </w:r>
          </w:p>
        </w:tc>
        <w:tc>
          <w:tcPr>
            <w:tcW w:w="1900" w:type="dxa"/>
            <w:vAlign w:val="bottom"/>
            <w:vMerge w:val="continue"/>
          </w:tcPr>
          <w:p>
            <w:pPr>
              <w:spacing w:after="0"/>
              <w:rPr>
                <w:sz w:val="17"/>
                <w:szCs w:val="17"/>
                <w:color w:val="auto"/>
              </w:rPr>
            </w:pPr>
          </w:p>
        </w:tc>
        <w:tc>
          <w:tcPr>
            <w:tcW w:w="2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3320" w:type="dxa"/>
            <w:vAlign w:val="bottom"/>
          </w:tcPr>
          <w:p>
            <w:pPr>
              <w:ind w:left="1060"/>
              <w:spacing w:after="0"/>
              <w:rPr>
                <w:sz w:val="20"/>
                <w:szCs w:val="20"/>
                <w:color w:val="auto"/>
              </w:rPr>
            </w:pPr>
            <w:r>
              <w:rPr>
                <w:rFonts w:ascii="Courier New" w:cs="Courier New" w:eastAsia="Courier New" w:hAnsi="Courier New"/>
                <w:sz w:val="18"/>
                <w:szCs w:val="18"/>
                <w:color w:val="auto"/>
                <w:w w:val="98"/>
              </w:rPr>
              <w:t>AXA Financial, Inc. -</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Delaware</w:t>
            </w: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20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CL A SPL</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2(e) Cusip Number:</w:t>
      </w:r>
    </w:p>
    <w:p>
      <w:pPr>
        <w:spacing w:after="0" w:line="31"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20030N200</w:t>
      </w:r>
    </w:p>
    <w:p>
      <w:pPr>
        <w:spacing w:after="0" w:line="169"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Type of Reporting Person:</w:t>
      </w:r>
    </w:p>
    <w:p>
      <w:pPr>
        <w:spacing w:after="0" w:line="29"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Financial, Inc. as a parent holding company,</w:t>
      </w:r>
    </w:p>
    <w:p>
      <w:pPr>
        <w:ind w:left="1380"/>
        <w:spacing w:after="0"/>
        <w:rPr>
          <w:sz w:val="20"/>
          <w:szCs w:val="20"/>
          <w:color w:val="auto"/>
        </w:rPr>
      </w:pPr>
      <w:r>
        <w:rPr>
          <w:rFonts w:ascii="Courier New" w:cs="Courier New" w:eastAsia="Courier New" w:hAnsi="Courier New"/>
          <w:sz w:val="18"/>
          <w:szCs w:val="18"/>
          <w:color w:val="auto"/>
        </w:rPr>
        <w:t>in accordance with 240.13d-1(b)(ii)(G).</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The Mutuelles AXA, as a group, acting as a parent holding company.</w:t>
      </w:r>
    </w:p>
    <w:p>
      <w:pPr>
        <w:spacing w:after="0" w:line="224" w:lineRule="exact"/>
        <w:rPr>
          <w:sz w:val="20"/>
          <w:szCs w:val="20"/>
          <w:color w:val="auto"/>
        </w:rPr>
      </w:pPr>
    </w:p>
    <w:p>
      <w:pPr>
        <w:ind w:left="1060"/>
        <w:spacing w:after="0"/>
        <w:rPr>
          <w:sz w:val="20"/>
          <w:szCs w:val="20"/>
          <w:color w:val="auto"/>
        </w:rPr>
      </w:pPr>
      <w:r>
        <w:rPr>
          <w:rFonts w:ascii="Courier New" w:cs="Courier New" w:eastAsia="Courier New" w:hAnsi="Courier New"/>
          <w:sz w:val="18"/>
          <w:szCs w:val="18"/>
          <w:color w:val="auto"/>
        </w:rPr>
        <w:t>AXA as a parent holding company.</w:t>
      </w:r>
    </w:p>
    <w:p>
      <w:pPr>
        <w:sectPr>
          <w:pgSz w:w="11900" w:h="16838" w:orient="portrait"/>
          <w:cols w:equalWidth="0" w:num="1">
            <w:col w:w="10219"/>
          </w:cols>
          <w:pgMar w:left="240" w:top="691"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96"/>
        </w:trPr>
        <w:tc>
          <w:tcPr>
            <w:tcW w:w="2580" w:type="dxa"/>
            <w:vAlign w:val="bottom"/>
          </w:tcPr>
          <w:p>
            <w:pPr>
              <w:spacing w:after="0"/>
              <w:rPr>
                <w:sz w:val="24"/>
                <w:szCs w:val="24"/>
                <w:color w:val="auto"/>
              </w:rPr>
            </w:pPr>
          </w:p>
        </w:tc>
        <w:tc>
          <w:tcPr>
            <w:tcW w:w="228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13G</w:t>
            </w:r>
          </w:p>
        </w:tc>
        <w:tc>
          <w:tcPr>
            <w:tcW w:w="3260" w:type="dxa"/>
            <w:vAlign w:val="bottom"/>
          </w:tcPr>
          <w:p>
            <w:pPr>
              <w:jc w:val="right"/>
              <w:spacing w:after="0"/>
              <w:rPr>
                <w:sz w:val="20"/>
                <w:szCs w:val="20"/>
                <w:color w:val="auto"/>
              </w:rPr>
            </w:pPr>
            <w:r>
              <w:rPr>
                <w:rFonts w:ascii="Courier New" w:cs="Courier New" w:eastAsia="Courier New" w:hAnsi="Courier New"/>
                <w:sz w:val="18"/>
                <w:szCs w:val="18"/>
                <w:color w:val="auto"/>
              </w:rPr>
              <w:t>Page 9 of 12 Pages</w:t>
            </w:r>
          </w:p>
        </w:tc>
        <w:tc>
          <w:tcPr>
            <w:tcW w:w="0" w:type="dxa"/>
            <w:vAlign w:val="bottom"/>
          </w:tcPr>
          <w:p>
            <w:pPr>
              <w:spacing w:after="0"/>
              <w:rPr>
                <w:sz w:val="1"/>
                <w:szCs w:val="1"/>
                <w:color w:val="auto"/>
              </w:rPr>
            </w:pPr>
          </w:p>
        </w:tc>
      </w:tr>
      <w:tr>
        <w:trPr>
          <w:trHeight w:val="514"/>
        </w:trPr>
        <w:tc>
          <w:tcPr>
            <w:tcW w:w="2580" w:type="dxa"/>
            <w:vAlign w:val="bottom"/>
          </w:tcPr>
          <w:p>
            <w:pPr>
              <w:spacing w:after="0"/>
              <w:rPr>
                <w:sz w:val="20"/>
                <w:szCs w:val="20"/>
                <w:color w:val="auto"/>
              </w:rPr>
            </w:pPr>
            <w:r>
              <w:rPr>
                <w:rFonts w:ascii="Courier New" w:cs="Courier New" w:eastAsia="Courier New" w:hAnsi="Courier New"/>
                <w:sz w:val="18"/>
                <w:szCs w:val="18"/>
                <w:color w:val="auto"/>
              </w:rPr>
              <w:t>Item 4. Ownership as of</w:t>
            </w:r>
          </w:p>
        </w:tc>
        <w:tc>
          <w:tcPr>
            <w:tcW w:w="2280" w:type="dxa"/>
            <w:vAlign w:val="bottom"/>
          </w:tcPr>
          <w:p>
            <w:pPr>
              <w:jc w:val="right"/>
              <w:ind w:right="652"/>
              <w:spacing w:after="0"/>
              <w:rPr>
                <w:sz w:val="20"/>
                <w:szCs w:val="20"/>
                <w:color w:val="auto"/>
              </w:rPr>
            </w:pPr>
            <w:r>
              <w:rPr>
                <w:rFonts w:ascii="Courier New" w:cs="Courier New" w:eastAsia="Courier New" w:hAnsi="Courier New"/>
                <w:sz w:val="18"/>
                <w:szCs w:val="18"/>
                <w:color w:val="auto"/>
              </w:rPr>
              <w:t>June 30, 2003</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jc w:val="right"/>
              <w:ind w:right="752"/>
              <w:spacing w:after="0" w:line="203" w:lineRule="exact"/>
              <w:rPr>
                <w:sz w:val="20"/>
                <w:szCs w:val="20"/>
                <w:color w:val="auto"/>
              </w:rPr>
            </w:pPr>
            <w:r>
              <w:rPr>
                <w:rFonts w:ascii="Courier New" w:cs="Courier New" w:eastAsia="Courier New" w:hAnsi="Courier New"/>
                <w:sz w:val="18"/>
                <w:szCs w:val="18"/>
                <w:color w:val="auto"/>
              </w:rPr>
              <w:t>(a) Amount Beneficially Owned:</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8120" w:type="dxa"/>
            <w:vAlign w:val="bottom"/>
            <w:gridSpan w:val="3"/>
          </w:tcPr>
          <w:p>
            <w:pPr>
              <w:spacing w:after="0"/>
              <w:rPr>
                <w:sz w:val="20"/>
                <w:szCs w:val="20"/>
                <w:color w:val="auto"/>
              </w:rPr>
            </w:pPr>
            <w:r>
              <w:rPr>
                <w:rFonts w:ascii="Courier New" w:cs="Courier New" w:eastAsia="Courier New" w:hAnsi="Courier New"/>
                <w:sz w:val="18"/>
                <w:szCs w:val="18"/>
                <w:color w:val="auto"/>
              </w:rPr>
              <w:t>96,737,283   shares of common stock beneficially owned including:</w:t>
            </w:r>
          </w:p>
        </w:tc>
        <w:tc>
          <w:tcPr>
            <w:tcW w:w="0" w:type="dxa"/>
            <w:vAlign w:val="bottom"/>
          </w:tcPr>
          <w:p>
            <w:pPr>
              <w:spacing w:after="0"/>
              <w:rPr>
                <w:sz w:val="1"/>
                <w:szCs w:val="1"/>
                <w:color w:val="auto"/>
              </w:rPr>
            </w:pPr>
          </w:p>
        </w:tc>
      </w:tr>
      <w:tr>
        <w:trPr>
          <w:trHeight w:val="514"/>
        </w:trPr>
        <w:tc>
          <w:tcPr>
            <w:tcW w:w="2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6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No. of Shares</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The Mutuelles AXA, as a group</w:t>
            </w: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2280" w:type="dxa"/>
            <w:vAlign w:val="bottom"/>
          </w:tcPr>
          <w:p>
            <w:pPr>
              <w:spacing w:after="0"/>
              <w:rPr>
                <w:sz w:val="24"/>
                <w:szCs w:val="24"/>
                <w:color w:val="auto"/>
              </w:rPr>
            </w:pP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Entity or Entities</w:t>
            </w:r>
          </w:p>
        </w:tc>
        <w:tc>
          <w:tcPr>
            <w:tcW w:w="2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81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Common Stock  acquired solely for investment purposes:</w:t>
            </w:r>
          </w:p>
        </w:tc>
        <w:tc>
          <w:tcPr>
            <w:tcW w:w="0" w:type="dxa"/>
            <w:vAlign w:val="bottom"/>
          </w:tcPr>
          <w:p>
            <w:pPr>
              <w:spacing w:after="0"/>
              <w:rPr>
                <w:sz w:val="1"/>
                <w:szCs w:val="1"/>
                <w:color w:val="auto"/>
              </w:rPr>
            </w:pPr>
          </w:p>
        </w:tc>
      </w:tr>
      <w:tr>
        <w:trPr>
          <w:trHeight w:val="296"/>
        </w:trPr>
        <w:tc>
          <w:tcPr>
            <w:tcW w:w="4860" w:type="dxa"/>
            <w:vAlign w:val="bottom"/>
            <w:gridSpan w:val="2"/>
          </w:tcPr>
          <w:p>
            <w:pPr>
              <w:ind w:left="420"/>
              <w:spacing w:after="0"/>
              <w:rPr>
                <w:sz w:val="20"/>
                <w:szCs w:val="20"/>
                <w:color w:val="auto"/>
              </w:rPr>
            </w:pPr>
            <w:r>
              <w:rPr>
                <w:rFonts w:ascii="Courier New" w:cs="Courier New" w:eastAsia="Courier New" w:hAnsi="Courier New"/>
                <w:sz w:val="18"/>
                <w:szCs w:val="18"/>
                <w:color w:val="auto"/>
              </w:rPr>
              <w:t>AXA Investment Managers Den Haag</w:t>
            </w: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3,319</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2280" w:type="dxa"/>
            <w:vAlign w:val="bottom"/>
          </w:tcPr>
          <w:p>
            <w:pPr>
              <w:spacing w:after="0"/>
              <w:rPr>
                <w:sz w:val="24"/>
                <w:szCs w:val="24"/>
                <w:color w:val="auto"/>
              </w:rPr>
            </w:pP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2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Alliance Capital Management L.P.</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acquired solely for investment purposes on</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8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behalf of client discretionary investment</w:t>
            </w:r>
          </w:p>
        </w:tc>
        <w:tc>
          <w:tcPr>
            <w:tcW w:w="3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0"/>
                <w:szCs w:val="20"/>
                <w:color w:val="auto"/>
              </w:rPr>
            </w:pPr>
            <w:r>
              <w:rPr>
                <w:rFonts w:ascii="Courier New" w:cs="Courier New" w:eastAsia="Courier New" w:hAnsi="Courier New"/>
                <w:sz w:val="18"/>
                <w:szCs w:val="18"/>
                <w:color w:val="auto"/>
              </w:rPr>
              <w:t>advisory accounts:</w:t>
            </w:r>
          </w:p>
        </w:tc>
        <w:tc>
          <w:tcPr>
            <w:tcW w:w="228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280" w:type="dxa"/>
            <w:vAlign w:val="bottom"/>
          </w:tcPr>
          <w:p>
            <w:pPr>
              <w:spacing w:after="0"/>
              <w:rPr>
                <w:sz w:val="24"/>
                <w:szCs w:val="24"/>
                <w:color w:val="auto"/>
              </w:rPr>
            </w:pPr>
          </w:p>
        </w:tc>
        <w:tc>
          <w:tcPr>
            <w:tcW w:w="3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95,585,364</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95,585,364</w:t>
            </w:r>
          </w:p>
        </w:tc>
        <w:tc>
          <w:tcPr>
            <w:tcW w:w="0" w:type="dxa"/>
            <w:vAlign w:val="bottom"/>
          </w:tcPr>
          <w:p>
            <w:pPr>
              <w:spacing w:after="0"/>
              <w:rPr>
                <w:sz w:val="1"/>
                <w:szCs w:val="1"/>
                <w:color w:val="auto"/>
              </w:rPr>
            </w:pPr>
          </w:p>
        </w:tc>
      </w:tr>
      <w:tr>
        <w:trPr>
          <w:trHeight w:val="296"/>
        </w:trPr>
        <w:tc>
          <w:tcPr>
            <w:tcW w:w="8120" w:type="dxa"/>
            <w:vAlign w:val="bottom"/>
            <w:gridSpan w:val="3"/>
          </w:tcPr>
          <w:p>
            <w:pPr>
              <w:spacing w:after="0"/>
              <w:rPr>
                <w:sz w:val="20"/>
                <w:szCs w:val="20"/>
                <w:color w:val="auto"/>
              </w:rPr>
            </w:pPr>
            <w:r>
              <w:rPr>
                <w:rFonts w:ascii="Courier New" w:cs="Courier New" w:eastAsia="Courier New" w:hAnsi="Courier New"/>
                <w:sz w:val="18"/>
                <w:szCs w:val="18"/>
                <w:color w:val="auto"/>
              </w:rPr>
              <w:t>The Equitable Life Assurance Society of the United States</w:t>
            </w:r>
          </w:p>
        </w:tc>
        <w:tc>
          <w:tcPr>
            <w:tcW w:w="0" w:type="dxa"/>
            <w:vAlign w:val="bottom"/>
          </w:tcPr>
          <w:p>
            <w:pPr>
              <w:spacing w:after="0"/>
              <w:rPr>
                <w:sz w:val="1"/>
                <w:szCs w:val="1"/>
                <w:color w:val="auto"/>
              </w:rPr>
            </w:pPr>
          </w:p>
        </w:tc>
      </w:tr>
      <w:tr>
        <w:trPr>
          <w:trHeight w:val="405"/>
        </w:trPr>
        <w:tc>
          <w:tcPr>
            <w:tcW w:w="4860" w:type="dxa"/>
            <w:vAlign w:val="bottom"/>
            <w:gridSpan w:val="2"/>
          </w:tcPr>
          <w:p>
            <w:pPr>
              <w:spacing w:after="0"/>
              <w:rPr>
                <w:sz w:val="20"/>
                <w:szCs w:val="20"/>
                <w:color w:val="auto"/>
              </w:rPr>
            </w:pPr>
            <w:r>
              <w:rPr>
                <w:rFonts w:ascii="Courier New" w:cs="Courier New" w:eastAsia="Courier New" w:hAnsi="Courier New"/>
                <w:sz w:val="18"/>
                <w:szCs w:val="18"/>
                <w:color w:val="auto"/>
              </w:rPr>
              <w:t>acquired solely for investment purposes:</w:t>
            </w:r>
          </w:p>
        </w:tc>
        <w:tc>
          <w:tcPr>
            <w:tcW w:w="3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2580" w:type="dxa"/>
            <w:vAlign w:val="bottom"/>
          </w:tcPr>
          <w:p>
            <w:pPr>
              <w:ind w:left="220"/>
              <w:spacing w:after="0"/>
              <w:rPr>
                <w:sz w:val="20"/>
                <w:szCs w:val="20"/>
                <w:color w:val="auto"/>
              </w:rPr>
            </w:pPr>
            <w:r>
              <w:rPr>
                <w:rFonts w:ascii="Courier New" w:cs="Courier New" w:eastAsia="Courier New" w:hAnsi="Courier New"/>
                <w:sz w:val="18"/>
                <w:szCs w:val="18"/>
                <w:color w:val="auto"/>
              </w:rPr>
              <w:t>Common Stock</w:t>
            </w:r>
          </w:p>
        </w:tc>
        <w:tc>
          <w:tcPr>
            <w:tcW w:w="2280" w:type="dxa"/>
            <w:vAlign w:val="bottom"/>
          </w:tcPr>
          <w:p>
            <w:pPr>
              <w:spacing w:after="0"/>
              <w:rPr>
                <w:sz w:val="24"/>
                <w:szCs w:val="24"/>
                <w:color w:val="auto"/>
              </w:rPr>
            </w:pPr>
          </w:p>
        </w:tc>
        <w:tc>
          <w:tcPr>
            <w:tcW w:w="326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1,148,600</w:t>
            </w:r>
          </w:p>
        </w:tc>
        <w:tc>
          <w:tcPr>
            <w:tcW w:w="0" w:type="dxa"/>
            <w:vAlign w:val="bottom"/>
          </w:tcPr>
          <w:p>
            <w:pPr>
              <w:spacing w:after="0"/>
              <w:rPr>
                <w:sz w:val="1"/>
                <w:szCs w:val="1"/>
                <w:color w:val="auto"/>
              </w:rPr>
            </w:pPr>
          </w:p>
        </w:tc>
      </w:tr>
      <w:tr>
        <w:trPr>
          <w:trHeight w:val="311"/>
        </w:trPr>
        <w:tc>
          <w:tcPr>
            <w:tcW w:w="2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1,148,600</w:t>
            </w:r>
          </w:p>
        </w:tc>
        <w:tc>
          <w:tcPr>
            <w:tcW w:w="0" w:type="dxa"/>
            <w:vAlign w:val="bottom"/>
          </w:tcPr>
          <w:p>
            <w:pPr>
              <w:spacing w:after="0"/>
              <w:rPr>
                <w:sz w:val="1"/>
                <w:szCs w:val="1"/>
                <w:color w:val="auto"/>
              </w:rPr>
            </w:pPr>
          </w:p>
        </w:tc>
      </w:tr>
      <w:tr>
        <w:trPr>
          <w:trHeight w:val="203"/>
        </w:trPr>
        <w:tc>
          <w:tcPr>
            <w:tcW w:w="2580" w:type="dxa"/>
            <w:vAlign w:val="bottom"/>
            <w:vMerge w:val="restart"/>
          </w:tcPr>
          <w:p>
            <w:pPr>
              <w:ind w:left="420"/>
              <w:spacing w:after="0"/>
              <w:rPr>
                <w:sz w:val="20"/>
                <w:szCs w:val="20"/>
                <w:color w:val="auto"/>
              </w:rPr>
            </w:pPr>
            <w:r>
              <w:rPr>
                <w:rFonts w:ascii="Courier New" w:cs="Courier New" w:eastAsia="Courier New" w:hAnsi="Courier New"/>
                <w:sz w:val="18"/>
                <w:szCs w:val="18"/>
                <w:color w:val="auto"/>
              </w:rPr>
              <w:t>Total</w:t>
            </w:r>
          </w:p>
        </w:tc>
        <w:tc>
          <w:tcPr>
            <w:tcW w:w="2280" w:type="dxa"/>
            <w:vAlign w:val="bottom"/>
          </w:tcPr>
          <w:p>
            <w:pPr>
              <w:spacing w:after="0"/>
              <w:rPr>
                <w:sz w:val="17"/>
                <w:szCs w:val="17"/>
                <w:color w:val="auto"/>
              </w:rPr>
            </w:pPr>
          </w:p>
        </w:tc>
        <w:tc>
          <w:tcPr>
            <w:tcW w:w="3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580" w:type="dxa"/>
            <w:vAlign w:val="bottom"/>
            <w:vMerge w:val="continue"/>
          </w:tcPr>
          <w:p>
            <w:pPr>
              <w:spacing w:after="0"/>
              <w:rPr>
                <w:sz w:val="17"/>
                <w:szCs w:val="17"/>
                <w:color w:val="auto"/>
              </w:rPr>
            </w:pPr>
          </w:p>
        </w:tc>
        <w:tc>
          <w:tcPr>
            <w:tcW w:w="2280" w:type="dxa"/>
            <w:vAlign w:val="bottom"/>
          </w:tcPr>
          <w:p>
            <w:pPr>
              <w:spacing w:after="0"/>
              <w:rPr>
                <w:sz w:val="17"/>
                <w:szCs w:val="17"/>
                <w:color w:val="auto"/>
              </w:rPr>
            </w:pPr>
          </w:p>
        </w:tc>
        <w:tc>
          <w:tcPr>
            <w:tcW w:w="32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96,737,283</w:t>
            </w:r>
          </w:p>
        </w:tc>
        <w:tc>
          <w:tcPr>
            <w:tcW w:w="0" w:type="dxa"/>
            <w:vAlign w:val="bottom"/>
          </w:tcPr>
          <w:p>
            <w:pPr>
              <w:spacing w:after="0"/>
              <w:rPr>
                <w:sz w:val="1"/>
                <w:szCs w:val="1"/>
                <w:color w:val="auto"/>
              </w:rPr>
            </w:pPr>
          </w:p>
        </w:tc>
      </w:tr>
      <w:tr>
        <w:trPr>
          <w:trHeight w:val="296"/>
        </w:trPr>
        <w:tc>
          <w:tcPr>
            <w:tcW w:w="258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32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1999"/>
        <w:spacing w:after="0" w:line="274" w:lineRule="auto"/>
        <w:rPr>
          <w:sz w:val="20"/>
          <w:szCs w:val="20"/>
          <w:color w:val="auto"/>
        </w:rPr>
      </w:pPr>
      <w:r>
        <w:rPr>
          <w:rFonts w:ascii="Courier New" w:cs="Courier New" w:eastAsia="Courier New" w:hAnsi="Courier New"/>
          <w:sz w:val="18"/>
          <w:szCs w:val="18"/>
          <w:color w:val="auto"/>
        </w:rPr>
        <w:t>Each of the Mutuelles AXA, as a group, and AXA expressly declares that the filing of this Schedule 13G shall not be construed as an admission that it is, for purposes of Section 13(d) of the Exchange Act, the beneficial owner of any securities covered by this Schedule 13G.</w:t>
      </w:r>
    </w:p>
    <w:p>
      <w:pPr>
        <w:spacing w:after="0" w:line="82" w:lineRule="exact"/>
        <w:rPr>
          <w:sz w:val="20"/>
          <w:szCs w:val="20"/>
          <w:color w:val="auto"/>
        </w:rPr>
      </w:pPr>
    </w:p>
    <w:p>
      <w:pPr>
        <w:ind w:right="1779"/>
        <w:spacing w:after="0" w:line="347"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decisions.</w:t>
      </w:r>
    </w:p>
    <w:p>
      <w:pPr>
        <w:sectPr>
          <w:pgSz w:w="11900" w:h="16838" w:orient="portrait"/>
          <w:cols w:equalWidth="0" w:num="1">
            <w:col w:w="10219"/>
          </w:cols>
          <w:pgMar w:left="240" w:top="488" w:right="1440" w:bottom="1440" w:gutter="0" w:footer="0" w:header="0"/>
        </w:sectPr>
      </w:pPr>
    </w:p>
    <w:p>
      <w:pPr>
        <w:spacing w:after="0" w:line="18"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(b) Percent of Class: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10.9%</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ectPr>
          <w:pgSz w:w="11900" w:h="16838" w:orient="portrait"/>
          <w:cols w:equalWidth="0" w:num="2">
            <w:col w:w="5600" w:space="720"/>
            <w:col w:w="3899"/>
          </w:cols>
          <w:pgMar w:left="240" w:top="488" w:right="1440"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96"/>
        </w:trPr>
        <w:tc>
          <w:tcPr>
            <w:tcW w:w="24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40" w:type="dxa"/>
            <w:vAlign w:val="bottom"/>
            <w:gridSpan w:val="2"/>
          </w:tcPr>
          <w:p>
            <w:pPr>
              <w:jc w:val="right"/>
              <w:ind w:right="432"/>
              <w:spacing w:after="0"/>
              <w:rPr>
                <w:sz w:val="20"/>
                <w:szCs w:val="20"/>
                <w:color w:val="auto"/>
              </w:rPr>
            </w:pPr>
            <w:r>
              <w:rPr>
                <w:rFonts w:ascii="Courier New" w:cs="Courier New" w:eastAsia="Courier New" w:hAnsi="Courier New"/>
                <w:sz w:val="18"/>
                <w:szCs w:val="18"/>
                <w:color w:val="auto"/>
              </w:rPr>
              <w:t>Page 10 of 12 Pages</w:t>
            </w:r>
          </w:p>
        </w:tc>
        <w:tc>
          <w:tcPr>
            <w:tcW w:w="0" w:type="dxa"/>
            <w:vAlign w:val="bottom"/>
          </w:tcPr>
          <w:p>
            <w:pPr>
              <w:spacing w:after="0"/>
              <w:rPr>
                <w:sz w:val="1"/>
                <w:szCs w:val="1"/>
                <w:color w:val="auto"/>
              </w:rPr>
            </w:pPr>
          </w:p>
        </w:tc>
      </w:tr>
      <w:tr>
        <w:trPr>
          <w:trHeight w:val="810"/>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ITEM 4. Ownership as of</w:t>
            </w:r>
          </w:p>
        </w:tc>
        <w:tc>
          <w:tcPr>
            <w:tcW w:w="1420" w:type="dxa"/>
            <w:vAlign w:val="bottom"/>
            <w:gridSpan w:val="2"/>
          </w:tcPr>
          <w:p>
            <w:pPr>
              <w:ind w:left="60"/>
              <w:spacing w:after="0"/>
              <w:rPr>
                <w:sz w:val="20"/>
                <w:szCs w:val="20"/>
                <w:color w:val="auto"/>
              </w:rPr>
            </w:pPr>
            <w:r>
              <w:rPr>
                <w:rFonts w:ascii="Courier New" w:cs="Courier New" w:eastAsia="Courier New" w:hAnsi="Courier New"/>
                <w:sz w:val="18"/>
                <w:szCs w:val="18"/>
                <w:color w:val="auto"/>
                <w:w w:val="95"/>
              </w:rPr>
              <w:t>June 30, 2003</w:t>
            </w:r>
          </w:p>
        </w:tc>
        <w:tc>
          <w:tcPr>
            <w:tcW w:w="2800" w:type="dxa"/>
            <w:vAlign w:val="bottom"/>
            <w:gridSpan w:val="2"/>
          </w:tcPr>
          <w:p>
            <w:pPr>
              <w:jc w:val="right"/>
              <w:ind w:right="1132"/>
              <w:spacing w:after="0"/>
              <w:rPr>
                <w:sz w:val="20"/>
                <w:szCs w:val="20"/>
                <w:color w:val="auto"/>
              </w:rPr>
            </w:pPr>
            <w:r>
              <w:rPr>
                <w:rFonts w:ascii="Courier New" w:cs="Courier New" w:eastAsia="Courier New" w:hAnsi="Courier New"/>
                <w:sz w:val="18"/>
                <w:szCs w:val="18"/>
                <w:color w:val="auto"/>
              </w:rPr>
              <w:t>(CONT.)</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6700" w:type="dxa"/>
            <w:vAlign w:val="bottom"/>
            <w:gridSpan w:val="5"/>
          </w:tcPr>
          <w:p>
            <w:pPr>
              <w:ind w:left="740"/>
              <w:spacing w:after="0"/>
              <w:rPr>
                <w:sz w:val="20"/>
                <w:szCs w:val="20"/>
                <w:color w:val="auto"/>
              </w:rPr>
            </w:pPr>
            <w:r>
              <w:rPr>
                <w:rFonts w:ascii="Courier New" w:cs="Courier New" w:eastAsia="Courier New" w:hAnsi="Courier New"/>
                <w:sz w:val="18"/>
                <w:szCs w:val="18"/>
                <w:color w:val="auto"/>
              </w:rPr>
              <w:t>(c) Deemed Voting Power and Disposition Power:</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4"/>
                <w:szCs w:val="24"/>
                <w:color w:val="auto"/>
              </w:rPr>
            </w:pPr>
          </w:p>
        </w:tc>
        <w:tc>
          <w:tcPr>
            <w:tcW w:w="1320" w:type="dxa"/>
            <w:vAlign w:val="bottom"/>
          </w:tcPr>
          <w:p>
            <w:pPr>
              <w:ind w:left="160"/>
              <w:spacing w:after="0"/>
              <w:rPr>
                <w:sz w:val="20"/>
                <w:szCs w:val="20"/>
                <w:color w:val="auto"/>
              </w:rPr>
            </w:pPr>
            <w:r>
              <w:rPr>
                <w:rFonts w:ascii="Courier New" w:cs="Courier New" w:eastAsia="Courier New" w:hAnsi="Courier New"/>
                <w:sz w:val="18"/>
                <w:szCs w:val="18"/>
                <w:color w:val="auto"/>
              </w:rPr>
              <w:t>(i)</w:t>
            </w:r>
          </w:p>
        </w:tc>
        <w:tc>
          <w:tcPr>
            <w:tcW w:w="100" w:type="dxa"/>
            <w:vAlign w:val="bottom"/>
          </w:tcPr>
          <w:p>
            <w:pPr>
              <w:spacing w:after="0"/>
              <w:rPr>
                <w:sz w:val="24"/>
                <w:szCs w:val="24"/>
                <w:color w:val="auto"/>
              </w:rPr>
            </w:pPr>
          </w:p>
        </w:tc>
        <w:tc>
          <w:tcPr>
            <w:tcW w:w="1380" w:type="dxa"/>
            <w:vAlign w:val="bottom"/>
          </w:tcPr>
          <w:p>
            <w:pPr>
              <w:jc w:val="right"/>
              <w:ind w:right="872"/>
              <w:spacing w:after="0"/>
              <w:rPr>
                <w:sz w:val="20"/>
                <w:szCs w:val="20"/>
                <w:color w:val="auto"/>
              </w:rPr>
            </w:pPr>
            <w:r>
              <w:rPr>
                <w:rFonts w:ascii="Courier New" w:cs="Courier New" w:eastAsia="Courier New" w:hAnsi="Courier New"/>
                <w:sz w:val="18"/>
                <w:szCs w:val="18"/>
                <w:color w:val="auto"/>
                <w:w w:val="92"/>
              </w:rPr>
              <w:t>(ii)</w:t>
            </w:r>
          </w:p>
        </w:tc>
        <w:tc>
          <w:tcPr>
            <w:tcW w:w="1420" w:type="dxa"/>
            <w:vAlign w:val="bottom"/>
          </w:tcPr>
          <w:p>
            <w:pPr>
              <w:jc w:val="right"/>
              <w:ind w:right="712"/>
              <w:spacing w:after="0"/>
              <w:rPr>
                <w:sz w:val="20"/>
                <w:szCs w:val="20"/>
                <w:color w:val="auto"/>
              </w:rPr>
            </w:pPr>
            <w:r>
              <w:rPr>
                <w:rFonts w:ascii="Courier New" w:cs="Courier New" w:eastAsia="Courier New" w:hAnsi="Courier New"/>
                <w:sz w:val="18"/>
                <w:szCs w:val="18"/>
                <w:color w:val="auto"/>
              </w:rPr>
              <w:t>(iii)</w:t>
            </w:r>
          </w:p>
        </w:tc>
        <w:tc>
          <w:tcPr>
            <w:tcW w:w="1420" w:type="dxa"/>
            <w:vAlign w:val="bottom"/>
          </w:tcPr>
          <w:p>
            <w:pPr>
              <w:jc w:val="right"/>
              <w:ind w:right="852"/>
              <w:spacing w:after="0"/>
              <w:rPr>
                <w:sz w:val="20"/>
                <w:szCs w:val="20"/>
                <w:color w:val="auto"/>
              </w:rPr>
            </w:pPr>
            <w:r>
              <w:rPr>
                <w:rFonts w:ascii="Courier New" w:cs="Courier New" w:eastAsia="Courier New" w:hAnsi="Courier New"/>
                <w:sz w:val="18"/>
                <w:szCs w:val="18"/>
                <w:color w:val="auto"/>
              </w:rPr>
              <w:t>(iv)</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Deemed</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Deemed</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Deemed</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have</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have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have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Power</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Sole Power</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5"/>
              </w:rPr>
              <w:t>Shared Power</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to Vote</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to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to Dispose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to Dispose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or to</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or to</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or to</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Direct</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Direct</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Direct the</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Direct the</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Vote</w:t>
            </w:r>
          </w:p>
        </w:tc>
        <w:tc>
          <w:tcPr>
            <w:tcW w:w="100" w:type="dxa"/>
            <w:vAlign w:val="bottom"/>
          </w:tcPr>
          <w:p>
            <w:pPr>
              <w:spacing w:after="0"/>
              <w:rPr>
                <w:sz w:val="17"/>
                <w:szCs w:val="17"/>
                <w:color w:val="auto"/>
              </w:rPr>
            </w:pP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 Vote</w:t>
            </w:r>
          </w:p>
        </w:tc>
        <w:tc>
          <w:tcPr>
            <w:tcW w:w="142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Disposition</w:t>
            </w:r>
          </w:p>
        </w:tc>
        <w:tc>
          <w:tcPr>
            <w:tcW w:w="142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Disposition</w:t>
            </w: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4"/>
                <w:szCs w:val="24"/>
                <w:color w:val="auto"/>
              </w:rPr>
            </w:pPr>
          </w:p>
        </w:tc>
        <w:tc>
          <w:tcPr>
            <w:tcW w:w="1320" w:type="dxa"/>
            <w:vAlign w:val="bottom"/>
          </w:tcPr>
          <w:p>
            <w:pPr>
              <w:ind w:left="60"/>
              <w:spacing w:after="0"/>
              <w:rPr>
                <w:sz w:val="20"/>
                <w:szCs w:val="20"/>
                <w:color w:val="auto"/>
              </w:rPr>
            </w:pPr>
            <w:r>
              <w:rPr>
                <w:rFonts w:ascii="Courier New" w:cs="Courier New" w:eastAsia="Courier New" w:hAnsi="Courier New"/>
                <w:sz w:val="18"/>
                <w:szCs w:val="18"/>
                <w:color w:val="auto"/>
                <w:w w:val="95"/>
              </w:rPr>
              <w:t>------------</w:t>
            </w:r>
          </w:p>
        </w:tc>
        <w:tc>
          <w:tcPr>
            <w:tcW w:w="100" w:type="dxa"/>
            <w:vAlign w:val="bottom"/>
          </w:tcPr>
          <w:p>
            <w:pPr>
              <w:spacing w:after="0"/>
              <w:rPr>
                <w:sz w:val="24"/>
                <w:szCs w:val="24"/>
                <w:color w:val="auto"/>
              </w:rPr>
            </w:pPr>
          </w:p>
        </w:tc>
        <w:tc>
          <w:tcPr>
            <w:tcW w:w="1380" w:type="dxa"/>
            <w:vAlign w:val="bottom"/>
          </w:tcPr>
          <w:p>
            <w:pPr>
              <w:ind w:left="120"/>
              <w:spacing w:after="0"/>
              <w:rPr>
                <w:sz w:val="20"/>
                <w:szCs w:val="20"/>
                <w:color w:val="auto"/>
              </w:rPr>
            </w:pPr>
            <w:r>
              <w:rPr>
                <w:rFonts w:ascii="Courier New" w:cs="Courier New" w:eastAsia="Courier New" w:hAnsi="Courier New"/>
                <w:sz w:val="18"/>
                <w:szCs w:val="18"/>
                <w:color w:val="auto"/>
                <w:w w:val="95"/>
              </w:rPr>
              <w:t>------------</w:t>
            </w:r>
          </w:p>
        </w:tc>
        <w:tc>
          <w:tcPr>
            <w:tcW w:w="2840" w:type="dxa"/>
            <w:vAlign w:val="bottom"/>
            <w:gridSpan w:val="2"/>
          </w:tcPr>
          <w:p>
            <w:pPr>
              <w:ind w:left="200"/>
              <w:spacing w:after="0"/>
              <w:rPr>
                <w:sz w:val="20"/>
                <w:szCs w:val="20"/>
                <w:color w:val="auto"/>
              </w:rPr>
            </w:pPr>
            <w:r>
              <w:rPr>
                <w:rFonts w:ascii="Courier New" w:cs="Courier New" w:eastAsia="Courier New" w:hAnsi="Courier New"/>
                <w:sz w:val="18"/>
                <w:szCs w:val="18"/>
                <w:color w:val="auto"/>
                <w:w w:val="97"/>
              </w:rPr>
              <w:t>------------ ------------</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The Mutuelles AXA,</w:t>
            </w:r>
          </w:p>
        </w:tc>
        <w:tc>
          <w:tcPr>
            <w:tcW w:w="1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00" w:type="dxa"/>
            <w:vAlign w:val="bottom"/>
          </w:tcPr>
          <w:p>
            <w:pPr>
              <w:spacing w:after="0"/>
              <w:rPr>
                <w:sz w:val="24"/>
                <w:szCs w:val="24"/>
                <w:color w:val="auto"/>
              </w:rPr>
            </w:pP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48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as a group</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w w:val="99"/>
              </w:rPr>
              <w:t>AXA Entity or Entities:</w:t>
            </w:r>
          </w:p>
        </w:tc>
        <w:tc>
          <w:tcPr>
            <w:tcW w:w="1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3,319</w:t>
            </w:r>
          </w:p>
        </w:tc>
        <w:tc>
          <w:tcPr>
            <w:tcW w:w="100" w:type="dxa"/>
            <w:vAlign w:val="bottom"/>
          </w:tcPr>
          <w:p>
            <w:pPr>
              <w:spacing w:after="0"/>
              <w:rPr>
                <w:sz w:val="24"/>
                <w:szCs w:val="24"/>
                <w:color w:val="auto"/>
              </w:rPr>
            </w:pP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3,319</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AXA Investment</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Managers Den Haag</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2480" w:type="dxa"/>
            <w:vAlign w:val="bottom"/>
          </w:tcPr>
          <w:p>
            <w:pPr>
              <w:spacing w:after="0"/>
              <w:rPr>
                <w:sz w:val="20"/>
                <w:szCs w:val="20"/>
                <w:color w:val="auto"/>
              </w:rPr>
            </w:pPr>
            <w:r>
              <w:rPr>
                <w:rFonts w:ascii="Courier New" w:cs="Courier New" w:eastAsia="Courier New" w:hAnsi="Courier New"/>
                <w:sz w:val="18"/>
                <w:szCs w:val="18"/>
                <w:color w:val="auto"/>
              </w:rPr>
              <w:t>AXA Financial, Inc.</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311"/>
        </w:trPr>
        <w:tc>
          <w:tcPr>
            <w:tcW w:w="2480" w:type="dxa"/>
            <w:vAlign w:val="bottom"/>
          </w:tcPr>
          <w:p>
            <w:pPr>
              <w:spacing w:after="0"/>
              <w:rPr>
                <w:sz w:val="20"/>
                <w:szCs w:val="20"/>
                <w:color w:val="auto"/>
              </w:rPr>
            </w:pPr>
            <w:r>
              <w:rPr>
                <w:rFonts w:ascii="Courier New" w:cs="Courier New" w:eastAsia="Courier New" w:hAnsi="Courier New"/>
                <w:sz w:val="18"/>
                <w:szCs w:val="18"/>
                <w:color w:val="auto"/>
              </w:rPr>
              <w:t>Subsidiaries:</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480" w:type="dxa"/>
            <w:vAlign w:val="bottom"/>
          </w:tcPr>
          <w:p>
            <w:pPr>
              <w:spacing w:after="0" w:line="203" w:lineRule="exact"/>
              <w:rPr>
                <w:sz w:val="20"/>
                <w:szCs w:val="20"/>
                <w:color w:val="auto"/>
              </w:rPr>
            </w:pPr>
            <w:r>
              <w:rPr>
                <w:rFonts w:ascii="Courier New" w:cs="Courier New" w:eastAsia="Courier New" w:hAnsi="Courier New"/>
                <w:sz w:val="18"/>
                <w:szCs w:val="18"/>
                <w:color w:val="auto"/>
              </w:rPr>
              <w:t>- ------------</w:t>
            </w:r>
          </w:p>
        </w:tc>
        <w:tc>
          <w:tcPr>
            <w:tcW w:w="132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9"/>
              </w:rPr>
              <w:t>42,933,387</w:t>
            </w:r>
          </w:p>
        </w:tc>
        <w:tc>
          <w:tcPr>
            <w:tcW w:w="100" w:type="dxa"/>
            <w:vAlign w:val="bottom"/>
          </w:tcPr>
          <w:p>
            <w:pPr>
              <w:spacing w:after="0"/>
              <w:rPr>
                <w:sz w:val="17"/>
                <w:szCs w:val="17"/>
                <w:color w:val="auto"/>
              </w:rPr>
            </w:pPr>
          </w:p>
        </w:tc>
        <w:tc>
          <w:tcPr>
            <w:tcW w:w="138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17,600,519</w:t>
            </w:r>
          </w:p>
        </w:tc>
        <w:tc>
          <w:tcPr>
            <w:tcW w:w="1420" w:type="dxa"/>
            <w:vAlign w:val="bottom"/>
            <w:vMerge w:val="restart"/>
          </w:tcPr>
          <w:p>
            <w:pPr>
              <w:jc w:val="right"/>
              <w:ind w:right="72"/>
              <w:spacing w:after="0"/>
              <w:rPr>
                <w:sz w:val="20"/>
                <w:szCs w:val="20"/>
                <w:color w:val="auto"/>
              </w:rPr>
            </w:pPr>
            <w:r>
              <w:rPr>
                <w:rFonts w:ascii="Courier New" w:cs="Courier New" w:eastAsia="Courier New" w:hAnsi="Courier New"/>
                <w:sz w:val="18"/>
                <w:szCs w:val="18"/>
                <w:color w:val="auto"/>
              </w:rPr>
              <w:t>95,480,408</w:t>
            </w:r>
          </w:p>
        </w:tc>
        <w:tc>
          <w:tcPr>
            <w:tcW w:w="1420" w:type="dxa"/>
            <w:vAlign w:val="bottom"/>
            <w:vMerge w:val="restart"/>
          </w:tcPr>
          <w:p>
            <w:pPr>
              <w:jc w:val="right"/>
              <w:ind w:right="12"/>
              <w:spacing w:after="0"/>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Alliance Capital</w:t>
            </w:r>
          </w:p>
        </w:tc>
        <w:tc>
          <w:tcPr>
            <w:tcW w:w="13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14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Management L.P.</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The Equitable Life</w:t>
            </w:r>
          </w:p>
        </w:tc>
        <w:tc>
          <w:tcPr>
            <w:tcW w:w="13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335,300</w:t>
            </w:r>
          </w:p>
        </w:tc>
        <w:tc>
          <w:tcPr>
            <w:tcW w:w="100" w:type="dxa"/>
            <w:vAlign w:val="bottom"/>
          </w:tcPr>
          <w:p>
            <w:pPr>
              <w:spacing w:after="0"/>
              <w:rPr>
                <w:sz w:val="24"/>
                <w:szCs w:val="24"/>
                <w:color w:val="auto"/>
              </w:rPr>
            </w:pPr>
          </w:p>
        </w:tc>
        <w:tc>
          <w:tcPr>
            <w:tcW w:w="1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0</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1,148,600</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0</w:t>
            </w:r>
          </w:p>
        </w:tc>
        <w:tc>
          <w:tcPr>
            <w:tcW w:w="0" w:type="dxa"/>
            <w:vAlign w:val="bottom"/>
          </w:tcPr>
          <w:p>
            <w:pPr>
              <w:spacing w:after="0"/>
              <w:rPr>
                <w:sz w:val="1"/>
                <w:szCs w:val="1"/>
                <w:color w:val="auto"/>
              </w:rPr>
            </w:pPr>
          </w:p>
        </w:tc>
      </w:tr>
      <w:tr>
        <w:trPr>
          <w:trHeight w:val="203"/>
        </w:trPr>
        <w:tc>
          <w:tcPr>
            <w:tcW w:w="248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Assurance Society</w:t>
            </w: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6"/>
        </w:trPr>
        <w:tc>
          <w:tcPr>
            <w:tcW w:w="2480" w:type="dxa"/>
            <w:vAlign w:val="bottom"/>
          </w:tcPr>
          <w:p>
            <w:pPr>
              <w:ind w:left="220"/>
              <w:spacing w:after="0"/>
              <w:rPr>
                <w:sz w:val="20"/>
                <w:szCs w:val="20"/>
                <w:color w:val="auto"/>
              </w:rPr>
            </w:pPr>
            <w:r>
              <w:rPr>
                <w:rFonts w:ascii="Courier New" w:cs="Courier New" w:eastAsia="Courier New" w:hAnsi="Courier New"/>
                <w:sz w:val="18"/>
                <w:szCs w:val="18"/>
                <w:color w:val="auto"/>
              </w:rPr>
              <w:t>of the United</w:t>
            </w: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3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r>
        <w:trPr>
          <w:trHeight w:val="203"/>
        </w:trPr>
        <w:tc>
          <w:tcPr>
            <w:tcW w:w="2480" w:type="dxa"/>
            <w:vAlign w:val="bottom"/>
          </w:tcPr>
          <w:p>
            <w:pPr>
              <w:spacing w:after="0"/>
              <w:rPr>
                <w:sz w:val="17"/>
                <w:szCs w:val="17"/>
                <w:color w:val="auto"/>
              </w:rPr>
            </w:pPr>
          </w:p>
        </w:tc>
        <w:tc>
          <w:tcPr>
            <w:tcW w:w="13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9"/>
              </w:rPr>
              <w:t>43,272,006</w:t>
            </w:r>
          </w:p>
        </w:tc>
        <w:tc>
          <w:tcPr>
            <w:tcW w:w="100" w:type="dxa"/>
            <w:vAlign w:val="bottom"/>
          </w:tcPr>
          <w:p>
            <w:pPr>
              <w:spacing w:after="0"/>
              <w:rPr>
                <w:sz w:val="17"/>
                <w:szCs w:val="17"/>
                <w:color w:val="auto"/>
              </w:rPr>
            </w:pPr>
          </w:p>
        </w:tc>
        <w:tc>
          <w:tcPr>
            <w:tcW w:w="13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17,600,519</w:t>
            </w:r>
          </w:p>
        </w:tc>
        <w:tc>
          <w:tcPr>
            <w:tcW w:w="14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96,632,327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104,956</w:t>
            </w:r>
          </w:p>
        </w:tc>
        <w:tc>
          <w:tcPr>
            <w:tcW w:w="0" w:type="dxa"/>
            <w:vAlign w:val="bottom"/>
          </w:tcPr>
          <w:p>
            <w:pPr>
              <w:spacing w:after="0"/>
              <w:rPr>
                <w:sz w:val="1"/>
                <w:szCs w:val="1"/>
                <w:color w:val="auto"/>
              </w:rPr>
            </w:pPr>
          </w:p>
        </w:tc>
      </w:tr>
      <w:tr>
        <w:trPr>
          <w:trHeight w:val="296"/>
        </w:trPr>
        <w:tc>
          <w:tcPr>
            <w:tcW w:w="380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rPr>
              <w:t>============</w:t>
            </w:r>
          </w:p>
        </w:tc>
        <w:tc>
          <w:tcPr>
            <w:tcW w:w="1480" w:type="dxa"/>
            <w:vAlign w:val="bottom"/>
            <w:gridSpan w:val="2"/>
          </w:tcPr>
          <w:p>
            <w:pPr>
              <w:jc w:val="right"/>
              <w:ind w:right="13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72"/>
              <w:spacing w:after="0"/>
              <w:rPr>
                <w:sz w:val="20"/>
                <w:szCs w:val="20"/>
                <w:color w:val="auto"/>
              </w:rPr>
            </w:pPr>
            <w:r>
              <w:rPr>
                <w:rFonts w:ascii="Courier New" w:cs="Courier New" w:eastAsia="Courier New" w:hAnsi="Courier New"/>
                <w:sz w:val="18"/>
                <w:szCs w:val="18"/>
                <w:color w:val="auto"/>
                <w:w w:val="95"/>
              </w:rPr>
              <w:t>============</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w:t>
            </w:r>
          </w:p>
        </w:tc>
        <w:tc>
          <w:tcPr>
            <w:tcW w:w="0" w:type="dxa"/>
            <w:vAlign w:val="bottom"/>
          </w:tcPr>
          <w:p>
            <w:pPr>
              <w:spacing w:after="0"/>
              <w:rPr>
                <w:sz w:val="1"/>
                <w:szCs w:val="1"/>
                <w:color w:val="auto"/>
              </w:rPr>
            </w:pPr>
          </w:p>
        </w:tc>
      </w:tr>
    </w:tbl>
    <w:p>
      <w:pPr>
        <w:spacing w:after="0" w:line="109" w:lineRule="exact"/>
        <w:rPr>
          <w:sz w:val="20"/>
          <w:szCs w:val="20"/>
          <w:color w:val="auto"/>
        </w:rPr>
      </w:pPr>
    </w:p>
    <w:p>
      <w:pPr>
        <w:ind w:right="3039"/>
        <w:spacing w:after="0" w:line="292" w:lineRule="auto"/>
        <w:rPr>
          <w:sz w:val="20"/>
          <w:szCs w:val="20"/>
          <w:color w:val="auto"/>
        </w:rPr>
      </w:pPr>
      <w:r>
        <w:rPr>
          <w:rFonts w:ascii="Courier New" w:cs="Courier New" w:eastAsia="Courier New" w:hAnsi="Courier New"/>
          <w:sz w:val="18"/>
          <w:szCs w:val="18"/>
          <w:color w:val="auto"/>
        </w:rPr>
        <w:t>Each of the above subsidiaries of AXA Financial, Inc. operates under independent management and makes independent voting and investment decisions.</w:t>
      </w:r>
    </w:p>
    <w:p>
      <w:pPr>
        <w:sectPr>
          <w:pgSz w:w="11900" w:h="16838" w:orient="portrait"/>
          <w:cols w:equalWidth="0" w:num="1">
            <w:col w:w="10219"/>
          </w:cols>
          <w:pgMar w:left="240" w:top="285" w:right="1440" w:bottom="1440" w:gutter="0" w:footer="0" w:header="0"/>
        </w:sectPr>
      </w:pPr>
    </w:p>
    <w:bookmarkStart w:id="10" w:name="page11"/>
    <w:bookmarkEnd w:id="10"/>
    <w:p>
      <w:pPr>
        <w:ind w:left="6220"/>
        <w:spacing w:after="0"/>
        <w:rPr>
          <w:sz w:val="20"/>
          <w:szCs w:val="20"/>
          <w:color w:val="auto"/>
        </w:rPr>
      </w:pPr>
      <w:r>
        <w:rPr>
          <w:rFonts w:ascii="Courier New" w:cs="Courier New" w:eastAsia="Courier New" w:hAnsi="Courier New"/>
          <w:sz w:val="18"/>
          <w:szCs w:val="18"/>
          <w:color w:val="auto"/>
        </w:rPr>
        <w:t>Page 11 of 12</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Pages</w:t>
      </w:r>
    </w:p>
    <w:p>
      <w:pPr>
        <w:spacing w:after="0" w:line="238" w:lineRule="auto"/>
        <w:rPr>
          <w:sz w:val="20"/>
          <w:szCs w:val="20"/>
          <w:color w:val="auto"/>
        </w:rPr>
      </w:pPr>
      <w:r>
        <w:rPr>
          <w:rFonts w:ascii="Courier New" w:cs="Courier New" w:eastAsia="Courier New" w:hAnsi="Courier New"/>
          <w:sz w:val="18"/>
          <w:szCs w:val="18"/>
          <w:color w:val="auto"/>
        </w:rPr>
        <w:t>Item 5. Ownership of Five Percent or Less of a Class:</w:t>
      </w:r>
    </w:p>
    <w:p>
      <w:pPr>
        <w:ind w:left="6220" w:right="2419" w:hanging="5371"/>
        <w:spacing w:after="0" w:line="309" w:lineRule="auto"/>
        <w:rPr>
          <w:sz w:val="20"/>
          <w:szCs w:val="20"/>
          <w:color w:val="auto"/>
        </w:rPr>
      </w:pPr>
      <w:r>
        <w:rPr>
          <w:rFonts w:ascii="Courier New" w:cs="Courier New" w:eastAsia="Courier New" w:hAnsi="Courier New"/>
          <w:sz w:val="18"/>
          <w:szCs w:val="18"/>
          <w:color w:val="auto"/>
        </w:rPr>
        <w:t>If this statement is being filed to report the fact that as of the ( )</w:t>
      </w:r>
    </w:p>
    <w:p>
      <w:pPr>
        <w:spacing w:after="0" w:line="51" w:lineRule="exact"/>
        <w:rPr>
          <w:sz w:val="20"/>
          <w:szCs w:val="20"/>
          <w:color w:val="auto"/>
        </w:rPr>
      </w:pPr>
    </w:p>
    <w:p>
      <w:pPr>
        <w:spacing w:after="0"/>
        <w:tabs>
          <w:tab w:leader="none" w:pos="7780" w:val="left"/>
        </w:tabs>
        <w:rPr>
          <w:sz w:val="20"/>
          <w:szCs w:val="20"/>
          <w:color w:val="auto"/>
        </w:rPr>
      </w:pPr>
      <w:r>
        <w:rPr>
          <w:rFonts w:ascii="Courier New" w:cs="Courier New" w:eastAsia="Courier New" w:hAnsi="Courier New"/>
          <w:sz w:val="18"/>
          <w:szCs w:val="18"/>
          <w:color w:val="auto"/>
        </w:rPr>
        <w:t>Item 6. Ownership of More than Five Percent on behalf of Another Person.</w:t>
      </w:r>
      <w:r>
        <w:rPr>
          <w:sz w:val="20"/>
          <w:szCs w:val="20"/>
          <w:color w:val="auto"/>
        </w:rPr>
        <w:tab/>
      </w:r>
      <w:r>
        <w:rPr>
          <w:rFonts w:ascii="Courier New" w:cs="Courier New" w:eastAsia="Courier New" w:hAnsi="Courier New"/>
          <w:sz w:val="16"/>
          <w:szCs w:val="16"/>
          <w:color w:val="auto"/>
        </w:rPr>
        <w:t>N/A</w:t>
      </w:r>
    </w:p>
    <w:p>
      <w:pPr>
        <w:spacing w:after="0" w:line="201" w:lineRule="exact"/>
        <w:rPr>
          <w:sz w:val="20"/>
          <w:szCs w:val="20"/>
          <w:color w:val="auto"/>
        </w:rPr>
      </w:pPr>
    </w:p>
    <w:p>
      <w:pPr>
        <w:ind w:left="860" w:right="2419" w:hanging="842"/>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Reporting on by the Parent Holding Company:</w:t>
      </w:r>
    </w:p>
    <w:p>
      <w:pPr>
        <w:spacing w:after="0" w:line="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This Schedule 13G is being filed by AXA Financial, Inc.; AXA,</w:t>
      </w:r>
    </w:p>
    <w:p>
      <w:pPr>
        <w:spacing w:after="0" w:line="31" w:lineRule="exact"/>
        <w:rPr>
          <w:sz w:val="20"/>
          <w:szCs w:val="20"/>
          <w:color w:val="auto"/>
        </w:rPr>
      </w:pPr>
    </w:p>
    <w:p>
      <w:pPr>
        <w:ind w:left="860" w:right="1879"/>
        <w:spacing w:after="0" w:line="309" w:lineRule="auto"/>
        <w:rPr>
          <w:sz w:val="20"/>
          <w:szCs w:val="20"/>
          <w:color w:val="auto"/>
        </w:rPr>
      </w:pPr>
      <w:r>
        <w:rPr>
          <w:rFonts w:ascii="Courier New" w:cs="Courier New" w:eastAsia="Courier New" w:hAnsi="Courier New"/>
          <w:sz w:val="18"/>
          <w:szCs w:val="18"/>
          <w:color w:val="auto"/>
        </w:rPr>
        <w:t>which owns AXA Financial, Inc.; and the Mutuelles AXA, which as a group control AXA:</w:t>
      </w:r>
    </w:p>
    <w:p>
      <w:pPr>
        <w:spacing w:after="0" w:line="51" w:lineRule="exact"/>
        <w:rPr>
          <w:sz w:val="20"/>
          <w:szCs w:val="20"/>
          <w:color w:val="auto"/>
        </w:rPr>
      </w:pPr>
    </w:p>
    <w:p>
      <w:pPr>
        <w:ind w:left="860" w:right="2739" w:hanging="536"/>
        <w:spacing w:after="0" w:line="292" w:lineRule="auto"/>
        <w:tabs>
          <w:tab w:leader="none" w:pos="86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Mutuelles AXAs' capacity, as a group, acting as a parent holding company with respect to the holdings of the following AXA entity or entities:</w:t>
      </w:r>
    </w:p>
    <w:p>
      <w:pPr>
        <w:spacing w:after="0" w:line="66" w:lineRule="exact"/>
        <w:rPr>
          <w:sz w:val="20"/>
          <w:szCs w:val="20"/>
          <w:color w:val="auto"/>
        </w:rPr>
      </w:pPr>
    </w:p>
    <w:p>
      <w:pPr>
        <w:ind w:left="860" w:right="3259" w:hanging="536"/>
        <w:spacing w:after="0" w:line="402" w:lineRule="auto"/>
        <w:tabs>
          <w:tab w:leader="none" w:pos="860"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AXA's capacity as a parent holding company with respect to the holdings of the following AXA entity or entities:</w:t>
      </w:r>
    </w:p>
    <w:p>
      <w:pPr>
        <w:spacing w:after="0" w:line="1"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AXA Investment Managers Den Haag</w:t>
      </w:r>
    </w:p>
    <w:p>
      <w:pPr>
        <w:spacing w:after="0" w:line="201" w:lineRule="exact"/>
        <w:rPr>
          <w:sz w:val="20"/>
          <w:szCs w:val="20"/>
          <w:color w:val="auto"/>
        </w:rPr>
      </w:pPr>
    </w:p>
    <w:p>
      <w:pPr>
        <w:ind w:left="860" w:right="2939" w:hanging="536"/>
        <w:spacing w:after="0" w:line="402" w:lineRule="auto"/>
        <w:tabs>
          <w:tab w:leader="none" w:pos="860"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AXA Financial, Inc.'s capacity as a parent holding company with respect to the holdings of the following subsidiaries:</w:t>
      </w:r>
    </w:p>
    <w:p>
      <w:pPr>
        <w:spacing w:after="0" w:line="1" w:lineRule="exact"/>
        <w:rPr>
          <w:sz w:val="20"/>
          <w:szCs w:val="20"/>
          <w:color w:val="auto"/>
        </w:rPr>
      </w:pPr>
    </w:p>
    <w:p>
      <w:pPr>
        <w:ind w:left="860" w:hanging="536"/>
        <w:spacing w:after="0"/>
        <w:tabs>
          <w:tab w:leader="none" w:pos="86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Alliance Capital Management L.P.</w:t>
      </w:r>
    </w:p>
    <w:p>
      <w:pPr>
        <w:spacing w:after="0" w:line="30" w:lineRule="exact"/>
        <w:rPr>
          <w:rFonts w:ascii="Courier New" w:cs="Courier New" w:eastAsia="Courier New" w:hAnsi="Courier New"/>
          <w:sz w:val="18"/>
          <w:szCs w:val="18"/>
          <w:color w:val="auto"/>
        </w:rPr>
      </w:pPr>
    </w:p>
    <w:p>
      <w:pPr>
        <w:ind w:left="860" w:right="231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(13-3434400), an investment adviser registered under Section 203 of the Investment Advisers Act of 1940.</w:t>
      </w:r>
    </w:p>
    <w:p>
      <w:pPr>
        <w:spacing w:after="0" w:line="253" w:lineRule="exact"/>
        <w:rPr>
          <w:sz w:val="20"/>
          <w:szCs w:val="20"/>
          <w:color w:val="auto"/>
        </w:rPr>
      </w:pPr>
    </w:p>
    <w:p>
      <w:pPr>
        <w:ind w:left="860" w:hanging="536"/>
        <w:spacing w:after="0"/>
        <w:tabs>
          <w:tab w:leader="none" w:pos="86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Equitable Life Assurance Society of the United States</w:t>
      </w:r>
    </w:p>
    <w:p>
      <w:pPr>
        <w:spacing w:after="0" w:line="30" w:lineRule="exact"/>
        <w:rPr>
          <w:rFonts w:ascii="Courier New" w:cs="Courier New" w:eastAsia="Courier New" w:hAnsi="Courier New"/>
          <w:sz w:val="18"/>
          <w:szCs w:val="18"/>
          <w:color w:val="auto"/>
        </w:rPr>
      </w:pPr>
    </w:p>
    <w:p>
      <w:pPr>
        <w:ind w:left="860" w:right="2199"/>
        <w:spacing w:after="0" w:line="378"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(13-5570651), an insurance company and an investment adviser registered under Section 203 of the Investment Advisers Act of 1940.</w:t>
      </w:r>
    </w:p>
    <w:p>
      <w:pPr>
        <w:sectPr>
          <w:pgSz w:w="11900" w:h="16838" w:orient="portrait"/>
          <w:cols w:equalWidth="0" w:num="1">
            <w:col w:w="10219"/>
          </w:cols>
          <w:pgMar w:left="240" w:top="691" w:right="1440"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96"/>
        </w:trPr>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220" w:type="dxa"/>
            <w:vAlign w:val="bottom"/>
            <w:gridSpan w:val="2"/>
          </w:tcPr>
          <w:p>
            <w:pPr>
              <w:ind w:left="5220"/>
              <w:spacing w:after="0"/>
              <w:rPr>
                <w:sz w:val="20"/>
                <w:szCs w:val="20"/>
                <w:color w:val="auto"/>
              </w:rPr>
            </w:pPr>
            <w:r>
              <w:rPr>
                <w:rFonts w:ascii="Courier New" w:cs="Courier New" w:eastAsia="Courier New" w:hAnsi="Courier New"/>
                <w:sz w:val="18"/>
                <w:szCs w:val="18"/>
                <w:color w:val="auto"/>
                <w:w w:val="96"/>
              </w:rPr>
              <w:t>Page 12 of 12 Pages</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8.</w:t>
            </w:r>
          </w:p>
        </w:tc>
        <w:tc>
          <w:tcPr>
            <w:tcW w:w="6480" w:type="dxa"/>
            <w:vAlign w:val="bottom"/>
          </w:tcPr>
          <w:p>
            <w:pPr>
              <w:ind w:left="60"/>
              <w:spacing w:after="0"/>
              <w:rPr>
                <w:sz w:val="20"/>
                <w:szCs w:val="20"/>
                <w:color w:val="auto"/>
              </w:rPr>
            </w:pPr>
            <w:r>
              <w:rPr>
                <w:rFonts w:ascii="Courier New" w:cs="Courier New" w:eastAsia="Courier New" w:hAnsi="Courier New"/>
                <w:sz w:val="18"/>
                <w:szCs w:val="18"/>
                <w:color w:val="auto"/>
              </w:rPr>
              <w:t>Identification and Classification of Members of the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9.</w:t>
            </w:r>
          </w:p>
        </w:tc>
        <w:tc>
          <w:tcPr>
            <w:tcW w:w="6480" w:type="dxa"/>
            <w:vAlign w:val="bottom"/>
          </w:tcPr>
          <w:p>
            <w:pPr>
              <w:ind w:left="160"/>
              <w:spacing w:after="0"/>
              <w:rPr>
                <w:sz w:val="20"/>
                <w:szCs w:val="20"/>
                <w:color w:val="auto"/>
              </w:rPr>
            </w:pPr>
            <w:r>
              <w:rPr>
                <w:rFonts w:ascii="Courier New" w:cs="Courier New" w:eastAsia="Courier New" w:hAnsi="Courier New"/>
                <w:sz w:val="18"/>
                <w:szCs w:val="18"/>
                <w:color w:val="auto"/>
              </w:rPr>
              <w:t>Notice of Dissolution of Group:</w:t>
            </w:r>
          </w:p>
        </w:tc>
        <w:tc>
          <w:tcPr>
            <w:tcW w:w="740" w:type="dxa"/>
            <w:vAlign w:val="bottom"/>
          </w:tcPr>
          <w:p>
            <w:pPr>
              <w:ind w:left="320"/>
              <w:spacing w:after="0"/>
              <w:rPr>
                <w:sz w:val="20"/>
                <w:szCs w:val="20"/>
                <w:color w:val="auto"/>
              </w:rPr>
            </w:pPr>
            <w:r>
              <w:rPr>
                <w:rFonts w:ascii="Courier New" w:cs="Courier New" w:eastAsia="Courier New" w:hAnsi="Courier New"/>
                <w:sz w:val="18"/>
                <w:szCs w:val="18"/>
                <w:color w:val="auto"/>
              </w:rPr>
              <w:t>N/A</w:t>
            </w:r>
          </w:p>
        </w:tc>
      </w:tr>
    </w:tbl>
    <w:p>
      <w:pPr>
        <w:spacing w:after="0" w:line="1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ind w:left="420" w:right="2419" w:firstLine="527"/>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200" w:lineRule="exact"/>
        <w:rPr>
          <w:sz w:val="20"/>
          <w:szCs w:val="20"/>
          <w:color w:val="auto"/>
        </w:rPr>
      </w:pPr>
    </w:p>
    <w:p>
      <w:pPr>
        <w:spacing w:after="0" w:line="273"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jc w:val="both"/>
        <w:ind w:left="420" w:right="2839" w:firstLine="527"/>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20"/>
        <w:spacing w:after="0"/>
        <w:tabs>
          <w:tab w:leader="none" w:pos="1260" w:val="left"/>
          <w:tab w:leader="none" w:pos="45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June 6, 2003</w:t>
      </w:r>
      <w:r>
        <w:rPr>
          <w:sz w:val="20"/>
          <w:szCs w:val="20"/>
          <w:color w:val="auto"/>
        </w:rPr>
        <w:tab/>
      </w:r>
      <w:r>
        <w:rPr>
          <w:rFonts w:ascii="Courier New" w:cs="Courier New" w:eastAsia="Courier New" w:hAnsi="Courier New"/>
          <w:sz w:val="16"/>
          <w:szCs w:val="16"/>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/s/ Alvin H. Fenichel</w:t>
      </w:r>
    </w:p>
    <w:p>
      <w:pPr>
        <w:spacing w:after="0" w:line="201"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Alvin H. Fenichel</w:t>
      </w:r>
    </w:p>
    <w:p>
      <w:pPr>
        <w:spacing w:after="0" w:line="29"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Senior Vice President</w:t>
      </w:r>
    </w:p>
    <w:p>
      <w:pPr>
        <w:ind w:left="4960"/>
        <w:spacing w:after="0"/>
        <w:rPr>
          <w:sz w:val="20"/>
          <w:szCs w:val="20"/>
          <w:color w:val="auto"/>
        </w:rPr>
      </w:pPr>
      <w:r>
        <w:rPr>
          <w:rFonts w:ascii="Courier New" w:cs="Courier New" w:eastAsia="Courier New" w:hAnsi="Courier New"/>
          <w:sz w:val="18"/>
          <w:szCs w:val="18"/>
          <w:color w:val="auto"/>
        </w:rPr>
        <w:t>and Controller</w:t>
      </w:r>
    </w:p>
    <w:p>
      <w:pPr>
        <w:spacing w:after="0" w:line="169" w:lineRule="exact"/>
        <w:rPr>
          <w:sz w:val="20"/>
          <w:szCs w:val="20"/>
          <w:color w:val="auto"/>
        </w:rPr>
      </w:pPr>
    </w:p>
    <w:p>
      <w:pPr>
        <w:ind w:left="420" w:right="2319" w:hanging="104"/>
        <w:spacing w:after="0" w:line="289" w:lineRule="auto"/>
        <w:rPr>
          <w:sz w:val="20"/>
          <w:szCs w:val="20"/>
          <w:color w:val="auto"/>
        </w:rPr>
      </w:pPr>
      <w:r>
        <w:rPr>
          <w:rFonts w:ascii="Courier New" w:cs="Courier New" w:eastAsia="Courier New" w:hAnsi="Courier New"/>
          <w:sz w:val="16"/>
          <w:szCs w:val="16"/>
          <w:color w:val="auto"/>
        </w:rPr>
        <w:t>*Pursuant to the Joint Filing Agreement with respect to Schedule 13G attached hereto as Exhibit I, among AXA Financial, Inc., AXA Assurances</w:t>
      </w:r>
    </w:p>
    <w:p>
      <w:pPr>
        <w:spacing w:after="0" w:line="1" w:lineRule="exact"/>
        <w:rPr>
          <w:sz w:val="20"/>
          <w:szCs w:val="20"/>
          <w:color w:val="auto"/>
        </w:rPr>
      </w:pPr>
    </w:p>
    <w:p>
      <w:pPr>
        <w:ind w:left="320" w:right="2199"/>
        <w:spacing w:after="0" w:line="273" w:lineRule="auto"/>
        <w:rPr>
          <w:sz w:val="20"/>
          <w:szCs w:val="20"/>
          <w:color w:val="auto"/>
        </w:rPr>
      </w:pPr>
      <w:r>
        <w:rPr>
          <w:rFonts w:ascii="Courier New" w:cs="Courier New" w:eastAsia="Courier New" w:hAnsi="Courier New"/>
          <w:sz w:val="18"/>
          <w:szCs w:val="18"/>
          <w:color w:val="auto"/>
        </w:rPr>
        <w:t>I.A.R.D Mutuelle, AXA Assurances Vie Mutuelle, AXA Courtage Assurance Mutuelle, and AXA, this statement Schedule 13G is filed on behalf of each of them.</w:t>
      </w:r>
    </w:p>
    <w:p>
      <w:pPr>
        <w:sectPr>
          <w:pgSz w:w="11900" w:h="16838" w:orient="portrait"/>
          <w:cols w:equalWidth="0" w:num="1">
            <w:col w:w="10219"/>
          </w:cols>
          <w:pgMar w:left="240" w:top="488" w:right="1440" w:bottom="1440" w:gutter="0" w:footer="0" w:header="0"/>
        </w:sectPr>
      </w:pPr>
    </w:p>
    <w:bookmarkStart w:id="12" w:name="page13"/>
    <w:bookmarkEnd w:id="12"/>
    <w:p>
      <w:pPr>
        <w:ind w:left="6860"/>
        <w:spacing w:after="0"/>
        <w:rPr>
          <w:sz w:val="20"/>
          <w:szCs w:val="20"/>
          <w:color w:val="auto"/>
        </w:rPr>
      </w:pPr>
      <w:r>
        <w:rPr>
          <w:rFonts w:ascii="Courier New" w:cs="Courier New" w:eastAsia="Courier New" w:hAnsi="Courier New"/>
          <w:sz w:val="18"/>
          <w:szCs w:val="18"/>
          <w:color w:val="auto"/>
        </w:rPr>
        <w:t>EXHIBIT I</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JOINT FILING AGREEMENT</w:t>
      </w:r>
    </w:p>
    <w:p>
      <w:pPr>
        <w:spacing w:after="0" w:line="31" w:lineRule="exact"/>
        <w:rPr>
          <w:sz w:val="20"/>
          <w:szCs w:val="20"/>
          <w:color w:val="auto"/>
        </w:rPr>
      </w:pPr>
    </w:p>
    <w:p>
      <w:pPr>
        <w:ind w:left="3380"/>
        <w:spacing w:after="0"/>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20" w:right="2099" w:firstLine="527"/>
        <w:spacing w:after="0" w:line="292" w:lineRule="auto"/>
        <w:rPr>
          <w:sz w:val="20"/>
          <w:szCs w:val="20"/>
          <w:color w:val="auto"/>
        </w:rPr>
      </w:pPr>
      <w:r>
        <w:rPr>
          <w:rFonts w:ascii="Courier New" w:cs="Courier New" w:eastAsia="Courier New" w:hAnsi="Courier New"/>
          <w:sz w:val="18"/>
          <w:szCs w:val="18"/>
          <w:color w:val="auto"/>
        </w:rPr>
        <w:t>Each of the undersigned hereby agrees that the Schedule 13G filed herewith is filed jointly, pursuant to Rule 13d-1(f)(1) of the Securities Exchange Act of 1934, as amended on behalf of each of them.</w:t>
      </w:r>
    </w:p>
    <w:p>
      <w:pPr>
        <w:spacing w:after="0" w:line="269" w:lineRule="exact"/>
        <w:rPr>
          <w:sz w:val="20"/>
          <w:szCs w:val="20"/>
          <w:color w:val="auto"/>
        </w:rPr>
      </w:pPr>
    </w:p>
    <w:p>
      <w:pPr>
        <w:ind w:left="960"/>
        <w:spacing w:after="0"/>
        <w:tabs>
          <w:tab w:leader="none" w:pos="178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6"/>
          <w:szCs w:val="16"/>
          <w:color w:val="auto"/>
        </w:rPr>
        <w:t>July 10, 2003</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AXA Financial,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Alvin H. Fenichel</w:t>
      </w:r>
    </w:p>
    <w:p>
      <w:pPr>
        <w:ind w:left="1280"/>
        <w:spacing w:after="0"/>
        <w:rPr>
          <w:sz w:val="20"/>
          <w:szCs w:val="20"/>
          <w:color w:val="auto"/>
        </w:rPr>
      </w:pPr>
      <w:r>
        <w:rPr>
          <w:rFonts w:ascii="Courier New" w:cs="Courier New" w:eastAsia="Courier New" w:hAnsi="Courier New"/>
          <w:sz w:val="18"/>
          <w:szCs w:val="18"/>
          <w:color w:val="auto"/>
        </w:rPr>
        <w:t>Senior Vice President and Controller</w:t>
      </w:r>
    </w:p>
    <w:p>
      <w:pPr>
        <w:spacing w:after="0" w:line="200" w:lineRule="exact"/>
        <w:rPr>
          <w:sz w:val="20"/>
          <w:szCs w:val="20"/>
          <w:color w:val="auto"/>
        </w:rPr>
      </w:pPr>
    </w:p>
    <w:p>
      <w:pPr>
        <w:spacing w:after="0" w:line="374" w:lineRule="exact"/>
        <w:rPr>
          <w:sz w:val="20"/>
          <w:szCs w:val="20"/>
          <w:color w:val="auto"/>
        </w:rPr>
      </w:pPr>
    </w:p>
    <w:p>
      <w:pPr>
        <w:ind w:right="2319" w:firstLine="948"/>
        <w:spacing w:after="0" w:line="347" w:lineRule="auto"/>
        <w:rPr>
          <w:sz w:val="20"/>
          <w:szCs w:val="20"/>
          <w:color w:val="auto"/>
        </w:rPr>
      </w:pPr>
      <w:r>
        <w:rPr>
          <w:rFonts w:ascii="Courier New" w:cs="Courier New" w:eastAsia="Courier New" w:hAnsi="Courier New"/>
          <w:sz w:val="18"/>
          <w:szCs w:val="18"/>
          <w:color w:val="auto"/>
        </w:rPr>
        <w:t>AXA Assurances I.A.R.D. Mutuelle; AXA Assurances Vie Mutuelle; AXA Courtage Assurance Mutuelle, as a group, and AXA</w:t>
      </w:r>
    </w:p>
    <w:p>
      <w:pPr>
        <w:spacing w:after="0" w:line="18"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Signed on behalf of each of the above entities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BY: /s/ Alvin H. Fenichel</w:t>
      </w:r>
    </w:p>
    <w:p>
      <w:pPr>
        <w:spacing w:after="0" w:line="29"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w:t>
      </w:r>
    </w:p>
    <w:p>
      <w:pPr>
        <w:ind w:left="1280"/>
        <w:spacing w:after="0" w:line="238" w:lineRule="auto"/>
        <w:rPr>
          <w:sz w:val="20"/>
          <w:szCs w:val="20"/>
          <w:color w:val="auto"/>
        </w:rPr>
      </w:pPr>
      <w:r>
        <w:rPr>
          <w:rFonts w:ascii="Courier New" w:cs="Courier New" w:eastAsia="Courier New" w:hAnsi="Courier New"/>
          <w:sz w:val="18"/>
          <w:szCs w:val="18"/>
          <w:color w:val="auto"/>
        </w:rPr>
        <w:t>Alvin H. Fenichel</w:t>
      </w:r>
    </w:p>
    <w:p>
      <w:pPr>
        <w:ind w:left="1280"/>
        <w:spacing w:after="0"/>
        <w:rPr>
          <w:sz w:val="20"/>
          <w:szCs w:val="20"/>
          <w:color w:val="auto"/>
        </w:rPr>
      </w:pPr>
      <w:r>
        <w:rPr>
          <w:rFonts w:ascii="Courier New" w:cs="Courier New" w:eastAsia="Courier New" w:hAnsi="Courier New"/>
          <w:sz w:val="18"/>
          <w:szCs w:val="18"/>
          <w:color w:val="auto"/>
        </w:rPr>
        <w:t>Attorney-in-Fact</w:t>
      </w:r>
    </w:p>
    <w:p>
      <w:pPr>
        <w:ind w:left="1280"/>
        <w:spacing w:after="0"/>
        <w:rPr>
          <w:sz w:val="20"/>
          <w:szCs w:val="20"/>
          <w:color w:val="auto"/>
        </w:rPr>
      </w:pPr>
      <w:r>
        <w:rPr>
          <w:rFonts w:ascii="Courier New" w:cs="Courier New" w:eastAsia="Courier New" w:hAnsi="Courier New"/>
          <w:sz w:val="18"/>
          <w:szCs w:val="18"/>
          <w:color w:val="auto"/>
        </w:rPr>
        <w:t>(Executed pursuant to Powers of Attorney)</w:t>
      </w: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lvl w:ilvl="1">
      <w:lvlJc w:val="left"/>
      <w:lvlText w:val="X"/>
      <w:numFmt w:val="bullet"/>
      <w:start w:val="1"/>
    </w:lvl>
  </w:abstractNum>
  <w:abstractNum w:abstractNumId="1">
    <w:nsid w:val="12200854"/>
    <w:multiLevelType w:val="hybridMultilevel"/>
    <w:lvl w:ilvl="0">
      <w:lvlJc w:val="left"/>
      <w:lvlText w:val="%1."/>
      <w:numFmt w:val="decimal"/>
      <w:start w:val="1"/>
    </w:lvl>
  </w:abstractNum>
  <w:abstractNum w:abstractNumId="2">
    <w:nsid w:val="4DB127F8"/>
    <w:multiLevelType w:val="hybridMultilevel"/>
    <w:lvl w:ilvl="0">
      <w:lvlJc w:val="left"/>
      <w:lvlText w:val="%1."/>
      <w:numFmt w:val="decimal"/>
      <w:start w:val="12"/>
    </w:lvl>
    <w:lvl w:ilvl="1">
      <w:lvlJc w:val="left"/>
      <w:lvlText w:val="*"/>
      <w:numFmt w:val="bullet"/>
      <w:start w:val="1"/>
    </w:lvl>
  </w:abstractNum>
  <w:abstractNum w:abstractNumId="3">
    <w:nsid w:val="216231B"/>
    <w:multiLevelType w:val="hybridMultilevel"/>
    <w:lvl w:ilvl="0">
      <w:lvlJc w:val="left"/>
      <w:lvlText w:val="%1."/>
      <w:numFmt w:val="decimal"/>
      <w:start w:val="1"/>
    </w:lvl>
  </w:abstractNum>
  <w:abstractNum w:abstractNumId="4">
    <w:nsid w:val="1F16E9E8"/>
    <w:multiLevelType w:val="hybridMultilevel"/>
    <w:lvl w:ilvl="0">
      <w:lvlJc w:val="left"/>
      <w:lvlText w:val="%1."/>
      <w:numFmt w:val="decimal"/>
      <w:start w:val="12"/>
    </w:lvl>
    <w:lvl w:ilvl="1">
      <w:lvlJc w:val="left"/>
      <w:lvlText w:val="*"/>
      <w:numFmt w:val="bullet"/>
      <w:start w:val="1"/>
    </w:lvl>
  </w:abstractNum>
  <w:abstractNum w:abstractNumId="5">
    <w:nsid w:val="1190CDE7"/>
    <w:multiLevelType w:val="hybridMultilevel"/>
    <w:lvl w:ilvl="0">
      <w:lvlJc w:val="left"/>
      <w:lvlText w:val="%1."/>
      <w:numFmt w:val="decimal"/>
      <w:start w:val="1"/>
    </w:lvl>
  </w:abstractNum>
  <w:abstractNum w:abstractNumId="6">
    <w:nsid w:val="66EF438D"/>
    <w:multiLevelType w:val="hybridMultilevel"/>
    <w:lvl w:ilvl="0">
      <w:lvlJc w:val="left"/>
      <w:lvlText w:val="%1."/>
      <w:numFmt w:val="decimal"/>
      <w:start w:val="12"/>
    </w:lvl>
    <w:lvl w:ilvl="1">
      <w:lvlJc w:val="left"/>
      <w:lvlText w:val="*"/>
      <w:numFmt w:val="bullet"/>
      <w:start w:val="1"/>
    </w:lvl>
  </w:abstractNum>
  <w:abstractNum w:abstractNumId="7">
    <w:nsid w:val="140E0F76"/>
    <w:multiLevelType w:val="hybridMultilevel"/>
    <w:lvl w:ilvl="0">
      <w:lvlJc w:val="left"/>
      <w:lvlText w:val="%1."/>
      <w:numFmt w:val="decimal"/>
      <w:start w:val="1"/>
    </w:lvl>
  </w:abstractNum>
  <w:abstractNum w:abstractNumId="8">
    <w:nsid w:val="3352255A"/>
    <w:multiLevelType w:val="hybridMultilevel"/>
    <w:lvl w:ilvl="0">
      <w:lvlJc w:val="left"/>
      <w:lvlText w:val="%1."/>
      <w:numFmt w:val="decimal"/>
      <w:start w:val="12"/>
    </w:lvl>
    <w:lvl w:ilvl="1">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decimal"/>
      <w:start w:val="3"/>
    </w:lvl>
  </w:abstractNum>
  <w:abstractNum w:abstractNumId="11">
    <w:nsid w:val="7FDCC233"/>
    <w:multiLevelType w:val="hybridMultilevel"/>
    <w:lvl w:ilvl="0">
      <w:lvlJc w:val="left"/>
      <w:lvlText w:val="%1."/>
      <w:numFmt w:val="decimal"/>
      <w:start w:val="12"/>
    </w:lvl>
    <w:lvl w:ilvl="1">
      <w:lvlJc w:val="left"/>
      <w:lvlText w:val="*"/>
      <w:numFmt w:val="bullet"/>
      <w:start w:val="1"/>
    </w:lvl>
  </w:abstractNum>
  <w:abstractNum w:abstractNumId="12">
    <w:nsid w:val="1BEFD79F"/>
    <w:multiLevelType w:val="hybridMultilevel"/>
    <w:lvl w:ilvl="0">
      <w:lvlJc w:val="left"/>
      <w:lvlText w:val="(%1)"/>
      <w:numFmt w:val="upperLetter"/>
      <w:start w:val="24"/>
    </w:lvl>
  </w:abstractNum>
  <w:abstractNum w:abstractNumId="13">
    <w:nsid w:val="41A7C4C9"/>
    <w:multiLevelType w:val="hybridMultilevel"/>
    <w:lvl w:ilvl="0">
      <w:lvlJc w:val="left"/>
      <w:lvlText w:val="(%1)"/>
      <w:numFmt w:val="upperLetter"/>
      <w:start w:val="24"/>
    </w:lvl>
  </w:abstractNum>
  <w:abstractNum w:abstractNumId="14">
    <w:nsid w:val="6B68079A"/>
    <w:multiLevelType w:val="hybridMultilevel"/>
    <w:lvl w:ilvl="0">
      <w:lvlJc w:val="left"/>
      <w:lvlText w:val="(%1)"/>
      <w:numFmt w:val="upperLetter"/>
      <w:start w:val="24"/>
    </w:lvl>
  </w:abstractNum>
  <w:abstractNum w:abstractNumId="15">
    <w:nsid w:val="4E6AFB66"/>
    <w:multiLevelType w:val="hybridMultilevel"/>
    <w:lvl w:ilvl="0">
      <w:lvlJc w:val="left"/>
      <w:lvlText w:val="(%1)"/>
      <w:numFmt w:val="upperLetter"/>
      <w:start w:val="24"/>
    </w:lvl>
  </w:abstractNum>
  <w:abstractNum w:abstractNumId="16">
    <w:nsid w:val="25E45D32"/>
    <w:multiLevelType w:val="hybridMultilevel"/>
    <w:lvl w:ilvl="0">
      <w:lvlJc w:val="left"/>
      <w:lvlText w:val="(%1)"/>
      <w:numFmt w:val="upperLetter"/>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2019-12-15T07:03:58Z</dcterms:created>
  <dcterms:modified xsi:type="dcterms:W3CDTF">2019-12-15T07:03:58Z</dcterms:modified>
</cp:coreProperties>
</file>