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333-191239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May 13, 2016</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$1,430,000,000 4.05% NOTES DUE 2046</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33" w:right="239" w:bottom="1440" w:gutter="0" w:footer="0" w:header="0"/>
        </w:sectPr>
      </w:pP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00"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4.05% Notes due 2046</w:t>
      </w:r>
    </w:p>
    <w:p>
      <w:pPr>
        <w:spacing w:after="0" w:line="200"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Denominations:</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jc w:val="center"/>
        <w:ind w:right="3480"/>
        <w:spacing w:after="0"/>
        <w:rPr>
          <w:sz w:val="20"/>
          <w:szCs w:val="20"/>
          <w:color w:val="auto"/>
        </w:rPr>
      </w:pPr>
      <w:r>
        <w:rPr>
          <w:rFonts w:ascii="Arial" w:cs="Arial" w:eastAsia="Arial" w:hAnsi="Arial"/>
          <w:sz w:val="15"/>
          <w:szCs w:val="15"/>
          <w:color w:val="auto"/>
        </w:rPr>
        <w:t>$100,000 and multiples of $1,000 in excess thereof</w:t>
      </w:r>
    </w:p>
    <w:p>
      <w:pPr>
        <w:spacing w:after="0" w:line="200"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jc w:val="both"/>
        <w:ind w:right="680"/>
        <w:spacing w:after="0" w:line="370" w:lineRule="auto"/>
        <w:rPr>
          <w:sz w:val="20"/>
          <w:szCs w:val="20"/>
          <w:color w:val="auto"/>
        </w:rPr>
      </w:pPr>
      <w:r>
        <w:rPr>
          <w:rFonts w:ascii="Arial" w:cs="Arial" w:eastAsia="Arial" w:hAnsi="Arial"/>
          <w:sz w:val="15"/>
          <w:szCs w:val="15"/>
          <w:color w:val="auto"/>
        </w:rPr>
        <w:t>The Company intends to use the net proceeds from this offering, after deducting the selling discount, structuring fee and expenses, for working capital and general corporate purposes.</w:t>
      </w:r>
    </w:p>
    <w:p>
      <w:pPr>
        <w:spacing w:after="0" w:line="97" w:lineRule="exact"/>
        <w:rPr>
          <w:sz w:val="24"/>
          <w:szCs w:val="24"/>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4"/>
          <w:szCs w:val="24"/>
          <w:color w:val="auto"/>
        </w:rPr>
      </w:pPr>
      <w:r>
        <w:rPr>
          <w:sz w:val="24"/>
          <w:szCs w:val="24"/>
          <w:color w:val="auto"/>
        </w:rPr>
        <w:br w:type="column"/>
      </w:r>
    </w:p>
    <w:p>
      <w:pPr>
        <w:spacing w:after="0" w:line="256" w:lineRule="auto"/>
        <w:rPr>
          <w:sz w:val="20"/>
          <w:szCs w:val="20"/>
          <w:color w:val="auto"/>
        </w:rPr>
      </w:pPr>
      <w:r>
        <w:rPr>
          <w:rFonts w:ascii="Arial" w:cs="Arial" w:eastAsia="Arial" w:hAnsi="Arial"/>
          <w:sz w:val="18"/>
          <w:szCs w:val="18"/>
          <w:color w:val="auto"/>
        </w:rPr>
        <w:t>Indenture dated as of September 18, 2013 by and among the Company,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amended by the First Supplemental Indenture dated as of November 17, 2015 by and among the Company, the guarantors named therein and the Trustee.</w:t>
      </w:r>
    </w:p>
    <w:p>
      <w:pPr>
        <w:sectPr>
          <w:pgSz w:w="11900" w:h="16838" w:orient="portrait"/>
          <w:cols w:equalWidth="0" w:num="2">
            <w:col w:w="3620" w:space="720"/>
            <w:col w:w="708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jc w:val="center"/>
        <w:ind w:right="3679"/>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-205105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439"/>
        <w:spacing w:after="0"/>
        <w:rPr>
          <w:sz w:val="20"/>
          <w:szCs w:val="20"/>
          <w:color w:val="auto"/>
        </w:rPr>
      </w:pPr>
      <w:r>
        <w:rPr>
          <w:rFonts w:ascii="Arial" w:cs="Arial" w:eastAsia="Arial" w:hAnsi="Arial"/>
          <w:sz w:val="16"/>
          <w:szCs w:val="16"/>
          <w:color w:val="auto"/>
        </w:rPr>
        <w:t>Deutsche Bank AG, Taipei Branch</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Structuring Agents: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Deutsche Bank AG, Taipei Branch</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Co-Structuring Agents: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Mizuho Securities USA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TD Securities (USA) LLC</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Pricing Date: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May 13, 2016</w:t>
      </w:r>
    </w:p>
    <w:p>
      <w:pPr>
        <w:spacing w:after="0" w:line="200"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May 26, 2016 (T+9)</w:t>
      </w:r>
    </w:p>
    <w:p>
      <w:pPr>
        <w:spacing w:after="0" w:line="194" w:lineRule="exact"/>
        <w:rPr>
          <w:sz w:val="20"/>
          <w:szCs w:val="20"/>
          <w:color w:val="auto"/>
        </w:rPr>
      </w:pPr>
    </w:p>
    <w:p>
      <w:pPr>
        <w:sectPr>
          <w:pgSz w:w="11900" w:h="16838" w:orient="portrait"/>
          <w:cols w:equalWidth="0" w:num="2">
            <w:col w:w="3620" w:space="720"/>
            <w:col w:w="5879"/>
          </w:cols>
          <w:pgMar w:left="240" w:top="274" w:right="1440" w:bottom="1440" w:gutter="0" w:footer="0" w:header="0"/>
          <w:type w:val="continuous"/>
        </w:sectPr>
      </w:pPr>
    </w:p>
    <w:p>
      <w:pPr>
        <w:ind w:left="568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19"/>
          </w:cols>
          <w:pgMar w:left="240" w:top="274"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 Selling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Structuring Agents’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$1,430,000,000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-219710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August 1, 2046</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4.05% per annum, accruing from May 26, 2016 (calculated on the basis of a 360-day year consisting of twelve 30-day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February 1 and August 1, commencing August 1, 2016 (short first coupon)</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4.05% Notes due 2046 are redeemable at the option of the Company, in whole but not in part, on each August 1 on or after August 1, 2019. This redemption would be at a redemption price equal to 100% of the principal amount of the notes being redeemed plus accrued and unpaid interest to the redemption date.</w:t>
      </w:r>
    </w:p>
    <w:p>
      <w:pPr>
        <w:spacing w:after="0" w:line="18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4.05% Notes due 2046 are redeemable, in whole but not in part, in the event of certain changes in the tax laws of the United States (or any taxing authority in the United States). This redemption would be at a redemption price equal to 100% of the principal amount of the notes being redeemed plus any accrued interest and additional amounts then payable with respect to the notes to, but not including, the redemption date.</w:t>
      </w:r>
    </w:p>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the extent permitted by applicable authorities in the Republic of China and subject to the receipt of all necessary regulatory and listing approvals from such authorities, including but not limited to the Taipei Exchange (“</w:t>
      </w:r>
      <w:r>
        <w:rPr>
          <w:rFonts w:ascii="Arial" w:cs="Arial" w:eastAsia="Arial" w:hAnsi="Arial"/>
          <w:sz w:val="18"/>
          <w:szCs w:val="18"/>
          <w:b w:val="1"/>
          <w:bCs w:val="1"/>
          <w:color w:val="auto"/>
        </w:rPr>
        <w:t>TPEx</w:t>
      </w:r>
      <w:r>
        <w:rPr>
          <w:rFonts w:ascii="Arial" w:cs="Arial" w:eastAsia="Arial" w:hAnsi="Arial"/>
          <w:sz w:val="18"/>
          <w:szCs w:val="18"/>
          <w:color w:val="auto"/>
        </w:rPr>
        <w:t>”) and the Taiwan Securities Association, an unlimited amount of further 4.05% Notes due 2046 may be issued. The 4.05% Notes due 2046 and any further 4.05% Notes due 2046 that may be issued may be treated as a single series for all purposes under the indenture.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Application will be made for the 4.05% Notes due 2046 to be listed on the TPEx.</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notes have not been, and shall not be, offered, sold or re-sold, directly or indirectly, to investors other than “professional institutional investors” as defined under Paragraph 2 of Article 4 of the Financial Consumer Protection Act of the Republic of China. Purchasers of the notes are not permitted to sell or otherwise dispose of the notes except by transfer to the aforementioned professional institutional investors.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XS1413609493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99.900% per $1,000 principal amount of 4.05% Notes due 2046; $1,428,570,000 total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$9,295,000</w:t>
      </w:r>
    </w:p>
    <w:p>
      <w:pPr>
        <w:spacing w:after="0" w:line="1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620" w:space="720"/>
            <w:col w:w="7060"/>
          </w:cols>
          <w:pgMar w:left="240" w:top="274" w:right="259" w:bottom="1440" w:gutter="0" w:footer="0" w:header="0"/>
        </w:sectPr>
      </w:pPr>
    </w:p>
    <w:bookmarkStart w:id="3" w:name="page4"/>
    <w:bookmarkEnd w:id="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TPEx is not responsible for the content of this Final Term Sheet and no representation is made by the TPEx as to the accuracy or completeness of this Final Term Sheet. The TPEx expressly disclaims any and all liability for any losses arising from, or as a result of the reliance on, all or part of the contents of this Final Term Sheet. Admission to the listing and trading of the notes on the TPEx shall not be taken as an indication of the merits of us or the notes.</w:t>
      </w:r>
    </w:p>
    <w:p>
      <w:pPr>
        <w:spacing w:after="0" w:line="10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May 26, 2016, which is the ninth business day following the date hereof (such settlement cycle being referred to as “T+9”). Under Rule 15c6-1 under the Securities Exchange Act of 1934, as amended, trades in the secondary market generally are required to settle in three business days unless the parties to any such trade expressly agree otherwise. Accordingly, purchasers who wish to trade the notes prior to the third trading day prior to the settlement date will be required, by virtue of the fact that the notes initially will settle in T+9, to specify an alternative settlement cycle at the time of any such trade to prevent failed settlement and should consult their own advisors.</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will arrange to send you these documents if you request them by contacting the issuer at: Comcast Corporation, Attention: Investor Relations, One Comcast Center, Philadelphia, Pennsylvania 19103-2838, (215) 286-1700.</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2019-12-07T15:39:48Z</dcterms:created>
  <dcterms:modified xsi:type="dcterms:W3CDTF">2019-12-07T15:39:48Z</dcterms:modified>
</cp:coreProperties>
</file>