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27, 2017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908" w:right="419" w:bottom="1440" w:gutter="0" w:footer="0" w:header="0"/>
        </w:sectPr>
      </w:pPr>
    </w:p>
    <w:p>
      <w:pPr>
        <w:spacing w:after="0" w:line="200" w:lineRule="exact"/>
        <w:rPr>
          <w:sz w:val="24"/>
          <w:szCs w:val="24"/>
          <w:color w:val="auto"/>
        </w:r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30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680"/>
          </w:cols>
          <w:pgMar w:left="240" w:top="908" w:right="4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March 31, 2017, which was filed with the Securities and Exchange Commission on April 27, 2017.</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240"/>
      </w:cols>
      <w:pgMar w:left="240" w:top="90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2019-12-06T18:07:34Z</dcterms:created>
  <dcterms:modified xsi:type="dcterms:W3CDTF">2019-12-06T18:07:34Z</dcterms:modified>
</cp:coreProperties>
</file>