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208280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4, 2015</w:t>
      </w:r>
    </w:p>
    <w:p>
      <w:pPr>
        <w:spacing w:after="0" w:line="207" w:lineRule="exact"/>
        <w:rPr>
          <w:sz w:val="24"/>
          <w:szCs w:val="24"/>
          <w:color w:val="auto"/>
        </w:rPr>
      </w:pPr>
    </w:p>
    <w:tbl>
      <w:tblPr>
        <w:tblLayout w:type="fixed"/>
        <w:tblInd w:w="1120" w:type="dxa"/>
        <w:tblCellMar>
          <w:top w:w="0" w:type="dxa"/>
          <w:left w:w="0" w:type="dxa"/>
          <w:bottom w:w="0" w:type="dxa"/>
          <w:right w:w="0" w:type="dxa"/>
        </w:tblCellMar>
      </w:tblPr>
      <w:tr>
        <w:trPr>
          <w:trHeight w:val="351"/>
        </w:trPr>
        <w:tc>
          <w:tcPr>
            <w:tcW w:w="2800" w:type="dxa"/>
            <w:vAlign w:val="bottom"/>
          </w:tcPr>
          <w:p>
            <w:pPr>
              <w:spacing w:after="0"/>
              <w:rPr>
                <w:sz w:val="24"/>
                <w:szCs w:val="24"/>
                <w:color w:val="auto"/>
              </w:rPr>
            </w:pPr>
          </w:p>
        </w:tc>
        <w:tc>
          <w:tcPr>
            <w:tcW w:w="6200" w:type="dxa"/>
            <w:vAlign w:val="bottom"/>
          </w:tcPr>
          <w:p>
            <w:pPr>
              <w:jc w:val="center"/>
              <w:ind w:right="2514"/>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800" w:type="dxa"/>
            <w:vAlign w:val="bottom"/>
          </w:tcPr>
          <w:p>
            <w:pPr>
              <w:spacing w:after="0"/>
              <w:rPr>
                <w:sz w:val="12"/>
                <w:szCs w:val="12"/>
                <w:color w:val="auto"/>
              </w:rPr>
            </w:pPr>
          </w:p>
        </w:tc>
        <w:tc>
          <w:tcPr>
            <w:tcW w:w="6200" w:type="dxa"/>
            <w:vAlign w:val="bottom"/>
          </w:tcPr>
          <w:p>
            <w:pPr>
              <w:jc w:val="center"/>
              <w:ind w:right="2534"/>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800" w:type="dxa"/>
            <w:vAlign w:val="bottom"/>
          </w:tcPr>
          <w:p>
            <w:pPr>
              <w:spacing w:after="0"/>
              <w:rPr>
                <w:sz w:val="24"/>
                <w:szCs w:val="24"/>
                <w:color w:val="auto"/>
              </w:rPr>
            </w:pPr>
          </w:p>
        </w:tc>
        <w:tc>
          <w:tcPr>
            <w:tcW w:w="6200" w:type="dxa"/>
            <w:vAlign w:val="bottom"/>
          </w:tcPr>
          <w:p>
            <w:pPr>
              <w:jc w:val="center"/>
              <w:ind w:right="2534"/>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800" w:type="dxa"/>
            <w:vAlign w:val="bottom"/>
          </w:tcPr>
          <w:p>
            <w:pPr>
              <w:spacing w:after="0"/>
              <w:rPr>
                <w:sz w:val="15"/>
                <w:szCs w:val="15"/>
                <w:color w:val="auto"/>
              </w:rPr>
            </w:pPr>
          </w:p>
        </w:tc>
        <w:tc>
          <w:tcPr>
            <w:tcW w:w="620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98"/>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001-32871</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4"/>
              </w:rPr>
              <w:t>(Commission File Number)</w:t>
            </w:r>
          </w:p>
        </w:tc>
        <w:tc>
          <w:tcPr>
            <w:tcW w:w="6200" w:type="dxa"/>
            <w:vAlign w:val="bottom"/>
          </w:tcPr>
          <w:p>
            <w:pPr>
              <w:jc w:val="center"/>
              <w:ind w:left="4134"/>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0"/>
              </w:rPr>
              <w:t>One Comcast Center</w:t>
            </w:r>
          </w:p>
        </w:tc>
        <w:tc>
          <w:tcPr>
            <w:tcW w:w="6200" w:type="dxa"/>
            <w:vAlign w:val="bottom"/>
          </w:tcPr>
          <w:p>
            <w:pPr>
              <w:spacing w:after="0"/>
              <w:rPr>
                <w:sz w:val="24"/>
                <w:szCs w:val="24"/>
                <w:color w:val="auto"/>
              </w:rPr>
            </w:pPr>
          </w:p>
        </w:tc>
      </w:tr>
      <w:tr>
        <w:trPr>
          <w:trHeight w:val="216"/>
        </w:trPr>
        <w:tc>
          <w:tcPr>
            <w:tcW w:w="2800" w:type="dxa"/>
            <w:vAlign w:val="bottom"/>
          </w:tcPr>
          <w:p>
            <w:pPr>
              <w:jc w:val="center"/>
              <w:ind w:right="377"/>
              <w:spacing w:after="0"/>
              <w:rPr>
                <w:sz w:val="20"/>
                <w:szCs w:val="20"/>
                <w:color w:val="auto"/>
              </w:rPr>
            </w:pPr>
            <w:r>
              <w:rPr>
                <w:rFonts w:ascii="Arial" w:cs="Arial" w:eastAsia="Arial" w:hAnsi="Arial"/>
                <w:sz w:val="18"/>
                <w:szCs w:val="18"/>
                <w:b w:val="1"/>
                <w:bCs w:val="1"/>
                <w:color w:val="auto"/>
                <w:w w:val="92"/>
              </w:rPr>
              <w:t>Philadelphia, PA</w:t>
            </w:r>
          </w:p>
        </w:tc>
        <w:tc>
          <w:tcPr>
            <w:tcW w:w="6200" w:type="dxa"/>
            <w:vAlign w:val="bottom"/>
          </w:tcPr>
          <w:p>
            <w:pPr>
              <w:jc w:val="center"/>
              <w:ind w:left="4154"/>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800" w:type="dxa"/>
            <w:vAlign w:val="bottom"/>
          </w:tcPr>
          <w:p>
            <w:pPr>
              <w:jc w:val="center"/>
              <w:ind w:right="377"/>
              <w:spacing w:after="0"/>
              <w:rPr>
                <w:sz w:val="20"/>
                <w:szCs w:val="20"/>
                <w:color w:val="auto"/>
              </w:rPr>
            </w:pPr>
            <w:r>
              <w:rPr>
                <w:rFonts w:ascii="Arial" w:cs="Arial" w:eastAsia="Arial" w:hAnsi="Arial"/>
                <w:sz w:val="14"/>
                <w:szCs w:val="14"/>
                <w:color w:val="auto"/>
                <w:w w:val="95"/>
              </w:rPr>
              <w:t>(Address of Principal Executive Offices)</w:t>
            </w:r>
          </w:p>
        </w:tc>
        <w:tc>
          <w:tcPr>
            <w:tcW w:w="620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May 4, 2015, Comcast Corporation (“Comcast”) issued a press release reporting the results of its operations for the three months ended March 31, 2015.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3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4"/>
          <w:szCs w:val="24"/>
          <w:color w:val="auto"/>
        </w:rPr>
      </w:pPr>
    </w:p>
    <w:p>
      <w:pPr>
        <w:ind w:left="200"/>
        <w:spacing w:after="0"/>
        <w:tabs>
          <w:tab w:leader="none" w:pos="12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Comcast Corporation press release dated May 4, 2015.</w:t>
      </w:r>
    </w:p>
    <w:p>
      <w:pPr>
        <w:spacing w:after="0" w:line="23" w:lineRule="exact"/>
        <w:rPr>
          <w:sz w:val="24"/>
          <w:szCs w:val="24"/>
          <w:color w:val="auto"/>
        </w:rPr>
      </w:pPr>
    </w:p>
    <w:p>
      <w:pPr>
        <w:ind w:left="380"/>
        <w:spacing w:after="0"/>
        <w:tabs>
          <w:tab w:leader="none" w:pos="12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Explanation of Non-GAAP and Other Financial Measures.</w:t>
      </w:r>
    </w:p>
    <w:p>
      <w:pPr>
        <w:sectPr>
          <w:pgSz w:w="11900" w:h="16838" w:orient="portrait"/>
          <w:cols w:equalWidth="0" w:num="1">
            <w:col w:w="11420"/>
          </w:cols>
          <w:pgMar w:left="240" w:top="55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May 4, 2015</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Chief Accounting Officer</w:t>
            </w:r>
          </w:p>
        </w:tc>
        <w:tc>
          <w:tcPr>
            <w:tcW w:w="4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and Controller</w:t>
            </w:r>
          </w:p>
        </w:tc>
        <w:tc>
          <w:tcPr>
            <w:tcW w:w="4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560" w:type="dxa"/>
            <w:vAlign w:val="bottom"/>
            <w:tcBorders>
              <w:bottom w:val="single" w:sz="8" w:color="010101"/>
            </w:tcBorders>
          </w:tcPr>
          <w:p>
            <w:pPr>
              <w:spacing w:after="0"/>
              <w:rPr>
                <w:sz w:val="24"/>
                <w:szCs w:val="24"/>
                <w:color w:val="auto"/>
              </w:rPr>
            </w:pPr>
          </w:p>
        </w:tc>
        <w:tc>
          <w:tcPr>
            <w:tcW w:w="2620" w:type="dxa"/>
            <w:vAlign w:val="bottom"/>
            <w:tcBorders>
              <w:bottom w:val="single" w:sz="8" w:color="010101"/>
            </w:tcBorders>
          </w:tcPr>
          <w:p>
            <w:pPr>
              <w:spacing w:after="0"/>
              <w:rPr>
                <w:sz w:val="24"/>
                <w:szCs w:val="24"/>
                <w:color w:val="auto"/>
              </w:rPr>
            </w:pPr>
          </w:p>
        </w:tc>
        <w:tc>
          <w:tcPr>
            <w:tcW w:w="5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29" w:right="199" w:bottom="1440" w:gutter="0" w:footer="0" w:header="0"/>
        </w:sectPr>
      </w:pPr>
    </w:p>
    <w:bookmarkStart w:id="2" w:name="page3"/>
    <w:bookmarkEnd w:id="2"/>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311910" cy="557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1910" cy="55753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COMCAST REPORTS 1st QUARTER 2015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1st Quarter 2015 Highlights:</w:t>
      </w:r>
    </w:p>
    <w:p>
      <w:pPr>
        <w:spacing w:after="0" w:line="13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2.6%, Operating Cash Flow Increased 7.6%, Operating Income Increased 9.0%</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Increased 9.0%, Excluding Transaction-Related Costs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Increased 12.7% to $3.2 Billion</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14.1% to $0.81; Excluding Adjustments, EPS Increased 16.2% to $0.79</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Dividends and Quarterly Share Repurchases Increased $1.3 Billion, or 104.4%,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$2.6 Billion</w:t>
      </w:r>
    </w:p>
    <w:p>
      <w:pPr>
        <w:spacing w:after="0" w:line="11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 Repurchases to Increase by $2.5 Billion, with $6.75 Billion to be Repurchased in 2015</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1st Quarter 2015 Highlights:</w:t>
      </w:r>
    </w:p>
    <w:p>
      <w:pPr>
        <w:spacing w:after="0" w:line="13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Communications Revenue Increased 6.3% and Operating Cash Flow Increased 6.2%</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Relationships Increased by 199,000, a 61% Improvement from the First Quarter of 2014</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per Customer Relationship Increased 4.7%</w:t>
      </w:r>
    </w:p>
    <w:p>
      <w:pPr>
        <w:spacing w:after="0" w:line="130" w:lineRule="exact"/>
        <w:rPr>
          <w:rFonts w:ascii="Arial" w:cs="Arial" w:eastAsia="Arial" w:hAnsi="Arial"/>
          <w:sz w:val="18"/>
          <w:szCs w:val="18"/>
          <w:color w:val="auto"/>
        </w:rPr>
      </w:pPr>
    </w:p>
    <w:p>
      <w:pPr>
        <w:ind w:left="660" w:hanging="328"/>
        <w:spacing w:after="0" w:line="262"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High-Speed Internet Customers Increased by 407,000; High-Speed Internet Revenue Growth of 10.7% Is the Strongest Rate of Growth in Over Four Years</w:t>
      </w:r>
    </w:p>
    <w:p>
      <w:pPr>
        <w:spacing w:after="0" w:line="88"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X1 Deployments Have Accelerated; Over 25% of Triple Play Customers Now Have X1</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Services Revenue Increased 21.4%, Approaching $4.5 Billion in Annualized Revenue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1st Quarter 2015 Highlights:</w:t>
      </w:r>
    </w:p>
    <w:p>
      <w:pPr>
        <w:spacing w:after="0" w:line="139" w:lineRule="exact"/>
        <w:rPr>
          <w:sz w:val="20"/>
          <w:szCs w:val="20"/>
          <w:color w:val="auto"/>
        </w:rPr>
      </w:pPr>
    </w:p>
    <w:p>
      <w:pPr>
        <w:ind w:left="660" w:hanging="328"/>
        <w:spacing w:after="0" w:line="262" w:lineRule="auto"/>
        <w:tabs>
          <w:tab w:leader="none" w:pos="676" w:val="left"/>
        </w:tabs>
        <w:numPr>
          <w:ilvl w:val="0"/>
          <w:numId w:val="5"/>
        </w:numPr>
        <w:rPr>
          <w:rFonts w:ascii="Arial" w:cs="Arial" w:eastAsia="Arial" w:hAnsi="Arial"/>
          <w:sz w:val="18"/>
          <w:szCs w:val="18"/>
          <w:color w:val="auto"/>
        </w:rPr>
      </w:pPr>
      <w:r>
        <w:rPr>
          <w:rFonts w:ascii="Arial" w:cs="Arial" w:eastAsia="Arial" w:hAnsi="Arial"/>
          <w:sz w:val="18"/>
          <w:szCs w:val="18"/>
          <w:color w:val="auto"/>
        </w:rPr>
        <w:t>NBCUniversal Revenue Increased 7.9%, Excluding the 2014 Sochi Olympics and 2015 Super Bowl; Including these Events, Revenue Decreased 4.0%; Operating Cash Flow Increased 14.0%</w:t>
      </w:r>
    </w:p>
    <w:p>
      <w:pPr>
        <w:spacing w:after="0" w:line="88"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NBC Remains Ranked #1 Among Adults 18-49</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Super Bowl XLIX, the Most Watched Television Event of All Time, Generated $376 Million in Revenue</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Theme Parks Revenue Increased 33.7% and Operating Cash Flow Increased 54.6%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May 4, 2015… Comcast Corporation (NASDAQ: CMCSA, CMCSK) today reported results for the quarter ended March 31, 2015.</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Brian L. Roberts, Chairman and Chief Executive Officer of Comcast Corporation, said, “We are off to a great start in 2015, with 7.6% operating cash flow growth and record quarterly free cash flow. Cable had a terrific quarter, once again reflecting strong results in high-speed Internet and business services. We have made progress in transforming the customer experience while delivering improved products and innovations faster than ever before. At NBCUniversal, we had another excellent quarter, led by Super Bowl XLIX, which was the most-watched television program of all time, along with the tremendous box office success of </w:t>
      </w:r>
      <w:r>
        <w:rPr>
          <w:rFonts w:ascii="Arial" w:cs="Arial" w:eastAsia="Arial" w:hAnsi="Arial"/>
          <w:sz w:val="18"/>
          <w:szCs w:val="18"/>
          <w:i w:val="1"/>
          <w:iCs w:val="1"/>
          <w:color w:val="auto"/>
        </w:rPr>
        <w:t>Fifty Shades of Grey</w:t>
      </w:r>
      <w:r>
        <w:rPr>
          <w:rFonts w:ascii="Arial" w:cs="Arial" w:eastAsia="Arial" w:hAnsi="Arial"/>
          <w:sz w:val="18"/>
          <w:szCs w:val="18"/>
          <w:color w:val="auto"/>
        </w:rPr>
        <w:t xml:space="preserve">, and the exceptional performance of </w:t>
      </w:r>
      <w:r>
        <w:rPr>
          <w:rFonts w:ascii="Arial" w:cs="Arial" w:eastAsia="Arial" w:hAnsi="Arial"/>
          <w:sz w:val="18"/>
          <w:szCs w:val="18"/>
          <w:i w:val="1"/>
          <w:iCs w:val="1"/>
          <w:color w:val="auto"/>
        </w:rPr>
        <w:t>The Wizarding World of</w:t>
      </w:r>
      <w:r>
        <w:rPr>
          <w:rFonts w:ascii="Arial" w:cs="Arial" w:eastAsia="Arial" w:hAnsi="Arial"/>
          <w:sz w:val="18"/>
          <w:szCs w:val="18"/>
          <w:color w:val="auto"/>
        </w:rPr>
        <w:t xml:space="preserve"> </w:t>
      </w:r>
      <w:r>
        <w:rPr>
          <w:rFonts w:ascii="Arial" w:cs="Arial" w:eastAsia="Arial" w:hAnsi="Arial"/>
          <w:sz w:val="18"/>
          <w:szCs w:val="18"/>
          <w:i w:val="1"/>
          <w:iCs w:val="1"/>
          <w:color w:val="auto"/>
        </w:rPr>
        <w:t>Harry Potter</w:t>
      </w:r>
      <w:r>
        <w:rPr>
          <w:rFonts w:ascii="Arial" w:cs="Arial" w:eastAsia="Arial" w:hAnsi="Arial"/>
          <w:sz w:val="8"/>
          <w:szCs w:val="8"/>
          <w:color w:val="auto"/>
        </w:rPr>
        <w:t>TM</w:t>
      </w:r>
      <w:r>
        <w:rPr>
          <w:rFonts w:ascii="Arial" w:cs="Arial" w:eastAsia="Arial" w:hAnsi="Arial"/>
          <w:sz w:val="18"/>
          <w:szCs w:val="18"/>
          <w:i w:val="1"/>
          <w:iCs w:val="1"/>
          <w:color w:val="auto"/>
        </w:rPr>
        <w:t xml:space="preserve"> - Diagon Alley</w:t>
      </w:r>
      <w:r>
        <w:rPr>
          <w:rFonts w:ascii="Arial" w:cs="Arial" w:eastAsia="Arial" w:hAnsi="Arial"/>
          <w:sz w:val="8"/>
          <w:szCs w:val="8"/>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in Orlando. We begin 2015 with great momentum and remain confident that we are well positioned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impressive portfolio of complementary businesses to continue our strong performance and drive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1st Quarter</w:t>
            </w:r>
          </w:p>
        </w:tc>
        <w:tc>
          <w:tcPr>
            <w:tcW w:w="680" w:type="dxa"/>
            <w:vAlign w:val="bottom"/>
          </w:tcPr>
          <w:p>
            <w:pPr>
              <w:spacing w:after="0"/>
              <w:rPr>
                <w:sz w:val="14"/>
                <w:szCs w:val="14"/>
                <w:color w:val="auto"/>
              </w:rPr>
            </w:pPr>
          </w:p>
        </w:tc>
      </w:tr>
      <w:tr>
        <w:trPr>
          <w:trHeight w:val="195"/>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2014</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r>
      <w:tr>
        <w:trPr>
          <w:trHeight w:val="218"/>
        </w:trPr>
        <w:tc>
          <w:tcPr>
            <w:tcW w:w="5720" w:type="dxa"/>
            <w:vAlign w:val="bottom"/>
          </w:tcPr>
          <w:p>
            <w:pPr>
              <w:ind w:left="40"/>
              <w:spacing w:after="0"/>
              <w:rPr>
                <w:sz w:val="20"/>
                <w:szCs w:val="20"/>
                <w:color w:val="auto"/>
              </w:rPr>
            </w:pPr>
            <w:r>
              <w:rPr>
                <w:rFonts w:ascii="Arial" w:cs="Arial" w:eastAsia="Arial" w:hAnsi="Arial"/>
                <w:sz w:val="14"/>
                <w:szCs w:val="14"/>
                <w:color w:val="auto"/>
              </w:rPr>
              <w:t>Revenue</w:t>
            </w:r>
          </w:p>
        </w:tc>
        <w:tc>
          <w:tcPr>
            <w:tcW w:w="3980" w:type="dxa"/>
            <w:vAlign w:val="bottom"/>
          </w:tcPr>
          <w:p>
            <w:pPr>
              <w:jc w:val="right"/>
              <w:ind w:right="68"/>
              <w:spacing w:after="0"/>
              <w:rPr>
                <w:sz w:val="20"/>
                <w:szCs w:val="20"/>
                <w:color w:val="auto"/>
              </w:rPr>
            </w:pPr>
            <w:r>
              <w:rPr>
                <w:rFonts w:ascii="Arial" w:cs="Arial" w:eastAsia="Arial" w:hAnsi="Arial"/>
                <w:sz w:val="14"/>
                <w:szCs w:val="14"/>
                <w:color w:val="auto"/>
              </w:rPr>
              <w:t>$17,408</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$17,853</w:t>
            </w: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8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w:t>
            </w:r>
          </w:p>
        </w:tc>
        <w:tc>
          <w:tcPr>
            <w:tcW w:w="3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$16,305</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$17,477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7.2%</w:t>
            </w:r>
          </w:p>
        </w:tc>
      </w:tr>
      <w:tr>
        <w:trPr>
          <w:trHeight w:val="219"/>
        </w:trPr>
        <w:tc>
          <w:tcPr>
            <w:tcW w:w="5720" w:type="dxa"/>
            <w:vAlign w:val="bottom"/>
          </w:tcPr>
          <w:p>
            <w:pPr>
              <w:ind w:left="40"/>
              <w:spacing w:after="0"/>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$5,538</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$5,956</w:t>
            </w:r>
          </w:p>
        </w:tc>
        <w:tc>
          <w:tcPr>
            <w:tcW w:w="68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179"/>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w:t>
            </w:r>
          </w:p>
        </w:tc>
        <w:tc>
          <w:tcPr>
            <w:tcW w:w="3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$5,555</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$6,055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9.0%</w:t>
            </w:r>
          </w:p>
        </w:tc>
      </w:tr>
      <w:tr>
        <w:trPr>
          <w:trHeight w:val="196"/>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Operating Income</w:t>
            </w:r>
          </w:p>
        </w:tc>
        <w:tc>
          <w:tcPr>
            <w:tcW w:w="3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$3,568</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$3,890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19"/>
        </w:trPr>
        <w:tc>
          <w:tcPr>
            <w:tcW w:w="5720" w:type="dxa"/>
            <w:vAlign w:val="bottom"/>
          </w:tcPr>
          <w:p>
            <w:pPr>
              <w:ind w:left="40"/>
              <w:spacing w:after="0"/>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3980" w:type="dxa"/>
            <w:vAlign w:val="bottom"/>
          </w:tcPr>
          <w:p>
            <w:pPr>
              <w:jc w:val="right"/>
              <w:ind w:right="68"/>
              <w:spacing w:after="0"/>
              <w:rPr>
                <w:sz w:val="20"/>
                <w:szCs w:val="20"/>
                <w:color w:val="auto"/>
              </w:rPr>
            </w:pPr>
            <w:r>
              <w:rPr>
                <w:rFonts w:ascii="Arial" w:cs="Arial" w:eastAsia="Arial" w:hAnsi="Arial"/>
                <w:sz w:val="14"/>
                <w:szCs w:val="14"/>
                <w:color w:val="auto"/>
              </w:rPr>
              <w:t>$0.71</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$0.81</w:t>
            </w:r>
          </w:p>
        </w:tc>
        <w:tc>
          <w:tcPr>
            <w:tcW w:w="680" w:type="dxa"/>
            <w:vAlign w:val="bottom"/>
          </w:tcPr>
          <w:p>
            <w:pPr>
              <w:jc w:val="right"/>
              <w:spacing w:after="0"/>
              <w:rPr>
                <w:sz w:val="20"/>
                <w:szCs w:val="20"/>
                <w:color w:val="auto"/>
              </w:rPr>
            </w:pPr>
            <w:r>
              <w:rPr>
                <w:rFonts w:ascii="Arial" w:cs="Arial" w:eastAsia="Arial" w:hAnsi="Arial"/>
                <w:sz w:val="14"/>
                <w:szCs w:val="14"/>
                <w:color w:val="auto"/>
              </w:rPr>
              <w:t>14.1%</w:t>
            </w:r>
          </w:p>
        </w:tc>
      </w:tr>
      <w:tr>
        <w:trPr>
          <w:trHeight w:val="179"/>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w:t>
            </w:r>
          </w:p>
        </w:tc>
        <w:tc>
          <w:tcPr>
            <w:tcW w:w="3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i w:val="1"/>
                <w:iCs w:val="1"/>
                <w:color w:val="auto"/>
              </w:rPr>
              <w:t>$0.68</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i w:val="1"/>
                <w:iCs w:val="1"/>
                <w:color w:val="auto"/>
              </w:rPr>
              <w:t>$0.79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16.2%</w:t>
            </w:r>
          </w:p>
        </w:tc>
      </w:tr>
      <w:tr>
        <w:trPr>
          <w:trHeight w:val="211"/>
        </w:trPr>
        <w:tc>
          <w:tcPr>
            <w:tcW w:w="572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3980" w:type="dxa"/>
            <w:vAlign w:val="bottom"/>
          </w:tcPr>
          <w:p>
            <w:pPr>
              <w:jc w:val="right"/>
              <w:ind w:right="48"/>
              <w:spacing w:after="0"/>
              <w:rPr>
                <w:sz w:val="20"/>
                <w:szCs w:val="20"/>
                <w:color w:val="auto"/>
              </w:rPr>
            </w:pPr>
            <w:r>
              <w:rPr>
                <w:rFonts w:ascii="Arial" w:cs="Arial" w:eastAsia="Arial" w:hAnsi="Arial"/>
                <w:sz w:val="14"/>
                <w:szCs w:val="14"/>
                <w:color w:val="auto"/>
              </w:rPr>
              <w:t>$2,824</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$3,183</w:t>
            </w:r>
          </w:p>
        </w:tc>
        <w:tc>
          <w:tcPr>
            <w:tcW w:w="680" w:type="dxa"/>
            <w:vAlign w:val="bottom"/>
          </w:tcPr>
          <w:p>
            <w:pPr>
              <w:jc w:val="right"/>
              <w:spacing w:after="0"/>
              <w:rPr>
                <w:sz w:val="20"/>
                <w:szCs w:val="20"/>
                <w:color w:val="auto"/>
              </w:rPr>
            </w:pPr>
            <w:r>
              <w:rPr>
                <w:rFonts w:ascii="Arial" w:cs="Arial" w:eastAsia="Arial" w:hAnsi="Arial"/>
                <w:sz w:val="14"/>
                <w:szCs w:val="14"/>
                <w:color w:val="auto"/>
              </w:rPr>
              <w:t>12.7%</w:t>
            </w:r>
          </w:p>
        </w:tc>
      </w:tr>
    </w:tbl>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first quarter of 2015 increased 2.6% to $17.9 billion. Excluding $ 376 million of revenue generated by the NFL’s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Super Bowl in the first quarter of 2015 as well as $1.1 billion of revenue generated by the Sochi Olympics in the first quarter of 2014, consolidated revenue increased 7.2% (See Table 5). </w:t>
      </w:r>
      <w:r>
        <w:rPr>
          <w:rFonts w:ascii="Arial" w:cs="Arial" w:eastAsia="Arial" w:hAnsi="Arial"/>
          <w:sz w:val="18"/>
          <w:szCs w:val="18"/>
          <w:b w:val="1"/>
          <w:bCs w:val="1"/>
          <w:i w:val="1"/>
          <w:iCs w:val="1"/>
          <w:color w:val="auto"/>
        </w:rPr>
        <w:t>Consolidated Operating Cash Flow</w:t>
      </w:r>
      <w:r>
        <w:rPr>
          <w:rFonts w:ascii="Arial" w:cs="Arial" w:eastAsia="Arial" w:hAnsi="Arial"/>
          <w:sz w:val="18"/>
          <w:szCs w:val="18"/>
          <w:color w:val="auto"/>
        </w:rPr>
        <w:t xml:space="preserve"> increased 7.6% to $6.0 billion. Excluding $99 million of Time Warner Cable and Charter transaction-related costs in the first quarter of 2015 and $17 million in the first quarter of 2014, consolidated operating cash flow increased 9.0% (See Table 5).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9.0% to $3.9 billion.</w:t>
      </w:r>
    </w:p>
    <w:p>
      <w:pPr>
        <w:sectPr>
          <w:pgSz w:w="11900" w:h="16838" w:orient="portrait"/>
          <w:cols w:equalWidth="0" w:num="1">
            <w:col w:w="11420"/>
          </w:cols>
          <w:pgMar w:left="240" w:top="118" w:right="239" w:bottom="0" w:gutter="0" w:footer="0" w:header="0"/>
        </w:sectPr>
      </w:pPr>
    </w:p>
    <w:bookmarkStart w:id="3" w:name="page4"/>
    <w:bookmarkEnd w:id="3"/>
    <w:p>
      <w:pPr>
        <w:spacing w:after="0" w:line="46"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2015 was $0.81, a 14.1% increase from the $0.71 reported in the first quarter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gains on the sale of a business and transaction-related costs in the first quarter of 2015, as well as gains on the sale of an investment and a favorable resolution of a prior acquisition contingency in the first quarter of 2014, EPS increased 16.2% to $0.79 (See Table 4).</w:t>
      </w:r>
    </w:p>
    <w:p>
      <w:pPr>
        <w:spacing w:after="0" w:line="163"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19.2% to $1.7 billion in the first quarter of 2015 compared to the first quarter of 2014. Cable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increased 26.2% to $1.4 billion in the first quarter of 2015, primarily reflecting increased spending on customer premise equipment related to the deployment of the X1 platform and increased investment in support capital as we expand our cloud based initiatives, as well as our ongoing investment in network infrastructure to increase network capacity. Cable capital expenditures represented 12.6% of Cable revenue in the first quarter of 2015 compared to 10.6% in last year’s first quarter. NBCUniversal’s capital expenditures decreased 8.0% to $268 million in the first quarter of 2015, primarily reflecting decreased investments in facilities, partially offset by increased spending at our Theme Parks.</w:t>
      </w:r>
    </w:p>
    <w:p>
      <w:pPr>
        <w:spacing w:after="0" w:line="166"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increased 12.7% to $3.2 billion in the first quarter of 2015 compared to $2.8 billion in the first quarter of 2014, reflecting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in consolidated operating cash flow and improvements in working capital, partially offset by higher capital expenditures.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0" w:type="dxa"/>
            <w:vAlign w:val="bottom"/>
          </w:tcPr>
          <w:p>
            <w:pPr>
              <w:jc w:val="right"/>
              <w:ind w:right="328"/>
              <w:spacing w:after="0"/>
              <w:rPr>
                <w:sz w:val="20"/>
                <w:szCs w:val="20"/>
                <w:color w:val="auto"/>
              </w:rPr>
            </w:pPr>
            <w:r>
              <w:rPr>
                <w:rFonts w:ascii="Arial" w:cs="Arial" w:eastAsia="Arial" w:hAnsi="Arial"/>
                <w:sz w:val="14"/>
                <w:szCs w:val="14"/>
                <w:color w:val="auto"/>
              </w:rPr>
              <w:t>1st Quarter</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0"/>
        </w:trPr>
        <w:tc>
          <w:tcPr>
            <w:tcW w:w="520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4200" w:type="dxa"/>
            <w:vAlign w:val="bottom"/>
          </w:tcPr>
          <w:p>
            <w:pPr>
              <w:jc w:val="right"/>
              <w:spacing w:after="0"/>
              <w:rPr>
                <w:sz w:val="20"/>
                <w:szCs w:val="20"/>
                <w:color w:val="auto"/>
              </w:rPr>
            </w:pPr>
            <w:r>
              <w:rPr>
                <w:rFonts w:ascii="Arial" w:cs="Arial" w:eastAsia="Arial" w:hAnsi="Arial"/>
                <w:sz w:val="14"/>
                <w:szCs w:val="14"/>
                <w:color w:val="auto"/>
              </w:rPr>
              <w:t>2014</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820" w:type="dxa"/>
            <w:vAlign w:val="bottom"/>
          </w:tcPr>
          <w:p>
            <w:pPr>
              <w:jc w:val="right"/>
              <w:spacing w:after="0"/>
              <w:rPr>
                <w:sz w:val="20"/>
                <w:szCs w:val="20"/>
                <w:color w:val="auto"/>
              </w:rPr>
            </w:pPr>
            <w:r>
              <w:rPr>
                <w:rFonts w:ascii="Arial" w:cs="Arial" w:eastAsia="Arial" w:hAnsi="Arial"/>
                <w:sz w:val="14"/>
                <w:szCs w:val="14"/>
                <w:color w:val="auto"/>
              </w:rPr>
              <w:t>Growth</w:t>
            </w:r>
          </w:p>
        </w:tc>
        <w:tc>
          <w:tcPr>
            <w:tcW w:w="40" w:type="dxa"/>
            <w:vAlign w:val="bottom"/>
          </w:tcPr>
          <w:p>
            <w:pPr>
              <w:spacing w:after="0"/>
              <w:rPr>
                <w:sz w:val="23"/>
                <w:szCs w:val="23"/>
                <w:color w:val="auto"/>
              </w:rPr>
            </w:pPr>
          </w:p>
        </w:tc>
      </w:tr>
      <w:tr>
        <w:trPr>
          <w:trHeight w:val="33"/>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5200" w:type="dxa"/>
            <w:vAlign w:val="bottom"/>
          </w:tcPr>
          <w:p>
            <w:pPr>
              <w:ind w:left="40"/>
              <w:spacing w:after="0"/>
              <w:rPr>
                <w:sz w:val="20"/>
                <w:szCs w:val="20"/>
                <w:color w:val="auto"/>
              </w:rPr>
            </w:pPr>
            <w:r>
              <w:rPr>
                <w:rFonts w:ascii="Arial" w:cs="Arial" w:eastAsia="Arial" w:hAnsi="Arial"/>
                <w:sz w:val="14"/>
                <w:szCs w:val="14"/>
                <w:color w:val="auto"/>
              </w:rPr>
              <w:t>Operating Cash Flow</w:t>
            </w:r>
          </w:p>
        </w:tc>
        <w:tc>
          <w:tcPr>
            <w:tcW w:w="4200" w:type="dxa"/>
            <w:vAlign w:val="bottom"/>
          </w:tcPr>
          <w:p>
            <w:pPr>
              <w:jc w:val="right"/>
              <w:spacing w:after="0"/>
              <w:rPr>
                <w:sz w:val="20"/>
                <w:szCs w:val="20"/>
                <w:color w:val="auto"/>
              </w:rPr>
            </w:pPr>
            <w:r>
              <w:rPr>
                <w:rFonts w:ascii="Arial" w:cs="Arial" w:eastAsia="Arial" w:hAnsi="Arial"/>
                <w:sz w:val="14"/>
                <w:szCs w:val="14"/>
                <w:color w:val="auto"/>
              </w:rPr>
              <w:t>$5,538</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$5,956</w:t>
            </w:r>
          </w:p>
        </w:tc>
        <w:tc>
          <w:tcPr>
            <w:tcW w:w="820" w:type="dxa"/>
            <w:vAlign w:val="bottom"/>
          </w:tcPr>
          <w:p>
            <w:pPr>
              <w:jc w:val="right"/>
              <w:spacing w:after="0"/>
              <w:rPr>
                <w:sz w:val="20"/>
                <w:szCs w:val="20"/>
                <w:color w:val="auto"/>
              </w:rPr>
            </w:pPr>
            <w:r>
              <w:rPr>
                <w:rFonts w:ascii="Arial" w:cs="Arial" w:eastAsia="Arial" w:hAnsi="Arial"/>
                <w:sz w:val="14"/>
                <w:szCs w:val="14"/>
                <w:color w:val="auto"/>
              </w:rPr>
              <w:t>7.6%</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4200" w:type="dxa"/>
            <w:vAlign w:val="bottom"/>
          </w:tcPr>
          <w:p>
            <w:pPr>
              <w:jc w:val="right"/>
              <w:spacing w:after="0"/>
              <w:rPr>
                <w:sz w:val="20"/>
                <w:szCs w:val="20"/>
                <w:color w:val="auto"/>
              </w:rPr>
            </w:pPr>
            <w:r>
              <w:rPr>
                <w:rFonts w:ascii="Arial" w:cs="Arial" w:eastAsia="Arial" w:hAnsi="Arial"/>
                <w:sz w:val="14"/>
                <w:szCs w:val="14"/>
                <w:color w:val="auto"/>
              </w:rPr>
              <w:t>(1,448)</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(1,726)</w:t>
            </w:r>
          </w:p>
        </w:tc>
        <w:tc>
          <w:tcPr>
            <w:tcW w:w="820" w:type="dxa"/>
            <w:vAlign w:val="bottom"/>
          </w:tcPr>
          <w:p>
            <w:pPr>
              <w:jc w:val="right"/>
              <w:spacing w:after="0"/>
              <w:rPr>
                <w:sz w:val="20"/>
                <w:szCs w:val="20"/>
                <w:color w:val="auto"/>
              </w:rPr>
            </w:pPr>
            <w:r>
              <w:rPr>
                <w:rFonts w:ascii="Arial" w:cs="Arial" w:eastAsia="Arial" w:hAnsi="Arial"/>
                <w:sz w:val="14"/>
                <w:szCs w:val="14"/>
                <w:color w:val="auto"/>
              </w:rPr>
              <w:t>19.2%</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Cash Paid for Capitalized Software and Other Intangible Assets</w:t>
            </w:r>
          </w:p>
        </w:tc>
        <w:tc>
          <w:tcPr>
            <w:tcW w:w="4200" w:type="dxa"/>
            <w:vAlign w:val="bottom"/>
          </w:tcPr>
          <w:p>
            <w:pPr>
              <w:jc w:val="right"/>
              <w:spacing w:after="0"/>
              <w:rPr>
                <w:sz w:val="20"/>
                <w:szCs w:val="20"/>
                <w:color w:val="auto"/>
              </w:rPr>
            </w:pPr>
            <w:r>
              <w:rPr>
                <w:rFonts w:ascii="Arial" w:cs="Arial" w:eastAsia="Arial" w:hAnsi="Arial"/>
                <w:sz w:val="14"/>
                <w:szCs w:val="14"/>
                <w:color w:val="auto"/>
              </w:rPr>
              <w:t>(217)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(273)</w:t>
            </w:r>
          </w:p>
        </w:tc>
        <w:tc>
          <w:tcPr>
            <w:tcW w:w="820" w:type="dxa"/>
            <w:vAlign w:val="bottom"/>
          </w:tcPr>
          <w:p>
            <w:pPr>
              <w:jc w:val="right"/>
              <w:spacing w:after="0"/>
              <w:rPr>
                <w:sz w:val="20"/>
                <w:szCs w:val="20"/>
                <w:color w:val="auto"/>
              </w:rPr>
            </w:pPr>
            <w:r>
              <w:rPr>
                <w:rFonts w:ascii="Arial" w:cs="Arial" w:eastAsia="Arial" w:hAnsi="Arial"/>
                <w:sz w:val="14"/>
                <w:szCs w:val="14"/>
                <w:color w:val="auto"/>
              </w:rPr>
              <w:t>25.8%</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Cash Interest Expense</w:t>
            </w:r>
          </w:p>
        </w:tc>
        <w:tc>
          <w:tcPr>
            <w:tcW w:w="4200" w:type="dxa"/>
            <w:vAlign w:val="bottom"/>
          </w:tcPr>
          <w:p>
            <w:pPr>
              <w:jc w:val="right"/>
              <w:spacing w:after="0"/>
              <w:rPr>
                <w:sz w:val="20"/>
                <w:szCs w:val="20"/>
                <w:color w:val="auto"/>
              </w:rPr>
            </w:pPr>
            <w:r>
              <w:rPr>
                <w:rFonts w:ascii="Arial" w:cs="Arial" w:eastAsia="Arial" w:hAnsi="Arial"/>
                <w:sz w:val="14"/>
                <w:szCs w:val="14"/>
                <w:color w:val="auto"/>
              </w:rPr>
              <w:t>(623)</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(691)</w:t>
            </w:r>
          </w:p>
        </w:tc>
        <w:tc>
          <w:tcPr>
            <w:tcW w:w="820" w:type="dxa"/>
            <w:vAlign w:val="bottom"/>
          </w:tcPr>
          <w:p>
            <w:pPr>
              <w:jc w:val="right"/>
              <w:spacing w:after="0"/>
              <w:rPr>
                <w:sz w:val="20"/>
                <w:szCs w:val="20"/>
                <w:color w:val="auto"/>
              </w:rPr>
            </w:pPr>
            <w:r>
              <w:rPr>
                <w:rFonts w:ascii="Arial" w:cs="Arial" w:eastAsia="Arial" w:hAnsi="Arial"/>
                <w:sz w:val="14"/>
                <w:szCs w:val="14"/>
                <w:color w:val="auto"/>
              </w:rPr>
              <w:t>10.9%</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Cash Taxes on Operating Items (Including Economic Stimulus Packages)</w:t>
            </w:r>
          </w:p>
        </w:tc>
        <w:tc>
          <w:tcPr>
            <w:tcW w:w="4200" w:type="dxa"/>
            <w:vAlign w:val="bottom"/>
          </w:tcPr>
          <w:p>
            <w:pPr>
              <w:jc w:val="right"/>
              <w:spacing w:after="0"/>
              <w:rPr>
                <w:sz w:val="20"/>
                <w:szCs w:val="20"/>
                <w:color w:val="auto"/>
              </w:rPr>
            </w:pPr>
            <w:r>
              <w:rPr>
                <w:rFonts w:ascii="Arial" w:cs="Arial" w:eastAsia="Arial" w:hAnsi="Arial"/>
                <w:sz w:val="14"/>
                <w:szCs w:val="14"/>
                <w:color w:val="auto"/>
              </w:rPr>
              <w:t>(268)</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(264)</w:t>
            </w: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4200" w:type="dxa"/>
            <w:vAlign w:val="bottom"/>
          </w:tcPr>
          <w:p>
            <w:pPr>
              <w:jc w:val="right"/>
              <w:spacing w:after="0"/>
              <w:rPr>
                <w:sz w:val="20"/>
                <w:szCs w:val="20"/>
                <w:color w:val="auto"/>
              </w:rPr>
            </w:pPr>
            <w:r>
              <w:rPr>
                <w:rFonts w:ascii="Arial" w:cs="Arial" w:eastAsia="Arial" w:hAnsi="Arial"/>
                <w:sz w:val="14"/>
                <w:szCs w:val="14"/>
                <w:color w:val="auto"/>
              </w:rPr>
              <w:t>(267)</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73</w:t>
            </w:r>
          </w:p>
        </w:tc>
        <w:tc>
          <w:tcPr>
            <w:tcW w:w="820" w:type="dxa"/>
            <w:vAlign w:val="bottom"/>
          </w:tcPr>
          <w:p>
            <w:pPr>
              <w:jc w:val="right"/>
              <w:spacing w:after="0"/>
              <w:rPr>
                <w:sz w:val="20"/>
                <w:szCs w:val="20"/>
                <w:color w:val="auto"/>
              </w:rPr>
            </w:pPr>
            <w:r>
              <w:rPr>
                <w:rFonts w:ascii="Arial" w:cs="Arial" w:eastAsia="Arial" w:hAnsi="Arial"/>
                <w:sz w:val="14"/>
                <w:szCs w:val="14"/>
                <w:color w:val="auto"/>
              </w:rPr>
              <w:t>NM</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Noncash Share-Based Compensation</w:t>
            </w:r>
          </w:p>
        </w:tc>
        <w:tc>
          <w:tcPr>
            <w:tcW w:w="4200" w:type="dxa"/>
            <w:vAlign w:val="bottom"/>
          </w:tcPr>
          <w:p>
            <w:pPr>
              <w:jc w:val="right"/>
              <w:spacing w:after="0"/>
              <w:rPr>
                <w:sz w:val="20"/>
                <w:szCs w:val="20"/>
                <w:color w:val="auto"/>
              </w:rPr>
            </w:pPr>
            <w:r>
              <w:rPr>
                <w:rFonts w:ascii="Arial" w:cs="Arial" w:eastAsia="Arial" w:hAnsi="Arial"/>
                <w:sz w:val="14"/>
                <w:szCs w:val="14"/>
                <w:color w:val="auto"/>
              </w:rPr>
              <w:t>119</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135</w:t>
            </w:r>
          </w:p>
        </w:tc>
        <w:tc>
          <w:tcPr>
            <w:tcW w:w="820" w:type="dxa"/>
            <w:vAlign w:val="bottom"/>
          </w:tcPr>
          <w:p>
            <w:pPr>
              <w:jc w:val="right"/>
              <w:spacing w:after="0"/>
              <w:rPr>
                <w:sz w:val="20"/>
                <w:szCs w:val="20"/>
                <w:color w:val="auto"/>
              </w:rPr>
            </w:pPr>
            <w:r>
              <w:rPr>
                <w:rFonts w:ascii="Arial" w:cs="Arial" w:eastAsia="Arial" w:hAnsi="Arial"/>
                <w:sz w:val="14"/>
                <w:szCs w:val="14"/>
                <w:color w:val="auto"/>
              </w:rPr>
              <w:t>13.4%</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 and Dividends for</w:t>
            </w:r>
          </w:p>
        </w:tc>
        <w:tc>
          <w:tcPr>
            <w:tcW w:w="4200" w:type="dxa"/>
            <w:vAlign w:val="bottom"/>
          </w:tcPr>
          <w:p>
            <w:pPr>
              <w:jc w:val="right"/>
              <w:spacing w:after="0"/>
              <w:rPr>
                <w:sz w:val="20"/>
                <w:szCs w:val="20"/>
                <w:color w:val="auto"/>
              </w:rPr>
            </w:pPr>
            <w:r>
              <w:rPr>
                <w:rFonts w:ascii="Arial" w:cs="Arial" w:eastAsia="Arial" w:hAnsi="Arial"/>
                <w:sz w:val="14"/>
                <w:szCs w:val="14"/>
                <w:color w:val="auto"/>
              </w:rPr>
              <w:t>(66)</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(62)</w:t>
            </w: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40" w:type="dxa"/>
            <w:vAlign w:val="bottom"/>
          </w:tcPr>
          <w:p>
            <w:pPr>
              <w:spacing w:after="0"/>
              <w:rPr>
                <w:sz w:val="17"/>
                <w:szCs w:val="17"/>
                <w:color w:val="auto"/>
              </w:rPr>
            </w:pPr>
          </w:p>
        </w:tc>
      </w:tr>
      <w:tr>
        <w:trPr>
          <w:trHeight w:val="230"/>
        </w:trPr>
        <w:tc>
          <w:tcPr>
            <w:tcW w:w="5200" w:type="dxa"/>
            <w:vAlign w:val="bottom"/>
          </w:tcPr>
          <w:p>
            <w:pPr>
              <w:ind w:left="40"/>
              <w:spacing w:after="0"/>
              <w:rPr>
                <w:sz w:val="20"/>
                <w:szCs w:val="20"/>
                <w:color w:val="auto"/>
              </w:rPr>
            </w:pPr>
            <w:r>
              <w:rPr>
                <w:rFonts w:ascii="Arial" w:cs="Arial" w:eastAsia="Arial" w:hAnsi="Arial"/>
                <w:sz w:val="14"/>
                <w:szCs w:val="14"/>
                <w:color w:val="auto"/>
              </w:rPr>
              <w:t>Redeemable Subsidiary Preferred Stock</w:t>
            </w:r>
          </w:p>
        </w:tc>
        <w:tc>
          <w:tcPr>
            <w:tcW w:w="4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Other</w:t>
            </w:r>
          </w:p>
        </w:tc>
        <w:tc>
          <w:tcPr>
            <w:tcW w:w="4200" w:type="dxa"/>
            <w:vAlign w:val="bottom"/>
          </w:tcPr>
          <w:p>
            <w:pPr>
              <w:jc w:val="right"/>
              <w:spacing w:after="0"/>
              <w:rPr>
                <w:sz w:val="20"/>
                <w:szCs w:val="20"/>
                <w:color w:val="auto"/>
              </w:rPr>
            </w:pPr>
            <w:r>
              <w:rPr>
                <w:rFonts w:ascii="Arial" w:cs="Arial" w:eastAsia="Arial" w:hAnsi="Arial"/>
                <w:sz w:val="14"/>
                <w:szCs w:val="14"/>
                <w:color w:val="auto"/>
              </w:rPr>
              <w:t>56</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35</w:t>
            </w:r>
          </w:p>
        </w:tc>
        <w:tc>
          <w:tcPr>
            <w:tcW w:w="820" w:type="dxa"/>
            <w:vAlign w:val="bottom"/>
          </w:tcPr>
          <w:p>
            <w:pPr>
              <w:jc w:val="right"/>
              <w:spacing w:after="0"/>
              <w:rPr>
                <w:sz w:val="20"/>
                <w:szCs w:val="20"/>
                <w:color w:val="auto"/>
              </w:rPr>
            </w:pPr>
            <w:r>
              <w:rPr>
                <w:rFonts w:ascii="Arial" w:cs="Arial" w:eastAsia="Arial" w:hAnsi="Arial"/>
                <w:sz w:val="14"/>
                <w:szCs w:val="14"/>
                <w:color w:val="auto"/>
              </w:rPr>
              <w:t>(37.5%)</w:t>
            </w:r>
          </w:p>
        </w:tc>
        <w:tc>
          <w:tcPr>
            <w:tcW w:w="40" w:type="dxa"/>
            <w:vAlign w:val="bottom"/>
          </w:tcPr>
          <w:p>
            <w:pPr>
              <w:spacing w:after="0"/>
              <w:rPr>
                <w:sz w:val="17"/>
                <w:szCs w:val="17"/>
                <w:color w:val="auto"/>
              </w:rPr>
            </w:pPr>
          </w:p>
        </w:tc>
      </w:tr>
      <w:tr>
        <w:trPr>
          <w:trHeight w:val="33"/>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5200" w:type="dxa"/>
            <w:vAlign w:val="bottom"/>
          </w:tcPr>
          <w:p>
            <w:pPr>
              <w:ind w:left="40"/>
              <w:spacing w:after="0"/>
              <w:rPr>
                <w:sz w:val="20"/>
                <w:szCs w:val="20"/>
                <w:color w:val="auto"/>
              </w:rPr>
            </w:pPr>
            <w:r>
              <w:rPr>
                <w:rFonts w:ascii="Arial" w:cs="Arial" w:eastAsia="Arial" w:hAnsi="Arial"/>
                <w:sz w:val="14"/>
                <w:szCs w:val="14"/>
                <w:color w:val="auto"/>
              </w:rPr>
              <w:t>Free Cash Flow (Including Economic Stimulus Packages)</w:t>
            </w:r>
          </w:p>
        </w:tc>
        <w:tc>
          <w:tcPr>
            <w:tcW w:w="4200" w:type="dxa"/>
            <w:vAlign w:val="bottom"/>
          </w:tcPr>
          <w:p>
            <w:pPr>
              <w:jc w:val="right"/>
              <w:spacing w:after="0"/>
              <w:rPr>
                <w:sz w:val="20"/>
                <w:szCs w:val="20"/>
                <w:color w:val="auto"/>
              </w:rPr>
            </w:pPr>
            <w:r>
              <w:rPr>
                <w:rFonts w:ascii="Arial" w:cs="Arial" w:eastAsia="Arial" w:hAnsi="Arial"/>
                <w:sz w:val="14"/>
                <w:szCs w:val="14"/>
                <w:color w:val="auto"/>
              </w:rPr>
              <w:t>$2,824</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$3,183</w:t>
            </w:r>
          </w:p>
        </w:tc>
        <w:tc>
          <w:tcPr>
            <w:tcW w:w="820" w:type="dxa"/>
            <w:vAlign w:val="bottom"/>
          </w:tcPr>
          <w:p>
            <w:pPr>
              <w:jc w:val="right"/>
              <w:spacing w:after="0"/>
              <w:rPr>
                <w:sz w:val="20"/>
                <w:szCs w:val="20"/>
                <w:color w:val="auto"/>
              </w:rPr>
            </w:pPr>
            <w:r>
              <w:rPr>
                <w:rFonts w:ascii="Arial" w:cs="Arial" w:eastAsia="Arial" w:hAnsi="Arial"/>
                <w:sz w:val="14"/>
                <w:szCs w:val="14"/>
                <w:color w:val="auto"/>
              </w:rPr>
              <w:t>12.7%</w:t>
            </w:r>
          </w:p>
        </w:tc>
        <w:tc>
          <w:tcPr>
            <w:tcW w:w="40" w:type="dxa"/>
            <w:vAlign w:val="bottom"/>
          </w:tcPr>
          <w:p>
            <w:pPr>
              <w:spacing w:after="0"/>
              <w:rPr>
                <w:sz w:val="17"/>
                <w:szCs w:val="17"/>
                <w:color w:val="auto"/>
              </w:rPr>
            </w:pPr>
          </w:p>
        </w:tc>
      </w:tr>
      <w:tr>
        <w:trPr>
          <w:trHeight w:val="26"/>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5200" w:type="dxa"/>
            <w:vAlign w:val="bottom"/>
          </w:tcPr>
          <w:p>
            <w:pPr>
              <w:ind w:left="40"/>
              <w:spacing w:after="0"/>
              <w:rPr>
                <w:sz w:val="20"/>
                <w:szCs w:val="20"/>
                <w:color w:val="auto"/>
              </w:rPr>
            </w:pPr>
            <w:r>
              <w:rPr>
                <w:rFonts w:ascii="Arial" w:cs="Arial" w:eastAsia="Arial" w:hAnsi="Arial"/>
                <w:sz w:val="14"/>
                <w:szCs w:val="14"/>
                <w:color w:val="auto"/>
              </w:rPr>
              <w:t>Economic Stimulus Packages</w:t>
            </w:r>
          </w:p>
        </w:tc>
        <w:tc>
          <w:tcPr>
            <w:tcW w:w="42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r>
      <w:tr>
        <w:trPr>
          <w:trHeight w:val="33"/>
        </w:trPr>
        <w:tc>
          <w:tcPr>
            <w:tcW w:w="52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8"/>
        </w:trPr>
        <w:tc>
          <w:tcPr>
            <w:tcW w:w="5200" w:type="dxa"/>
            <w:vAlign w:val="bottom"/>
          </w:tcPr>
          <w:p>
            <w:pPr>
              <w:ind w:left="40"/>
              <w:spacing w:after="0"/>
              <w:rPr>
                <w:sz w:val="20"/>
                <w:szCs w:val="20"/>
                <w:color w:val="auto"/>
              </w:rPr>
            </w:pPr>
            <w:r>
              <w:rPr>
                <w:rFonts w:ascii="Arial" w:cs="Arial" w:eastAsia="Arial" w:hAnsi="Arial"/>
                <w:sz w:val="14"/>
                <w:szCs w:val="14"/>
                <w:b w:val="1"/>
                <w:bCs w:val="1"/>
                <w:color w:val="auto"/>
              </w:rPr>
              <w:t>Free Cash Flow</w:t>
            </w:r>
            <w:r>
              <w:rPr>
                <w:rFonts w:ascii="Arial" w:cs="Arial" w:eastAsia="Arial" w:hAnsi="Arial"/>
                <w:sz w:val="14"/>
                <w:szCs w:val="14"/>
                <w:color w:val="auto"/>
                <w:vertAlign w:val="superscript"/>
              </w:rPr>
              <w:t>3</w:t>
            </w:r>
          </w:p>
        </w:tc>
        <w:tc>
          <w:tcPr>
            <w:tcW w:w="4200" w:type="dxa"/>
            <w:vAlign w:val="bottom"/>
          </w:tcPr>
          <w:p>
            <w:pPr>
              <w:jc w:val="right"/>
              <w:spacing w:after="0"/>
              <w:rPr>
                <w:sz w:val="20"/>
                <w:szCs w:val="20"/>
                <w:color w:val="auto"/>
              </w:rPr>
            </w:pPr>
            <w:r>
              <w:rPr>
                <w:rFonts w:ascii="Arial" w:cs="Arial" w:eastAsia="Arial" w:hAnsi="Arial"/>
                <w:sz w:val="14"/>
                <w:szCs w:val="14"/>
                <w:b w:val="1"/>
                <w:bCs w:val="1"/>
                <w:color w:val="auto"/>
              </w:rPr>
              <w:t>$2,824</w:t>
            </w:r>
          </w:p>
        </w:tc>
        <w:tc>
          <w:tcPr>
            <w:tcW w:w="1200" w:type="dxa"/>
            <w:vAlign w:val="bottom"/>
          </w:tcPr>
          <w:p>
            <w:pPr>
              <w:jc w:val="right"/>
              <w:ind w:right="248"/>
              <w:spacing w:after="0"/>
              <w:rPr>
                <w:sz w:val="20"/>
                <w:szCs w:val="20"/>
                <w:color w:val="auto"/>
              </w:rPr>
            </w:pPr>
            <w:r>
              <w:rPr>
                <w:rFonts w:ascii="Arial" w:cs="Arial" w:eastAsia="Arial" w:hAnsi="Arial"/>
                <w:sz w:val="14"/>
                <w:szCs w:val="14"/>
                <w:b w:val="1"/>
                <w:bCs w:val="1"/>
                <w:color w:val="auto"/>
              </w:rPr>
              <w:t>$3,183</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40" w:type="dxa"/>
            <w:vAlign w:val="bottom"/>
          </w:tcPr>
          <w:p>
            <w:pPr>
              <w:spacing w:after="0"/>
              <w:rPr>
                <w:sz w:val="18"/>
                <w:szCs w:val="18"/>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4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05"/>
        </w:trPr>
        <w:tc>
          <w:tcPr>
            <w:tcW w:w="5200" w:type="dxa"/>
            <w:vAlign w:val="bottom"/>
          </w:tcPr>
          <w:p>
            <w:pPr>
              <w:spacing w:after="0"/>
              <w:rPr>
                <w:sz w:val="24"/>
                <w:szCs w:val="24"/>
                <w:color w:val="auto"/>
              </w:rPr>
            </w:pPr>
          </w:p>
        </w:tc>
        <w:tc>
          <w:tcPr>
            <w:tcW w:w="4200" w:type="dxa"/>
            <w:vAlign w:val="bottom"/>
          </w:tcPr>
          <w:p>
            <w:pPr>
              <w:jc w:val="right"/>
              <w:ind w:right="3568"/>
              <w:spacing w:after="0"/>
              <w:rPr>
                <w:sz w:val="20"/>
                <w:szCs w:val="20"/>
                <w:color w:val="auto"/>
              </w:rPr>
            </w:pPr>
            <w:r>
              <w:rPr>
                <w:rFonts w:ascii="Arial" w:cs="Arial" w:eastAsia="Arial" w:hAnsi="Arial"/>
                <w:sz w:val="14"/>
                <w:szCs w:val="14"/>
                <w:color w:val="auto"/>
              </w:rPr>
              <w:t>2</w:t>
            </w: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5200" w:type="dxa"/>
            <w:vAlign w:val="bottom"/>
            <w:tcBorders>
              <w:bottom w:val="single" w:sz="8" w:color="010101"/>
            </w:tcBorders>
          </w:tcPr>
          <w:p>
            <w:pPr>
              <w:spacing w:after="0"/>
              <w:rPr>
                <w:sz w:val="10"/>
                <w:szCs w:val="10"/>
                <w:color w:val="auto"/>
              </w:rPr>
            </w:pPr>
          </w:p>
        </w:tc>
        <w:tc>
          <w:tcPr>
            <w:tcW w:w="4200" w:type="dxa"/>
            <w:vAlign w:val="bottom"/>
            <w:tcBorders>
              <w:bottom w:val="single" w:sz="8" w:color="010101"/>
            </w:tcBorders>
          </w:tcPr>
          <w:p>
            <w:pPr>
              <w:spacing w:after="0"/>
              <w:rPr>
                <w:sz w:val="10"/>
                <w:szCs w:val="10"/>
                <w:color w:val="auto"/>
              </w:rPr>
            </w:pPr>
          </w:p>
        </w:tc>
        <w:tc>
          <w:tcPr>
            <w:tcW w:w="1200" w:type="dxa"/>
            <w:vAlign w:val="bottom"/>
            <w:tcBorders>
              <w:bottom w:val="single" w:sz="8" w:color="010101"/>
            </w:tcBorders>
          </w:tcPr>
          <w:p>
            <w:pPr>
              <w:spacing w:after="0"/>
              <w:rPr>
                <w:sz w:val="10"/>
                <w:szCs w:val="10"/>
                <w:color w:val="auto"/>
              </w:rPr>
            </w:pPr>
          </w:p>
        </w:tc>
        <w:tc>
          <w:tcPr>
            <w:tcW w:w="82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first quarter of 2015, Comcast paid dividends totaling $572 million and repurchased 35.1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$2.0 billion. As of March 31, 2015, Comcast had $8.0 billion available under its share repurchase authorization.</w:t>
      </w:r>
    </w:p>
    <w:p>
      <w:pPr>
        <w:spacing w:after="0" w:line="389"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Today, Comcast announced that it plans to repurchase an additional $2.5 billion during 2015, subject to market conditions, bringing its total 2015 share repurchase plan to $6.75 billion.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color w:val="auto"/>
              </w:rPr>
              <w:t>1st Quarter</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8"/>
        </w:trPr>
        <w:tc>
          <w:tcPr>
            <w:tcW w:w="5960" w:type="dxa"/>
            <w:vAlign w:val="bottom"/>
          </w:tcPr>
          <w:p>
            <w:pPr>
              <w:ind w:left="40"/>
              <w:spacing w:after="0"/>
              <w:rPr>
                <w:sz w:val="20"/>
                <w:szCs w:val="20"/>
                <w:color w:val="auto"/>
              </w:rPr>
            </w:pPr>
            <w:r>
              <w:rPr>
                <w:rFonts w:ascii="Arial" w:cs="Arial" w:eastAsia="Arial" w:hAnsi="Arial"/>
                <w:sz w:val="14"/>
                <w:szCs w:val="14"/>
                <w:i w:val="1"/>
                <w:iCs w:val="1"/>
                <w:color w:val="auto"/>
              </w:rPr>
              <w:t>($ in millions)</w:t>
            </w:r>
          </w:p>
        </w:tc>
        <w:tc>
          <w:tcPr>
            <w:tcW w:w="3420" w:type="dxa"/>
            <w:vAlign w:val="bottom"/>
          </w:tcPr>
          <w:p>
            <w:pPr>
              <w:jc w:val="right"/>
              <w:spacing w:after="0"/>
              <w:rPr>
                <w:sz w:val="20"/>
                <w:szCs w:val="20"/>
                <w:color w:val="auto"/>
              </w:rPr>
            </w:pPr>
            <w:r>
              <w:rPr>
                <w:rFonts w:ascii="Arial" w:cs="Arial" w:eastAsia="Arial" w:hAnsi="Arial"/>
                <w:sz w:val="14"/>
                <w:szCs w:val="14"/>
                <w:color w:val="auto"/>
              </w:rPr>
              <w:t>2014</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Growth</w:t>
            </w:r>
          </w:p>
        </w:tc>
      </w:tr>
      <w:tr>
        <w:trPr>
          <w:trHeight w:val="210"/>
        </w:trPr>
        <w:tc>
          <w:tcPr>
            <w:tcW w:w="5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Video</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$5,178</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$5,331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auto"/>
            </w:tcBorders>
          </w:tcPr>
          <w:p>
            <w:pPr>
              <w:spacing w:after="0"/>
              <w:rPr>
                <w:sz w:val="18"/>
                <w:szCs w:val="18"/>
                <w:color w:val="auto"/>
              </w:rPr>
            </w:pP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High-Speed Internet</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2,750</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3,044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10.7%</w:t>
            </w: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Voice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906</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(1.5%)</w:t>
            </w: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Business Services</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1,114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21.4%</w:t>
            </w: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Advertising</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504</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(0.7%)</w:t>
            </w:r>
          </w:p>
        </w:tc>
      </w:tr>
      <w:tr>
        <w:trPr>
          <w:trHeight w:val="223"/>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531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0" w:type="dxa"/>
            <w:vAlign w:val="bottom"/>
            <w:tcBorders>
              <w:bottom w:val="single" w:sz="8" w:color="auto"/>
            </w:tcBorders>
          </w:tcPr>
          <w:p>
            <w:pPr>
              <w:spacing w:after="0"/>
              <w:rPr>
                <w:sz w:val="19"/>
                <w:szCs w:val="19"/>
                <w:color w:val="auto"/>
              </w:rPr>
            </w:pPr>
          </w:p>
        </w:tc>
      </w:tr>
      <w:tr>
        <w:trPr>
          <w:trHeight w:val="231"/>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Cable Communications Revenue</w:t>
            </w:r>
          </w:p>
        </w:tc>
        <w:tc>
          <w:tcPr>
            <w:tcW w:w="3420" w:type="dxa"/>
            <w:vAlign w:val="bottom"/>
          </w:tcPr>
          <w:p>
            <w:pPr>
              <w:jc w:val="right"/>
              <w:spacing w:after="0"/>
              <w:rPr>
                <w:sz w:val="20"/>
                <w:szCs w:val="20"/>
                <w:color w:val="auto"/>
              </w:rPr>
            </w:pPr>
            <w:r>
              <w:rPr>
                <w:rFonts w:ascii="Arial" w:cs="Arial" w:eastAsia="Arial" w:hAnsi="Arial"/>
                <w:sz w:val="14"/>
                <w:szCs w:val="14"/>
                <w:b w:val="1"/>
                <w:bCs w:val="1"/>
                <w:color w:val="auto"/>
              </w:rPr>
              <w:t>$10,757</w:t>
            </w:r>
          </w:p>
        </w:tc>
        <w:tc>
          <w:tcPr>
            <w:tcW w:w="1240" w:type="dxa"/>
            <w:vAlign w:val="bottom"/>
          </w:tcPr>
          <w:p>
            <w:pPr>
              <w:jc w:val="right"/>
              <w:ind w:right="248"/>
              <w:spacing w:after="0"/>
              <w:rPr>
                <w:sz w:val="20"/>
                <w:szCs w:val="20"/>
                <w:color w:val="auto"/>
              </w:rPr>
            </w:pPr>
            <w:r>
              <w:rPr>
                <w:rFonts w:ascii="Arial" w:cs="Arial" w:eastAsia="Arial" w:hAnsi="Arial"/>
                <w:sz w:val="14"/>
                <w:szCs w:val="14"/>
                <w:b w:val="1"/>
                <w:bCs w:val="1"/>
                <w:color w:val="auto"/>
              </w:rPr>
              <w:t>$11,430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20" w:type="dxa"/>
            <w:vAlign w:val="bottom"/>
          </w:tcPr>
          <w:p>
            <w:pPr>
              <w:spacing w:after="0"/>
              <w:rPr>
                <w:sz w:val="20"/>
                <w:szCs w:val="20"/>
                <w:color w:val="auto"/>
              </w:rPr>
            </w:pPr>
          </w:p>
        </w:tc>
      </w:tr>
      <w:tr>
        <w:trPr>
          <w:trHeight w:val="87"/>
        </w:trPr>
        <w:tc>
          <w:tcPr>
            <w:tcW w:w="596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Operating Cash Flow</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$4,400</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$4,674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20" w:type="dxa"/>
            <w:vAlign w:val="bottom"/>
          </w:tcPr>
          <w:p>
            <w:pPr>
              <w:spacing w:after="0"/>
              <w:rPr>
                <w:sz w:val="18"/>
                <w:szCs w:val="18"/>
                <w:color w:val="auto"/>
              </w:rPr>
            </w:pPr>
          </w:p>
        </w:tc>
      </w:tr>
      <w:tr>
        <w:trPr>
          <w:trHeight w:val="204"/>
        </w:trPr>
        <w:tc>
          <w:tcPr>
            <w:tcW w:w="5960" w:type="dxa"/>
            <w:vAlign w:val="bottom"/>
          </w:tcPr>
          <w:p>
            <w:pPr>
              <w:ind w:left="40"/>
              <w:spacing w:after="0"/>
              <w:rPr>
                <w:sz w:val="20"/>
                <w:szCs w:val="20"/>
                <w:color w:val="auto"/>
              </w:rPr>
            </w:pPr>
            <w:r>
              <w:rPr>
                <w:rFonts w:ascii="Arial" w:cs="Arial" w:eastAsia="Arial" w:hAnsi="Arial"/>
                <w:sz w:val="14"/>
                <w:szCs w:val="14"/>
                <w:i w:val="1"/>
                <w:iCs w:val="1"/>
                <w:color w:val="auto"/>
              </w:rPr>
              <w:t>Operating Cash Flow Margin</w:t>
            </w:r>
          </w:p>
        </w:tc>
        <w:tc>
          <w:tcPr>
            <w:tcW w:w="3420" w:type="dxa"/>
            <w:vAlign w:val="bottom"/>
          </w:tcPr>
          <w:p>
            <w:pPr>
              <w:jc w:val="right"/>
              <w:spacing w:after="0"/>
              <w:rPr>
                <w:sz w:val="20"/>
                <w:szCs w:val="20"/>
                <w:color w:val="auto"/>
              </w:rPr>
            </w:pPr>
            <w:r>
              <w:rPr>
                <w:rFonts w:ascii="Arial" w:cs="Arial" w:eastAsia="Arial" w:hAnsi="Arial"/>
                <w:sz w:val="14"/>
                <w:szCs w:val="14"/>
                <w:i w:val="1"/>
                <w:iCs w:val="1"/>
                <w:color w:val="auto"/>
              </w:rPr>
              <w:t>40.9%</w:t>
            </w:r>
          </w:p>
        </w:tc>
        <w:tc>
          <w:tcPr>
            <w:tcW w:w="1240" w:type="dxa"/>
            <w:vAlign w:val="bottom"/>
          </w:tcPr>
          <w:p>
            <w:pPr>
              <w:jc w:val="right"/>
              <w:ind w:right="248"/>
              <w:spacing w:after="0"/>
              <w:rPr>
                <w:sz w:val="20"/>
                <w:szCs w:val="20"/>
                <w:color w:val="auto"/>
              </w:rPr>
            </w:pPr>
            <w:r>
              <w:rPr>
                <w:rFonts w:ascii="Arial" w:cs="Arial" w:eastAsia="Arial" w:hAnsi="Arial"/>
                <w:sz w:val="14"/>
                <w:szCs w:val="14"/>
                <w:i w:val="1"/>
                <w:iCs w:val="1"/>
                <w:color w:val="auto"/>
              </w:rPr>
              <w:t>40.9%</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59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Cable Communications Capital Expenditures</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$1,145</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$1,445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w:t>
            </w:r>
          </w:p>
        </w:tc>
        <w:tc>
          <w:tcPr>
            <w:tcW w:w="20" w:type="dxa"/>
            <w:vAlign w:val="bottom"/>
          </w:tcPr>
          <w:p>
            <w:pPr>
              <w:spacing w:after="0"/>
              <w:rPr>
                <w:sz w:val="18"/>
                <w:szCs w:val="18"/>
                <w:color w:val="auto"/>
              </w:rPr>
            </w:pPr>
          </w:p>
        </w:tc>
      </w:tr>
      <w:tr>
        <w:trPr>
          <w:trHeight w:val="210"/>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Percent of Cable Communications Revenue</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10.6%</w:t>
            </w: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12.6%</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180" w:lineRule="exact"/>
        <w:rPr>
          <w:sz w:val="20"/>
          <w:szCs w:val="20"/>
          <w:color w:val="auto"/>
        </w:rPr>
      </w:pPr>
    </w:p>
    <w:p>
      <w:pPr>
        <w:jc w:val="both"/>
        <w:ind w:right="40"/>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6.3% to $11.4 billion in the first quarter of 2015 compared to $10.8 billion in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driven by increases of 10.7% in high-speed Internet and 21.4% in business services. The increase in Cable revenue reflects increased customer relationships (see below), customers receiving higher levels of service and customers taking additional services, as well as rate adjustments.</w:t>
      </w:r>
    </w:p>
    <w:p>
      <w:pPr>
        <w:spacing w:after="0" w:line="161"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199,000 to 27.2 million in the first quarter of 2015, a 61% improvement compared to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and driven by increases in double and triple product relationships. At the end of the first quarter, our double and triple product customers increased to 69% of our total customer relationships compared to 68% in the first quarter of 2014. High-Speed Internet customer net additions of 407,000 improved versus last year and were the best result in the last two years, while Video customers declined by 8,000 and Voice net additions slowed to 77,000.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14"/>
                <w:szCs w:val="14"/>
                <w:color w:val="auto"/>
              </w:rPr>
            </w:pPr>
          </w:p>
        </w:tc>
        <w:tc>
          <w:tcPr>
            <w:tcW w:w="5240" w:type="dxa"/>
            <w:vAlign w:val="bottom"/>
            <w:gridSpan w:val="2"/>
          </w:tcPr>
          <w:p>
            <w:pPr>
              <w:ind w:left="3440"/>
              <w:spacing w:after="0"/>
              <w:rPr>
                <w:sz w:val="20"/>
                <w:szCs w:val="20"/>
                <w:color w:val="auto"/>
              </w:rPr>
            </w:pPr>
            <w:r>
              <w:rPr>
                <w:rFonts w:ascii="Arial" w:cs="Arial" w:eastAsia="Arial" w:hAnsi="Arial"/>
                <w:sz w:val="14"/>
                <w:szCs w:val="14"/>
                <w:color w:val="auto"/>
              </w:rPr>
              <w:t>Customers</w:t>
            </w:r>
          </w:p>
        </w:tc>
        <w:tc>
          <w:tcPr>
            <w:tcW w:w="2100" w:type="dxa"/>
            <w:vAlign w:val="bottom"/>
            <w:gridSpan w:val="2"/>
          </w:tcPr>
          <w:p>
            <w:pPr>
              <w:ind w:left="1120"/>
              <w:spacing w:after="0"/>
              <w:rPr>
                <w:sz w:val="20"/>
                <w:szCs w:val="20"/>
                <w:color w:val="auto"/>
              </w:rPr>
            </w:pPr>
            <w:r>
              <w:rPr>
                <w:rFonts w:ascii="Arial" w:cs="Arial" w:eastAsia="Arial" w:hAnsi="Arial"/>
                <w:sz w:val="14"/>
                <w:szCs w:val="14"/>
                <w:color w:val="auto"/>
              </w:rPr>
              <w:t>Net Additions</w:t>
            </w:r>
          </w:p>
        </w:tc>
      </w:tr>
      <w:tr>
        <w:trPr>
          <w:trHeight w:val="262"/>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740" w:type="dxa"/>
            <w:vAlign w:val="bottom"/>
            <w:tcBorders>
              <w:bottom w:val="single" w:sz="8" w:color="auto"/>
            </w:tcBorders>
          </w:tcPr>
          <w:p>
            <w:pPr>
              <w:ind w:left="3120"/>
              <w:spacing w:after="0"/>
              <w:rPr>
                <w:sz w:val="20"/>
                <w:szCs w:val="20"/>
                <w:color w:val="auto"/>
              </w:rPr>
            </w:pPr>
            <w:r>
              <w:rPr>
                <w:rFonts w:ascii="Arial" w:cs="Arial" w:eastAsia="Arial" w:hAnsi="Arial"/>
                <w:sz w:val="14"/>
                <w:szCs w:val="14"/>
                <w:color w:val="auto"/>
              </w:rPr>
              <w:t>1Q14</w:t>
            </w:r>
          </w:p>
        </w:tc>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1Q15</w:t>
            </w:r>
          </w:p>
        </w:tc>
        <w:tc>
          <w:tcPr>
            <w:tcW w:w="15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1Q14</w:t>
            </w:r>
          </w:p>
        </w:tc>
        <w:tc>
          <w:tcPr>
            <w:tcW w:w="6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99"/>
              </w:rPr>
              <w:t>1Q15</w:t>
            </w:r>
          </w:p>
        </w:tc>
      </w:tr>
    </w:tbl>
    <w:p>
      <w:pPr>
        <w:sectPr>
          <w:pgSz w:w="11900" w:h="16884" w:orient="portrait"/>
          <w:cols w:equalWidth="0" w:num="1">
            <w:col w:w="11460"/>
          </w:cols>
          <w:pgMar w:left="240" w:top="118" w:right="199" w:bottom="0" w:gutter="0" w:footer="0" w:header="0"/>
        </w:sectPr>
      </w:pPr>
    </w:p>
    <w:bookmarkStart w:id="4" w:name="page5"/>
    <w:bookmarkEnd w:id="4"/>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0" w:type="dxa"/>
            <w:vAlign w:val="bottom"/>
          </w:tcPr>
          <w:p>
            <w:pPr>
              <w:ind w:left="40"/>
              <w:spacing w:after="0"/>
              <w:rPr>
                <w:sz w:val="20"/>
                <w:szCs w:val="20"/>
                <w:color w:val="auto"/>
              </w:rPr>
            </w:pPr>
            <w:r>
              <w:rPr>
                <w:rFonts w:ascii="Arial" w:cs="Arial" w:eastAsia="Arial" w:hAnsi="Arial"/>
                <w:sz w:val="14"/>
                <w:szCs w:val="14"/>
                <w:color w:val="auto"/>
              </w:rPr>
              <w:t>Video Customers</w:t>
            </w:r>
          </w:p>
        </w:tc>
        <w:tc>
          <w:tcPr>
            <w:tcW w:w="3160" w:type="dxa"/>
            <w:vAlign w:val="bottom"/>
          </w:tcPr>
          <w:p>
            <w:pPr>
              <w:jc w:val="right"/>
              <w:ind w:right="128"/>
              <w:spacing w:after="0"/>
              <w:rPr>
                <w:sz w:val="20"/>
                <w:szCs w:val="20"/>
                <w:color w:val="auto"/>
              </w:rPr>
            </w:pPr>
            <w:r>
              <w:rPr>
                <w:rFonts w:ascii="Arial" w:cs="Arial" w:eastAsia="Arial" w:hAnsi="Arial"/>
                <w:sz w:val="14"/>
                <w:szCs w:val="14"/>
                <w:color w:val="auto"/>
              </w:rPr>
              <w:t>22,601</w:t>
            </w:r>
          </w:p>
        </w:tc>
        <w:tc>
          <w:tcPr>
            <w:tcW w:w="1560" w:type="dxa"/>
            <w:vAlign w:val="bottom"/>
          </w:tcPr>
          <w:p>
            <w:pPr>
              <w:jc w:val="right"/>
              <w:ind w:right="828"/>
              <w:spacing w:after="0"/>
              <w:rPr>
                <w:sz w:val="20"/>
                <w:szCs w:val="20"/>
                <w:color w:val="auto"/>
              </w:rPr>
            </w:pPr>
            <w:r>
              <w:rPr>
                <w:rFonts w:ascii="Arial" w:cs="Arial" w:eastAsia="Arial" w:hAnsi="Arial"/>
                <w:sz w:val="14"/>
                <w:szCs w:val="14"/>
                <w:color w:val="auto"/>
              </w:rPr>
              <w:t>22,375</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24</w:t>
            </w: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3"/>
        </w:trPr>
        <w:tc>
          <w:tcPr>
            <w:tcW w:w="460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4"/>
                <w:szCs w:val="14"/>
                <w:color w:val="auto"/>
              </w:rPr>
              <w:t>High-Speed Internet Customers</w:t>
            </w:r>
          </w:p>
        </w:tc>
        <w:tc>
          <w:tcPr>
            <w:tcW w:w="3160" w:type="dxa"/>
            <w:vAlign w:val="bottom"/>
            <w:vMerge w:val="restart"/>
          </w:tcPr>
          <w:p>
            <w:pPr>
              <w:jc w:val="right"/>
              <w:ind w:right="128"/>
              <w:spacing w:after="0"/>
              <w:rPr>
                <w:sz w:val="20"/>
                <w:szCs w:val="20"/>
                <w:color w:val="auto"/>
              </w:rPr>
            </w:pPr>
            <w:r>
              <w:rPr>
                <w:rFonts w:ascii="Arial" w:cs="Arial" w:eastAsia="Arial" w:hAnsi="Arial"/>
                <w:sz w:val="14"/>
                <w:szCs w:val="14"/>
                <w:color w:val="auto"/>
              </w:rPr>
              <w:t>21,068</w:t>
            </w:r>
          </w:p>
        </w:tc>
        <w:tc>
          <w:tcPr>
            <w:tcW w:w="1560" w:type="dxa"/>
            <w:vAlign w:val="bottom"/>
            <w:vMerge w:val="restart"/>
          </w:tcPr>
          <w:p>
            <w:pPr>
              <w:jc w:val="right"/>
              <w:ind w:right="828"/>
              <w:spacing w:after="0"/>
              <w:rPr>
                <w:sz w:val="20"/>
                <w:szCs w:val="20"/>
                <w:color w:val="auto"/>
              </w:rPr>
            </w:pPr>
            <w:r>
              <w:rPr>
                <w:rFonts w:ascii="Arial" w:cs="Arial" w:eastAsia="Arial" w:hAnsi="Arial"/>
                <w:sz w:val="14"/>
                <w:szCs w:val="14"/>
                <w:color w:val="auto"/>
              </w:rPr>
              <w:t>22,369</w:t>
            </w:r>
          </w:p>
        </w:tc>
        <w:tc>
          <w:tcPr>
            <w:tcW w:w="1540" w:type="dxa"/>
            <w:vAlign w:val="bottom"/>
            <w:vMerge w:val="restart"/>
          </w:tcPr>
          <w:p>
            <w:pPr>
              <w:jc w:val="right"/>
              <w:ind w:right="228"/>
              <w:spacing w:after="0"/>
              <w:rPr>
                <w:sz w:val="20"/>
                <w:szCs w:val="20"/>
                <w:color w:val="auto"/>
              </w:rPr>
            </w:pPr>
            <w:r>
              <w:rPr>
                <w:rFonts w:ascii="Arial" w:cs="Arial" w:eastAsia="Arial" w:hAnsi="Arial"/>
                <w:sz w:val="14"/>
                <w:szCs w:val="14"/>
                <w:color w:val="auto"/>
              </w:rPr>
              <w:t>383</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53"/>
        </w:trPr>
        <w:tc>
          <w:tcPr>
            <w:tcW w:w="460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vMerge w:val="continue"/>
          </w:tcPr>
          <w:p>
            <w:pPr>
              <w:spacing w:after="0"/>
              <w:rPr>
                <w:sz w:val="4"/>
                <w:szCs w:val="4"/>
                <w:color w:val="auto"/>
              </w:rPr>
            </w:pPr>
          </w:p>
        </w:tc>
        <w:tc>
          <w:tcPr>
            <w:tcW w:w="1560" w:type="dxa"/>
            <w:vAlign w:val="bottom"/>
            <w:tcBorders>
              <w:bottom w:val="single" w:sz="8" w:color="auto"/>
            </w:tcBorders>
            <w:vMerge w:val="continue"/>
          </w:tcPr>
          <w:p>
            <w:pPr>
              <w:spacing w:after="0"/>
              <w:rPr>
                <w:sz w:val="4"/>
                <w:szCs w:val="4"/>
                <w:color w:val="auto"/>
              </w:rPr>
            </w:pPr>
          </w:p>
        </w:tc>
        <w:tc>
          <w:tcPr>
            <w:tcW w:w="1540" w:type="dxa"/>
            <w:vAlign w:val="bottom"/>
            <w:tcBorders>
              <w:bottom w:val="single" w:sz="8" w:color="auto"/>
            </w:tcBorders>
            <w:vMerge w:val="continue"/>
          </w:tcPr>
          <w:p>
            <w:pPr>
              <w:spacing w:after="0"/>
              <w:rPr>
                <w:sz w:val="4"/>
                <w:szCs w:val="4"/>
                <w:color w:val="auto"/>
              </w:rPr>
            </w:pPr>
          </w:p>
        </w:tc>
        <w:tc>
          <w:tcPr>
            <w:tcW w:w="5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600" w:type="dxa"/>
            <w:vAlign w:val="bottom"/>
          </w:tcPr>
          <w:p>
            <w:pPr>
              <w:ind w:left="40"/>
              <w:spacing w:after="0"/>
              <w:rPr>
                <w:sz w:val="20"/>
                <w:szCs w:val="20"/>
                <w:color w:val="auto"/>
              </w:rPr>
            </w:pPr>
            <w:r>
              <w:rPr>
                <w:rFonts w:ascii="Arial" w:cs="Arial" w:eastAsia="Arial" w:hAnsi="Arial"/>
                <w:sz w:val="14"/>
                <w:szCs w:val="14"/>
                <w:color w:val="auto"/>
              </w:rPr>
              <w:t>Voice Customers</w:t>
            </w:r>
          </w:p>
        </w:tc>
        <w:tc>
          <w:tcPr>
            <w:tcW w:w="3160" w:type="dxa"/>
            <w:vAlign w:val="bottom"/>
            <w:vMerge w:val="restart"/>
          </w:tcPr>
          <w:p>
            <w:pPr>
              <w:jc w:val="right"/>
              <w:ind w:right="128"/>
              <w:spacing w:after="0"/>
              <w:rPr>
                <w:sz w:val="20"/>
                <w:szCs w:val="20"/>
                <w:color w:val="auto"/>
              </w:rPr>
            </w:pPr>
            <w:r>
              <w:rPr>
                <w:rFonts w:ascii="Arial" w:cs="Arial" w:eastAsia="Arial" w:hAnsi="Arial"/>
                <w:sz w:val="14"/>
                <w:szCs w:val="14"/>
                <w:color w:val="auto"/>
              </w:rPr>
              <w:t>10,865</w:t>
            </w:r>
          </w:p>
        </w:tc>
        <w:tc>
          <w:tcPr>
            <w:tcW w:w="1560" w:type="dxa"/>
            <w:vAlign w:val="bottom"/>
            <w:vMerge w:val="restart"/>
          </w:tcPr>
          <w:p>
            <w:pPr>
              <w:jc w:val="right"/>
              <w:ind w:right="828"/>
              <w:spacing w:after="0"/>
              <w:rPr>
                <w:sz w:val="20"/>
                <w:szCs w:val="20"/>
                <w:color w:val="auto"/>
              </w:rPr>
            </w:pPr>
            <w:r>
              <w:rPr>
                <w:rFonts w:ascii="Arial" w:cs="Arial" w:eastAsia="Arial" w:hAnsi="Arial"/>
                <w:sz w:val="14"/>
                <w:szCs w:val="14"/>
                <w:color w:val="auto"/>
              </w:rPr>
              <w:t>11,270</w:t>
            </w:r>
          </w:p>
        </w:tc>
        <w:tc>
          <w:tcPr>
            <w:tcW w:w="1540" w:type="dxa"/>
            <w:vAlign w:val="bottom"/>
            <w:vMerge w:val="restart"/>
          </w:tcPr>
          <w:p>
            <w:pPr>
              <w:jc w:val="right"/>
              <w:ind w:right="228"/>
              <w:spacing w:after="0"/>
              <w:rPr>
                <w:sz w:val="20"/>
                <w:szCs w:val="20"/>
                <w:color w:val="auto"/>
              </w:rPr>
            </w:pPr>
            <w:r>
              <w:rPr>
                <w:rFonts w:ascii="Arial" w:cs="Arial" w:eastAsia="Arial" w:hAnsi="Arial"/>
                <w:sz w:val="14"/>
                <w:szCs w:val="14"/>
                <w:color w:val="auto"/>
              </w:rPr>
              <w:t>142</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0"/>
        </w:trPr>
        <w:tc>
          <w:tcPr>
            <w:tcW w:w="460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vMerge w:val="continue"/>
          </w:tcPr>
          <w:p>
            <w:pPr>
              <w:spacing w:after="0"/>
              <w:rPr>
                <w:sz w:val="5"/>
                <w:szCs w:val="5"/>
                <w:color w:val="auto"/>
              </w:rPr>
            </w:pPr>
          </w:p>
        </w:tc>
        <w:tc>
          <w:tcPr>
            <w:tcW w:w="1560" w:type="dxa"/>
            <w:vAlign w:val="bottom"/>
            <w:tcBorders>
              <w:bottom w:val="single" w:sz="8" w:color="auto"/>
            </w:tcBorders>
            <w:vMerge w:val="continue"/>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Single Product Customers</w:t>
            </w:r>
          </w:p>
        </w:tc>
        <w:tc>
          <w:tcPr>
            <w:tcW w:w="3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8,605</w:t>
            </w:r>
          </w:p>
        </w:tc>
        <w:tc>
          <w:tcPr>
            <w:tcW w:w="15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8,399</w:t>
            </w: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(147)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Double Product Customers</w:t>
            </w:r>
          </w:p>
        </w:tc>
        <w:tc>
          <w:tcPr>
            <w:tcW w:w="3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8,656</w:t>
            </w:r>
          </w:p>
        </w:tc>
        <w:tc>
          <w:tcPr>
            <w:tcW w:w="15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8,890</w:t>
            </w: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Triple Product Customers</w:t>
            </w:r>
          </w:p>
        </w:tc>
        <w:tc>
          <w:tcPr>
            <w:tcW w:w="3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9,539</w:t>
            </w:r>
          </w:p>
        </w:tc>
        <w:tc>
          <w:tcPr>
            <w:tcW w:w="156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9,945</w:t>
            </w: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155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45"/>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3160" w:type="dxa"/>
            <w:vAlign w:val="bottom"/>
          </w:tcPr>
          <w:p>
            <w:pPr>
              <w:jc w:val="right"/>
              <w:ind w:right="128"/>
              <w:spacing w:after="0"/>
              <w:rPr>
                <w:sz w:val="20"/>
                <w:szCs w:val="20"/>
                <w:color w:val="auto"/>
              </w:rPr>
            </w:pPr>
            <w:r>
              <w:rPr>
                <w:rFonts w:ascii="Arial" w:cs="Arial" w:eastAsia="Arial" w:hAnsi="Arial"/>
                <w:sz w:val="14"/>
                <w:szCs w:val="14"/>
                <w:b w:val="1"/>
                <w:bCs w:val="1"/>
                <w:color w:val="auto"/>
              </w:rPr>
              <w:t>26,800</w:t>
            </w:r>
          </w:p>
        </w:tc>
        <w:tc>
          <w:tcPr>
            <w:tcW w:w="1560" w:type="dxa"/>
            <w:vAlign w:val="bottom"/>
          </w:tcPr>
          <w:p>
            <w:pPr>
              <w:jc w:val="right"/>
              <w:ind w:right="828"/>
              <w:spacing w:after="0"/>
              <w:rPr>
                <w:sz w:val="20"/>
                <w:szCs w:val="20"/>
                <w:color w:val="auto"/>
              </w:rPr>
            </w:pPr>
            <w:r>
              <w:rPr>
                <w:rFonts w:ascii="Arial" w:cs="Arial" w:eastAsia="Arial" w:hAnsi="Arial"/>
                <w:sz w:val="14"/>
                <w:szCs w:val="14"/>
                <w:b w:val="1"/>
                <w:bCs w:val="1"/>
                <w:color w:val="auto"/>
              </w:rPr>
              <w:t>27,234</w:t>
            </w:r>
          </w:p>
        </w:tc>
        <w:tc>
          <w:tcPr>
            <w:tcW w:w="1540" w:type="dxa"/>
            <w:vAlign w:val="bottom"/>
          </w:tcPr>
          <w:p>
            <w:pPr>
              <w:jc w:val="right"/>
              <w:ind w:right="228"/>
              <w:spacing w:after="0"/>
              <w:rPr>
                <w:sz w:val="20"/>
                <w:szCs w:val="20"/>
                <w:color w:val="auto"/>
              </w:rPr>
            </w:pPr>
            <w:r>
              <w:rPr>
                <w:rFonts w:ascii="Arial" w:cs="Arial" w:eastAsia="Arial" w:hAnsi="Arial"/>
                <w:sz w:val="14"/>
                <w:szCs w:val="14"/>
                <w:b w:val="1"/>
                <w:bCs w:val="1"/>
                <w:color w:val="auto"/>
              </w:rPr>
              <w:t>124</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6.2% to $4.7 billion in the first quarter of 2015 compared to $4.4 billion in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2014, reflecting higher revenue, partially offset by a 6.3% increase in operating expenses primarily related to higher video programming costs, as well as an increase in advertising, marketing and promotion expenses. This quarter’s operating cash flow margin was 40.9%, consistent with the prior year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1st Quarter</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50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Excluding</w:t>
            </w: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2014</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2015</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Growth</w:t>
            </w: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Olympics &amp;</w:t>
            </w:r>
          </w:p>
        </w:tc>
        <w:tc>
          <w:tcPr>
            <w:tcW w:w="0" w:type="dxa"/>
            <w:vAlign w:val="bottom"/>
          </w:tcPr>
          <w:p>
            <w:pPr>
              <w:spacing w:after="0"/>
              <w:rPr>
                <w:sz w:val="1"/>
                <w:szCs w:val="1"/>
                <w:color w:val="auto"/>
              </w:rPr>
            </w:pPr>
          </w:p>
        </w:tc>
      </w:tr>
      <w:tr>
        <w:trPr>
          <w:trHeight w:val="165"/>
        </w:trPr>
        <w:tc>
          <w:tcPr>
            <w:tcW w:w="5060" w:type="dxa"/>
            <w:vAlign w:val="bottom"/>
            <w:tcBorders>
              <w:bottom w:val="single" w:sz="8" w:color="auto"/>
            </w:tcBorders>
          </w:tcPr>
          <w:p>
            <w:pPr>
              <w:ind w:left="60"/>
              <w:spacing w:after="0" w:line="158" w:lineRule="exact"/>
              <w:rPr>
                <w:sz w:val="20"/>
                <w:szCs w:val="20"/>
                <w:color w:val="auto"/>
              </w:rPr>
            </w:pPr>
            <w:r>
              <w:rPr>
                <w:rFonts w:ascii="Arial" w:cs="Arial" w:eastAsia="Arial" w:hAnsi="Arial"/>
                <w:sz w:val="14"/>
                <w:szCs w:val="14"/>
                <w:i w:val="1"/>
                <w:iCs w:val="1"/>
                <w:color w:val="auto"/>
              </w:rPr>
              <w:t>($ in millions)</w:t>
            </w:r>
          </w:p>
        </w:tc>
        <w:tc>
          <w:tcPr>
            <w:tcW w:w="3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i w:val="1"/>
                <w:iCs w:val="1"/>
                <w:color w:val="auto"/>
              </w:rPr>
              <w:t>Super Bowl</w:t>
            </w:r>
          </w:p>
        </w:tc>
        <w:tc>
          <w:tcPr>
            <w:tcW w:w="0" w:type="dxa"/>
            <w:vAlign w:val="bottom"/>
          </w:tcPr>
          <w:p>
            <w:pPr>
              <w:spacing w:after="0"/>
              <w:rPr>
                <w:sz w:val="1"/>
                <w:szCs w:val="1"/>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4"/>
                <w:szCs w:val="14"/>
                <w:b w:val="1"/>
                <w:bCs w:val="1"/>
                <w:color w:val="auto"/>
              </w:rPr>
              <w:t>NBCUniversal Revenue</w:t>
            </w:r>
          </w:p>
        </w:tc>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color w:val="auto"/>
              </w:rPr>
              <w:t>Cable Networks</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$2,505</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$2,359</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(5.9%)</w:t>
            </w: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4.9%</w:t>
            </w: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20"/>
                <w:szCs w:val="20"/>
                <w:color w:val="auto"/>
              </w:rPr>
            </w:pPr>
            <w:r>
              <w:rPr>
                <w:rFonts w:ascii="Arial" w:cs="Arial" w:eastAsia="Arial" w:hAnsi="Arial"/>
                <w:sz w:val="14"/>
                <w:szCs w:val="14"/>
                <w:color w:val="auto"/>
              </w:rPr>
              <w:t>Broadcast Television</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2,621</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2,248</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(14.2%)</w:t>
            </w: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5.5%</w:t>
            </w: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Filmed Entertainment</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1,351</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1,446</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7.0%</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Theme Parks</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487</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651</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33.7%</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Headquarters, Other and Eliminations</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(88)</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(100)</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NM</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506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0"/>
                <w:szCs w:val="20"/>
                <w:color w:val="auto"/>
              </w:rPr>
            </w:pPr>
            <w:r>
              <w:rPr>
                <w:rFonts w:ascii="Arial" w:cs="Arial" w:eastAsia="Arial" w:hAnsi="Arial"/>
                <w:sz w:val="14"/>
                <w:szCs w:val="14"/>
                <w:b w:val="1"/>
                <w:bCs w:val="1"/>
                <w:color w:val="auto"/>
              </w:rPr>
              <w:t>NBCUniversal Revenue</w:t>
            </w:r>
          </w:p>
        </w:tc>
        <w:tc>
          <w:tcPr>
            <w:tcW w:w="3280" w:type="dxa"/>
            <w:vAlign w:val="bottom"/>
          </w:tcPr>
          <w:p>
            <w:pPr>
              <w:jc w:val="right"/>
              <w:ind w:right="168"/>
              <w:spacing w:after="0"/>
              <w:rPr>
                <w:sz w:val="20"/>
                <w:szCs w:val="20"/>
                <w:color w:val="auto"/>
              </w:rPr>
            </w:pPr>
            <w:r>
              <w:rPr>
                <w:rFonts w:ascii="Arial" w:cs="Arial" w:eastAsia="Arial" w:hAnsi="Arial"/>
                <w:sz w:val="14"/>
                <w:szCs w:val="14"/>
                <w:b w:val="1"/>
                <w:bCs w:val="1"/>
                <w:color w:val="auto"/>
              </w:rPr>
              <w:t>$6,876</w:t>
            </w: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$6,604</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(4.0%)</w:t>
            </w:r>
          </w:p>
        </w:tc>
        <w:tc>
          <w:tcPr>
            <w:tcW w:w="10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7.9%</w:t>
            </w:r>
          </w:p>
        </w:tc>
        <w:tc>
          <w:tcPr>
            <w:tcW w:w="0" w:type="dxa"/>
            <w:vAlign w:val="bottom"/>
          </w:tcPr>
          <w:p>
            <w:pPr>
              <w:spacing w:after="0"/>
              <w:rPr>
                <w:sz w:val="1"/>
                <w:szCs w:val="1"/>
                <w:color w:val="auto"/>
              </w:rPr>
            </w:pPr>
          </w:p>
        </w:tc>
      </w:tr>
      <w:tr>
        <w:trPr>
          <w:trHeight w:val="222"/>
        </w:trPr>
        <w:tc>
          <w:tcPr>
            <w:tcW w:w="50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4"/>
                <w:szCs w:val="14"/>
                <w:b w:val="1"/>
                <w:bCs w:val="1"/>
                <w:color w:val="auto"/>
              </w:rPr>
              <w:t>NBCUniversal Operating Cash Flow</w:t>
            </w:r>
          </w:p>
        </w:tc>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Cable Networks</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$895</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$898</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0.3%</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Broadcast Television</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122</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182</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48.9%</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Filmed Entertainment</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288</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293</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1.7%</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color w:val="auto"/>
              </w:rPr>
              <w:t>Theme Parks</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170</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263</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54.6%</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6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060" w:type="dxa"/>
            <w:vAlign w:val="bottom"/>
            <w:vMerge w:val="restart"/>
          </w:tcPr>
          <w:p>
            <w:pPr>
              <w:spacing w:after="0"/>
              <w:rPr>
                <w:sz w:val="20"/>
                <w:szCs w:val="20"/>
                <w:color w:val="auto"/>
              </w:rPr>
            </w:pPr>
            <w:r>
              <w:rPr>
                <w:rFonts w:ascii="Arial" w:cs="Arial" w:eastAsia="Arial" w:hAnsi="Arial"/>
                <w:sz w:val="14"/>
                <w:szCs w:val="14"/>
                <w:color w:val="auto"/>
              </w:rPr>
              <w:t>Headquarters, Other and Eliminations</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(164)</w:t>
            </w: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(142)</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NM</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5060" w:type="dxa"/>
            <w:vAlign w:val="bottom"/>
            <w:tcBorders>
              <w:bottom w:val="single" w:sz="8" w:color="auto"/>
            </w:tcBorders>
            <w:vMerge w:val="continue"/>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060" w:type="dxa"/>
            <w:vAlign w:val="bottom"/>
          </w:tcPr>
          <w:p>
            <w:pPr>
              <w:spacing w:after="0"/>
              <w:rPr>
                <w:sz w:val="20"/>
                <w:szCs w:val="20"/>
                <w:color w:val="auto"/>
              </w:rPr>
            </w:pPr>
            <w:r>
              <w:rPr>
                <w:rFonts w:ascii="Arial" w:cs="Arial" w:eastAsia="Arial" w:hAnsi="Arial"/>
                <w:sz w:val="14"/>
                <w:szCs w:val="14"/>
                <w:b w:val="1"/>
                <w:bCs w:val="1"/>
                <w:color w:val="auto"/>
              </w:rPr>
              <w:t>NBCUniversal Operating Cash Flow</w:t>
            </w:r>
          </w:p>
        </w:tc>
        <w:tc>
          <w:tcPr>
            <w:tcW w:w="3280" w:type="dxa"/>
            <w:vAlign w:val="bottom"/>
          </w:tcPr>
          <w:p>
            <w:pPr>
              <w:jc w:val="right"/>
              <w:ind w:right="168"/>
              <w:spacing w:after="0"/>
              <w:rPr>
                <w:sz w:val="20"/>
                <w:szCs w:val="20"/>
                <w:color w:val="auto"/>
              </w:rPr>
            </w:pPr>
            <w:r>
              <w:rPr>
                <w:rFonts w:ascii="Arial" w:cs="Arial" w:eastAsia="Arial" w:hAnsi="Arial"/>
                <w:sz w:val="14"/>
                <w:szCs w:val="14"/>
                <w:b w:val="1"/>
                <w:bCs w:val="1"/>
                <w:color w:val="auto"/>
              </w:rPr>
              <w:t>$1,311</w:t>
            </w:r>
          </w:p>
        </w:tc>
        <w:tc>
          <w:tcPr>
            <w:tcW w:w="1260" w:type="dxa"/>
            <w:vAlign w:val="bottom"/>
          </w:tcPr>
          <w:p>
            <w:pPr>
              <w:jc w:val="right"/>
              <w:ind w:right="508"/>
              <w:spacing w:after="0"/>
              <w:rPr>
                <w:sz w:val="20"/>
                <w:szCs w:val="20"/>
                <w:color w:val="auto"/>
              </w:rPr>
            </w:pPr>
            <w:r>
              <w:rPr>
                <w:rFonts w:ascii="Arial" w:cs="Arial" w:eastAsia="Arial" w:hAnsi="Arial"/>
                <w:sz w:val="14"/>
                <w:szCs w:val="14"/>
                <w:b w:val="1"/>
                <w:bCs w:val="1"/>
                <w:color w:val="auto"/>
              </w:rPr>
              <w:t>$1,494</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14.0%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4.0% to $6.6 billion in the first quarter of 2015 compared to $6.9 billion in the first quarter of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$376 million of revenue generated by the broadcast of the NFL’s Super Bowl in the first quarter of 2015 and $1.1 billion of revenue generated by the Sochi Olympics in the first quarter of 2014, revenue increased 7.9% (See Table 5).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14.0% to $1.5 billion compared to $1.3 billion in the first quarter of 2014, driven by strong results at Theme Parks and Broadcast Television.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first quarter of 2015, revenue from the Cable Networks segment decreased 5.9% to $2.4 billion compared to $2.5 billion in the first quarter of 2014. Excluding $257 million of revenue generated by the Sochi Olympics in the first quarter of 2014, revenue increased 4.9%, reflecting a 4.8% increase in distribution revenue and a 4.3% increase in advertising revenue (see Table 5). Excluding a benefit from a reduction in deferred advertising revenue, advertising growth would have been stable as audience ratings declines were offset by higher prices and volume. Operating cash flow increased 0.3% to $898 million compared to $ 895 million in the first quarter of 2014, reflecting lower programming and production costs due to the broadcast of the Sochi Olympics in the first quarter of 2014, partially offset by lower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first quarter of 2015, revenue from the Broadcast Television segment decreased 14.2% to $2.2 billion compared to $2.6 billion in the first quarter of 2014. Excluding $376 million of revenue generated by the NFL’s Super Bowl in the first quarter of 2015, as well as $846 million of revenue generated by the Sochi Olympics in the first quarter of 2014, revenue increased 5.5%, driven by a 5.5% increase in advertising revenue, as well as higher retransmission consent fees (see Table 5). Operating cash flow increased 48.9% to $182 million compared to $ 122 million in the first quarter of 2014, reflecting lower programming and production costs due to the broadcast of the Sochi Olympics in the first quarter of 2014 and a profitable Super Bowl, partially offset by lower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For the first quarter of 2015, revenue from the Filmed Entertainment segment increased 7.0% to $1.4 billion compared to the first quarter of 2014, reflecting higher content licensing and home entertainment revenue, partially offset by lower theatrical revenue. Operating cash flow increased 1.7% to $ 293 million compared to $288 million in the first quarter of 2014, reflecting higher revenue, partially offset by increased marketing expenses ahead of the release of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early in the second quarter.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2" w:orient="portrait"/>
          <w:cols w:equalWidth="0" w:num="1">
            <w:col w:w="11420"/>
          </w:cols>
          <w:pgMar w:left="240" w:top="14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For the first quarter of 2015, revenue from the Theme Parks segment increased 33.7% to $651 million compared to $487 million in the first quarter of 2014, reflecting higher guest attendance and per capita spending, driven by the continued success of Orlando’s </w:t>
      </w:r>
      <w:r>
        <w:rPr>
          <w:rFonts w:ascii="Arial" w:cs="Arial" w:eastAsia="Arial" w:hAnsi="Arial"/>
          <w:sz w:val="18"/>
          <w:szCs w:val="18"/>
          <w:i w:val="1"/>
          <w:iCs w:val="1"/>
          <w:color w:val="auto"/>
        </w:rPr>
        <w:t>The Wizarding World</w:t>
      </w:r>
    </w:p>
    <w:p>
      <w:pPr>
        <w:sectPr>
          <w:pgSz w:w="11900" w:h="16862" w:orient="portrait"/>
          <w:cols w:equalWidth="0" w:num="1">
            <w:col w:w="11420"/>
          </w:cols>
          <w:pgMar w:left="240" w:top="144" w:right="239" w:bottom="0" w:gutter="0" w:footer="0" w:header="0"/>
          <w:type w:val="continuous"/>
        </w:sectPr>
      </w:pPr>
    </w:p>
    <w:bookmarkStart w:id="5" w:name="page6"/>
    <w:bookmarkEnd w:id="5"/>
    <w:p>
      <w:pPr>
        <w:jc w:val="both"/>
        <w:ind w:right="40"/>
        <w:spacing w:after="0" w:line="268" w:lineRule="auto"/>
        <w:rPr>
          <w:sz w:val="20"/>
          <w:szCs w:val="20"/>
          <w:color w:val="auto"/>
        </w:rPr>
      </w:pPr>
      <w:r>
        <w:rPr>
          <w:rFonts w:ascii="Arial" w:cs="Arial" w:eastAsia="Arial" w:hAnsi="Arial"/>
          <w:sz w:val="18"/>
          <w:szCs w:val="18"/>
          <w:i w:val="1"/>
          <w:iCs w:val="1"/>
          <w:color w:val="auto"/>
        </w:rPr>
        <w:t>of Harry Potter</w:t>
      </w:r>
      <w:r>
        <w:rPr>
          <w:rFonts w:ascii="Arial" w:cs="Arial" w:eastAsia="Arial" w:hAnsi="Arial"/>
          <w:sz w:val="18"/>
          <w:szCs w:val="18"/>
          <w:color w:val="auto"/>
        </w:rPr>
        <w:t>™</w:t>
      </w:r>
      <w:r>
        <w:rPr>
          <w:rFonts w:ascii="Arial" w:cs="Arial" w:eastAsia="Arial" w:hAnsi="Arial"/>
          <w:sz w:val="18"/>
          <w:szCs w:val="18"/>
          <w:i w:val="1"/>
          <w:iCs w:val="1"/>
          <w:color w:val="auto"/>
        </w:rPr>
        <w:t xml:space="preserve"> – Diagon Alley</w:t>
      </w:r>
      <w:r>
        <w:rPr>
          <w:rFonts w:ascii="Arial" w:cs="Arial" w:eastAsia="Arial" w:hAnsi="Arial"/>
          <w:sz w:val="18"/>
          <w:szCs w:val="18"/>
          <w:color w:val="auto"/>
        </w:rPr>
        <w:t>™. First quarter operating cash flow increased 54.6% to $263 million compared to $170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reflecting higher revenue, partially offset by an increase in operating costs to support the new attractions.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2015, NBCUniversal Headquarters, Other and Eliminations operating cash flow loss was $142 million compared to a loss of $164 million in the first quarter of 2014, reflecting lower employee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Comcast-Spectacor and eliminations among Comcast’s businesses. For the quarter ended March 31, 2015, Corporate, Other and Eliminations revenue was ($181) million compared to ($225) million in 2014. The operating cash flow loss was $212 million, including $99 million of transaction-related costs, compared to a loss of $173 million in the first quarter of 2014, which included $17 million of transaction-related costs.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80" w:right="40" w:hanging="166"/>
        <w:spacing w:after="0" w:line="246"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198" w:lineRule="exact"/>
        <w:rPr>
          <w:sz w:val="20"/>
          <w:szCs w:val="20"/>
          <w:color w:val="auto"/>
        </w:rPr>
      </w:pPr>
    </w:p>
    <w:p>
      <w:pPr>
        <w:jc w:val="both"/>
        <w:ind w:left="180" w:right="40" w:hanging="166"/>
        <w:spacing w:after="0" w:line="23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ind w:right="40"/>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May 4, 2015 at 7:30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Those parties interested in participating via telephone should dial (800) 263-8495 with the conference ID number 11175378. A replay of the call will be available starting at 12:30 p.m. ET on May 4, 2015, on the Investor Relations website or by telephone. To access the telephone replay, which will be available until Monday, May 11, 2015 at midnight ET, please dial (855) 859-2056 and enter the conference ID number 11175378.</w:t>
      </w:r>
    </w:p>
    <w:p>
      <w:pPr>
        <w:spacing w:after="0" w:line="176"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80" w:type="dxa"/>
            <w:vAlign w:val="bottom"/>
          </w:tcPr>
          <w:p>
            <w:pPr>
              <w:jc w:val="right"/>
              <w:ind w:right="1321"/>
              <w:spacing w:after="0"/>
              <w:rPr>
                <w:sz w:val="20"/>
                <w:szCs w:val="20"/>
                <w:color w:val="auto"/>
              </w:rPr>
            </w:pPr>
            <w:r>
              <w:rPr>
                <w:rFonts w:ascii="Arial" w:cs="Arial" w:eastAsia="Arial" w:hAnsi="Arial"/>
                <w:sz w:val="16"/>
                <w:szCs w:val="16"/>
                <w:color w:val="auto"/>
              </w:rPr>
              <w:t>###</w:t>
            </w:r>
          </w:p>
        </w:tc>
        <w:tc>
          <w:tcPr>
            <w:tcW w:w="4220" w:type="dxa"/>
            <w:vAlign w:val="bottom"/>
          </w:tcPr>
          <w:p>
            <w:pPr>
              <w:spacing w:after="0"/>
              <w:rPr>
                <w:sz w:val="16"/>
                <w:szCs w:val="16"/>
                <w:color w:val="auto"/>
              </w:rPr>
            </w:pPr>
          </w:p>
        </w:tc>
      </w:tr>
      <w:tr>
        <w:trPr>
          <w:trHeight w:val="373"/>
        </w:trPr>
        <w:tc>
          <w:tcPr>
            <w:tcW w:w="174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20" w:type="dxa"/>
            <w:vAlign w:val="bottom"/>
          </w:tcPr>
          <w:p>
            <w:pPr>
              <w:spacing w:after="0"/>
              <w:rPr>
                <w:sz w:val="24"/>
                <w:szCs w:val="24"/>
                <w:color w:val="auto"/>
              </w:rPr>
            </w:pPr>
          </w:p>
        </w:tc>
        <w:tc>
          <w:tcPr>
            <w:tcW w:w="2880" w:type="dxa"/>
            <w:vAlign w:val="bottom"/>
          </w:tcPr>
          <w:p>
            <w:pPr>
              <w:ind w:left="1360"/>
              <w:spacing w:after="0"/>
              <w:rPr>
                <w:sz w:val="20"/>
                <w:szCs w:val="20"/>
                <w:color w:val="auto"/>
              </w:rPr>
            </w:pPr>
            <w:r>
              <w:rPr>
                <w:rFonts w:ascii="Arial" w:cs="Arial" w:eastAsia="Arial" w:hAnsi="Arial"/>
                <w:sz w:val="16"/>
                <w:szCs w:val="16"/>
                <w:b w:val="1"/>
                <w:bCs w:val="1"/>
                <w:color w:val="auto"/>
              </w:rPr>
              <w:t>Press Contacts:</w:t>
            </w:r>
          </w:p>
        </w:tc>
        <w:tc>
          <w:tcPr>
            <w:tcW w:w="4220" w:type="dxa"/>
            <w:vAlign w:val="bottom"/>
          </w:tcPr>
          <w:p>
            <w:pPr>
              <w:spacing w:after="0"/>
              <w:rPr>
                <w:sz w:val="24"/>
                <w:szCs w:val="24"/>
                <w:color w:val="auto"/>
              </w:rPr>
            </w:pPr>
          </w:p>
        </w:tc>
      </w:tr>
      <w:tr>
        <w:trPr>
          <w:trHeight w:val="189"/>
        </w:trPr>
        <w:tc>
          <w:tcPr>
            <w:tcW w:w="1740" w:type="dxa"/>
            <w:vAlign w:val="bottom"/>
          </w:tcPr>
          <w:p>
            <w:pPr>
              <w:spacing w:after="0"/>
              <w:rPr>
                <w:sz w:val="20"/>
                <w:szCs w:val="20"/>
                <w:color w:val="auto"/>
              </w:rPr>
            </w:pPr>
            <w:r>
              <w:rPr>
                <w:rFonts w:ascii="Arial" w:cs="Arial" w:eastAsia="Arial" w:hAnsi="Arial"/>
                <w:sz w:val="16"/>
                <w:szCs w:val="16"/>
                <w:color w:val="auto"/>
              </w:rPr>
              <w:t>Jason Armstrong</w:t>
            </w:r>
          </w:p>
        </w:tc>
        <w:tc>
          <w:tcPr>
            <w:tcW w:w="2620" w:type="dxa"/>
            <w:vAlign w:val="bottom"/>
          </w:tcPr>
          <w:p>
            <w:pPr>
              <w:jc w:val="right"/>
              <w:ind w:right="1119"/>
              <w:spacing w:after="0"/>
              <w:rPr>
                <w:sz w:val="20"/>
                <w:szCs w:val="20"/>
                <w:color w:val="auto"/>
              </w:rPr>
            </w:pPr>
            <w:r>
              <w:rPr>
                <w:rFonts w:ascii="Arial" w:cs="Arial" w:eastAsia="Arial" w:hAnsi="Arial"/>
                <w:sz w:val="16"/>
                <w:szCs w:val="16"/>
                <w:color w:val="auto"/>
              </w:rPr>
              <w:t>(215) 286-7972</w:t>
            </w:r>
          </w:p>
        </w:tc>
        <w:tc>
          <w:tcPr>
            <w:tcW w:w="2880" w:type="dxa"/>
            <w:vAlign w:val="bottom"/>
          </w:tcPr>
          <w:p>
            <w:pPr>
              <w:ind w:left="1360"/>
              <w:spacing w:after="0"/>
              <w:rPr>
                <w:sz w:val="20"/>
                <w:szCs w:val="20"/>
                <w:color w:val="auto"/>
              </w:rPr>
            </w:pPr>
            <w:r>
              <w:rPr>
                <w:rFonts w:ascii="Arial" w:cs="Arial" w:eastAsia="Arial" w:hAnsi="Arial"/>
                <w:sz w:val="16"/>
                <w:szCs w:val="16"/>
                <w:color w:val="auto"/>
              </w:rPr>
              <w:t>D’Arcy Rudnay</w:t>
            </w:r>
          </w:p>
        </w:tc>
        <w:tc>
          <w:tcPr>
            <w:tcW w:w="4220" w:type="dxa"/>
            <w:vAlign w:val="bottom"/>
          </w:tcPr>
          <w:p>
            <w:pPr>
              <w:jc w:val="right"/>
              <w:ind w:right="2719"/>
              <w:spacing w:after="0"/>
              <w:rPr>
                <w:sz w:val="20"/>
                <w:szCs w:val="20"/>
                <w:color w:val="auto"/>
              </w:rPr>
            </w:pPr>
            <w:r>
              <w:rPr>
                <w:rFonts w:ascii="Arial" w:cs="Arial" w:eastAsia="Arial" w:hAnsi="Arial"/>
                <w:sz w:val="16"/>
                <w:szCs w:val="16"/>
                <w:color w:val="auto"/>
              </w:rPr>
              <w:t>(215) 286-8582</w:t>
            </w:r>
          </w:p>
        </w:tc>
      </w:tr>
      <w:tr>
        <w:trPr>
          <w:trHeight w:val="195"/>
        </w:trPr>
        <w:tc>
          <w:tcPr>
            <w:tcW w:w="1740" w:type="dxa"/>
            <w:vAlign w:val="bottom"/>
          </w:tcPr>
          <w:p>
            <w:pPr>
              <w:spacing w:after="0"/>
              <w:rPr>
                <w:sz w:val="20"/>
                <w:szCs w:val="20"/>
                <w:color w:val="auto"/>
              </w:rPr>
            </w:pPr>
            <w:r>
              <w:rPr>
                <w:rFonts w:ascii="Arial" w:cs="Arial" w:eastAsia="Arial" w:hAnsi="Arial"/>
                <w:sz w:val="16"/>
                <w:szCs w:val="16"/>
                <w:color w:val="auto"/>
              </w:rPr>
              <w:t>Jane Kearns</w:t>
            </w:r>
          </w:p>
        </w:tc>
        <w:tc>
          <w:tcPr>
            <w:tcW w:w="2620" w:type="dxa"/>
            <w:vAlign w:val="bottom"/>
          </w:tcPr>
          <w:p>
            <w:pPr>
              <w:jc w:val="right"/>
              <w:ind w:right="1119"/>
              <w:spacing w:after="0"/>
              <w:rPr>
                <w:sz w:val="20"/>
                <w:szCs w:val="20"/>
                <w:color w:val="auto"/>
              </w:rPr>
            </w:pPr>
            <w:r>
              <w:rPr>
                <w:rFonts w:ascii="Arial" w:cs="Arial" w:eastAsia="Arial" w:hAnsi="Arial"/>
                <w:sz w:val="16"/>
                <w:szCs w:val="16"/>
                <w:color w:val="auto"/>
              </w:rPr>
              <w:t>(215) 286-4794</w:t>
            </w:r>
          </w:p>
        </w:tc>
        <w:tc>
          <w:tcPr>
            <w:tcW w:w="2880" w:type="dxa"/>
            <w:vAlign w:val="bottom"/>
          </w:tcPr>
          <w:p>
            <w:pPr>
              <w:ind w:left="1360"/>
              <w:spacing w:after="0"/>
              <w:rPr>
                <w:sz w:val="20"/>
                <w:szCs w:val="20"/>
                <w:color w:val="auto"/>
              </w:rPr>
            </w:pPr>
            <w:r>
              <w:rPr>
                <w:rFonts w:ascii="Arial" w:cs="Arial" w:eastAsia="Arial" w:hAnsi="Arial"/>
                <w:sz w:val="16"/>
                <w:szCs w:val="16"/>
                <w:color w:val="auto"/>
              </w:rPr>
              <w:t>John Demming</w:t>
            </w:r>
          </w:p>
        </w:tc>
        <w:tc>
          <w:tcPr>
            <w:tcW w:w="4220" w:type="dxa"/>
            <w:vAlign w:val="bottom"/>
          </w:tcPr>
          <w:p>
            <w:pPr>
              <w:jc w:val="right"/>
              <w:ind w:right="2719"/>
              <w:spacing w:after="0"/>
              <w:rPr>
                <w:sz w:val="20"/>
                <w:szCs w:val="20"/>
                <w:color w:val="auto"/>
              </w:rPr>
            </w:pPr>
            <w:r>
              <w:rPr>
                <w:rFonts w:ascii="Arial" w:cs="Arial" w:eastAsia="Arial" w:hAnsi="Arial"/>
                <w:sz w:val="16"/>
                <w:szCs w:val="16"/>
                <w:color w:val="auto"/>
              </w:rPr>
              <w:t>(215) 286-8011</w:t>
            </w:r>
          </w:p>
        </w:tc>
      </w:tr>
      <w:tr>
        <w:trPr>
          <w:trHeight w:val="372"/>
        </w:trPr>
        <w:tc>
          <w:tcPr>
            <w:tcW w:w="1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80" w:type="dxa"/>
            <w:vAlign w:val="bottom"/>
          </w:tcPr>
          <w:p>
            <w:pPr>
              <w:jc w:val="right"/>
              <w:ind w:right="1401"/>
              <w:spacing w:after="0"/>
              <w:rPr>
                <w:sz w:val="20"/>
                <w:szCs w:val="20"/>
                <w:color w:val="auto"/>
              </w:rPr>
            </w:pPr>
            <w:r>
              <w:rPr>
                <w:rFonts w:ascii="Arial" w:cs="Arial" w:eastAsia="Arial" w:hAnsi="Arial"/>
                <w:sz w:val="14"/>
                <w:szCs w:val="14"/>
                <w:color w:val="auto"/>
              </w:rPr>
              <w:t>5</w:t>
            </w:r>
          </w:p>
        </w:tc>
        <w:tc>
          <w:tcPr>
            <w:tcW w:w="4220" w:type="dxa"/>
            <w:vAlign w:val="bottom"/>
          </w:tcPr>
          <w:p>
            <w:pPr>
              <w:spacing w:after="0"/>
              <w:rPr>
                <w:sz w:val="24"/>
                <w:szCs w:val="24"/>
                <w:color w:val="auto"/>
              </w:rPr>
            </w:pPr>
          </w:p>
        </w:tc>
      </w:tr>
      <w:tr>
        <w:trPr>
          <w:trHeight w:val="117"/>
        </w:trPr>
        <w:tc>
          <w:tcPr>
            <w:tcW w:w="1740" w:type="dxa"/>
            <w:vAlign w:val="bottom"/>
            <w:tcBorders>
              <w:bottom w:val="single" w:sz="8" w:color="010101"/>
            </w:tcBorders>
          </w:tcPr>
          <w:p>
            <w:pPr>
              <w:spacing w:after="0"/>
              <w:rPr>
                <w:sz w:val="10"/>
                <w:szCs w:val="10"/>
                <w:color w:val="auto"/>
              </w:rPr>
            </w:pPr>
          </w:p>
        </w:tc>
        <w:tc>
          <w:tcPr>
            <w:tcW w:w="2620" w:type="dxa"/>
            <w:vAlign w:val="bottom"/>
            <w:tcBorders>
              <w:bottom w:val="single" w:sz="8" w:color="010101"/>
            </w:tcBorders>
          </w:tcPr>
          <w:p>
            <w:pPr>
              <w:spacing w:after="0"/>
              <w:rPr>
                <w:sz w:val="10"/>
                <w:szCs w:val="10"/>
                <w:color w:val="auto"/>
              </w:rPr>
            </w:pPr>
          </w:p>
        </w:tc>
        <w:tc>
          <w:tcPr>
            <w:tcW w:w="2880" w:type="dxa"/>
            <w:vAlign w:val="bottom"/>
            <w:tcBorders>
              <w:bottom w:val="single" w:sz="8" w:color="010101"/>
            </w:tcBorders>
          </w:tcPr>
          <w:p>
            <w:pPr>
              <w:spacing w:after="0"/>
              <w:rPr>
                <w:sz w:val="10"/>
                <w:szCs w:val="10"/>
                <w:color w:val="auto"/>
              </w:rPr>
            </w:pPr>
          </w:p>
        </w:tc>
        <w:tc>
          <w:tcPr>
            <w:tcW w:w="4220" w:type="dxa"/>
            <w:vAlign w:val="bottom"/>
            <w:tcBorders>
              <w:bottom w:val="single" w:sz="8" w:color="01010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 xml:space="preserve">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452120</wp:posOffset>
            </wp:positionV>
            <wp:extent cx="1054735" cy="43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47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bookmarkStart w:id="6" w:name="page7"/>
    <w:bookmarkEnd w:id="6"/>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3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30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rPr>
              <w:t>March 31,</w:t>
            </w:r>
          </w:p>
        </w:tc>
        <w:tc>
          <w:tcPr>
            <w:tcW w:w="11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2014</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60" w:type="dxa"/>
            <w:vAlign w:val="bottom"/>
            <w:vMerge w:val="continue"/>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$17,408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$17,853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860" w:type="dxa"/>
            <w:vAlign w:val="bottom"/>
          </w:tcPr>
          <w:p>
            <w:pPr>
              <w:ind w:left="200"/>
              <w:spacing w:after="0"/>
              <w:rPr>
                <w:sz w:val="20"/>
                <w:szCs w:val="20"/>
                <w:color w:val="auto"/>
              </w:rPr>
            </w:pPr>
            <w:r>
              <w:rPr>
                <w:rFonts w:ascii="Arial" w:cs="Arial" w:eastAsia="Arial" w:hAnsi="Arial"/>
                <w:sz w:val="18"/>
                <w:szCs w:val="18"/>
                <w:color w:val="auto"/>
              </w:rPr>
              <w:t>Programming and production</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5,908</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5,463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4,749</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5,079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1,213</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1,355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15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11,870</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11,897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6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5,538</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5,956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8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1,569</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1,634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1,970</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60" w:type="dxa"/>
            <w:vAlign w:val="bottom"/>
            <w:vMerge w:val="continue"/>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3,568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3,890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60" w:type="dxa"/>
            <w:vAlign w:val="bottom"/>
          </w:tcPr>
          <w:p>
            <w:pPr>
              <w:ind w:left="260"/>
              <w:spacing w:after="0" w:line="181" w:lineRule="exact"/>
              <w:rPr>
                <w:sz w:val="20"/>
                <w:szCs w:val="20"/>
                <w:color w:val="auto"/>
              </w:rPr>
            </w:pPr>
            <w:r>
              <w:rPr>
                <w:rFonts w:ascii="Arial" w:cs="Arial" w:eastAsia="Arial" w:hAnsi="Arial"/>
                <w:sz w:val="18"/>
                <w:szCs w:val="18"/>
                <w:color w:val="auto"/>
              </w:rPr>
              <w:t>Interest expense</w:t>
            </w:r>
          </w:p>
        </w:tc>
        <w:tc>
          <w:tcPr>
            <w:tcW w:w="1580" w:type="dxa"/>
            <w:vAlign w:val="bottom"/>
          </w:tcPr>
          <w:p>
            <w:pPr>
              <w:jc w:val="right"/>
              <w:spacing w:after="0" w:line="181" w:lineRule="exact"/>
              <w:rPr>
                <w:sz w:val="20"/>
                <w:szCs w:val="20"/>
                <w:color w:val="auto"/>
              </w:rPr>
            </w:pPr>
            <w:r>
              <w:rPr>
                <w:rFonts w:ascii="Arial" w:cs="Arial" w:eastAsia="Arial" w:hAnsi="Arial"/>
                <w:sz w:val="18"/>
                <w:szCs w:val="18"/>
                <w:color w:val="auto"/>
              </w:rPr>
              <w:t>(642)</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60"/>
              <w:spacing w:after="0" w:line="202" w:lineRule="exact"/>
              <w:rPr>
                <w:sz w:val="20"/>
                <w:szCs w:val="20"/>
                <w:color w:val="auto"/>
              </w:rPr>
            </w:pPr>
            <w:r>
              <w:rPr>
                <w:rFonts w:ascii="Arial" w:cs="Arial" w:eastAsia="Arial" w:hAnsi="Arial"/>
                <w:sz w:val="18"/>
                <w:szCs w:val="18"/>
                <w:color w:val="auto"/>
              </w:rPr>
              <w:t>Investment income (loss), net</w:t>
            </w:r>
          </w:p>
        </w:tc>
        <w:tc>
          <w:tcPr>
            <w:tcW w:w="1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113</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60" w:type="dxa"/>
            <w:vAlign w:val="bottom"/>
          </w:tcPr>
          <w:p>
            <w:pPr>
              <w:ind w:left="26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3,056</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3,402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860" w:type="dxa"/>
            <w:vAlign w:val="bottom"/>
          </w:tcPr>
          <w:p>
            <w:pPr>
              <w:spacing w:after="0"/>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1,938</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rPr>
              <w:t>2,141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8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 redeemable subsidiary</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86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158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5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$1,871</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6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$0.71</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$0.81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78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$0.25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$0.225</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86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2,645</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2,556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680"/>
              <w:spacing w:after="0"/>
              <w:rPr>
                <w:sz w:val="20"/>
                <w:szCs w:val="20"/>
                <w:color w:val="auto"/>
              </w:rPr>
            </w:pPr>
            <w:r>
              <w:rPr>
                <w:rFonts w:ascii="Arial" w:cs="Arial" w:eastAsia="Arial" w:hAnsi="Arial"/>
                <w:sz w:val="14"/>
                <w:szCs w:val="14"/>
                <w:color w:val="auto"/>
              </w:rPr>
              <w:t>7</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8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860" w:type="dxa"/>
            <w:vAlign w:val="bottom"/>
            <w:tcBorders>
              <w:bottom w:val="single" w:sz="8" w:color="010101"/>
            </w:tcBorders>
          </w:tcPr>
          <w:p>
            <w:pPr>
              <w:spacing w:after="0"/>
              <w:rPr>
                <w:sz w:val="10"/>
                <w:szCs w:val="10"/>
                <w:color w:val="auto"/>
              </w:rPr>
            </w:pPr>
          </w:p>
        </w:tc>
        <w:tc>
          <w:tcPr>
            <w:tcW w:w="158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420" w:type="dxa"/>
            <w:vAlign w:val="bottom"/>
            <w:tcBorders>
              <w:bottom w:val="single" w:sz="8" w:color="010101"/>
            </w:tcBorders>
          </w:tcPr>
          <w:p>
            <w:pPr>
              <w:spacing w:after="0"/>
              <w:rPr>
                <w:sz w:val="10"/>
                <w:szCs w:val="10"/>
                <w:color w:val="auto"/>
              </w:rPr>
            </w:pPr>
          </w:p>
        </w:tc>
        <w:tc>
          <w:tcPr>
            <w:tcW w:w="1160" w:type="dxa"/>
            <w:vAlign w:val="bottom"/>
            <w:tcBorders>
              <w:bottom w:val="single" w:sz="8" w:color="010101"/>
            </w:tcBorders>
          </w:tcPr>
          <w:p>
            <w:pPr>
              <w:spacing w:after="0"/>
              <w:rPr>
                <w:sz w:val="10"/>
                <w:szCs w:val="10"/>
                <w:color w:val="auto"/>
              </w:rPr>
            </w:pPr>
          </w:p>
        </w:tc>
        <w:tc>
          <w:tcPr>
            <w:tcW w:w="1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358140</wp:posOffset>
            </wp:positionV>
            <wp:extent cx="1054735" cy="43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47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8020" w:type="dxa"/>
            <w:vAlign w:val="bottom"/>
          </w:tcPr>
          <w:p>
            <w:pPr>
              <w:spacing w:after="0"/>
              <w:rPr>
                <w:sz w:val="20"/>
                <w:szCs w:val="20"/>
                <w:color w:val="auto"/>
              </w:rPr>
            </w:pPr>
            <w:r>
              <w:rPr>
                <w:rFonts w:ascii="Arial" w:cs="Arial" w:eastAsia="Arial" w:hAnsi="Arial"/>
                <w:sz w:val="18"/>
                <w:szCs w:val="18"/>
                <w:color w:val="auto"/>
              </w:rPr>
              <w:t>(in millions)</w:t>
            </w:r>
          </w:p>
        </w:tc>
        <w:tc>
          <w:tcPr>
            <w:tcW w:w="164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5"/>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0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$3,937</w:t>
            </w:r>
          </w:p>
        </w:tc>
        <w:tc>
          <w:tcPr>
            <w:tcW w:w="0" w:type="dxa"/>
            <w:vAlign w:val="bottom"/>
          </w:tcPr>
          <w:p>
            <w:pPr>
              <w:spacing w:after="0"/>
              <w:rPr>
                <w:sz w:val="1"/>
                <w:szCs w:val="1"/>
                <w:color w:val="auto"/>
              </w:rPr>
            </w:pPr>
          </w:p>
        </w:tc>
      </w:tr>
      <w:tr>
        <w:trPr>
          <w:trHeight w:val="181"/>
        </w:trPr>
        <w:tc>
          <w:tcPr>
            <w:tcW w:w="8020" w:type="dxa"/>
            <w:vAlign w:val="bottom"/>
          </w:tcPr>
          <w:p>
            <w:pPr>
              <w:ind w:left="360"/>
              <w:spacing w:after="0" w:line="181" w:lineRule="exact"/>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$3,910</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Investments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602</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158</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Receivables, net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6,321</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6,144</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Programming rights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839</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945</w:t>
            </w:r>
          </w:p>
        </w:tc>
        <w:tc>
          <w:tcPr>
            <w:tcW w:w="0" w:type="dxa"/>
            <w:vAlign w:val="bottom"/>
          </w:tcPr>
          <w:p>
            <w:pPr>
              <w:spacing w:after="0"/>
              <w:rPr>
                <w:sz w:val="1"/>
                <w:szCs w:val="1"/>
                <w:color w:val="auto"/>
              </w:rPr>
            </w:pPr>
          </w:p>
        </w:tc>
      </w:tr>
      <w:tr>
        <w:trPr>
          <w:trHeight w:val="225"/>
        </w:trPr>
        <w:tc>
          <w:tcPr>
            <w:tcW w:w="80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1,737</w:t>
            </w:r>
          </w:p>
        </w:tc>
        <w:tc>
          <w:tcPr>
            <w:tcW w:w="0" w:type="dxa"/>
            <w:vAlign w:val="bottom"/>
          </w:tcPr>
          <w:p>
            <w:pPr>
              <w:spacing w:after="0"/>
              <w:rPr>
                <w:sz w:val="1"/>
                <w:szCs w:val="1"/>
                <w:color w:val="auto"/>
              </w:rPr>
            </w:pPr>
          </w:p>
        </w:tc>
      </w:tr>
      <w:tr>
        <w:trPr>
          <w:trHeight w:val="196"/>
        </w:trPr>
        <w:tc>
          <w:tcPr>
            <w:tcW w:w="8020" w:type="dxa"/>
            <w:vAlign w:val="bottom"/>
          </w:tcPr>
          <w:p>
            <w:pPr>
              <w:ind w:left="540"/>
              <w:spacing w:after="0" w:line="196" w:lineRule="exact"/>
              <w:rPr>
                <w:sz w:val="20"/>
                <w:szCs w:val="20"/>
                <w:color w:val="auto"/>
              </w:rPr>
            </w:pPr>
            <w:r>
              <w:rPr>
                <w:rFonts w:ascii="Arial" w:cs="Arial" w:eastAsia="Arial" w:hAnsi="Arial"/>
                <w:sz w:val="18"/>
                <w:szCs w:val="18"/>
                <w:color w:val="auto"/>
              </w:rPr>
              <w:t>Total current assets</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13,531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12,921</w:t>
            </w:r>
          </w:p>
        </w:tc>
        <w:tc>
          <w:tcPr>
            <w:tcW w:w="0" w:type="dxa"/>
            <w:vAlign w:val="bottom"/>
          </w:tcPr>
          <w:p>
            <w:pPr>
              <w:spacing w:after="0"/>
              <w:rPr>
                <w:sz w:val="1"/>
                <w:szCs w:val="1"/>
                <w:color w:val="auto"/>
              </w:rPr>
            </w:pPr>
          </w:p>
        </w:tc>
      </w:tr>
      <w:tr>
        <w:trPr>
          <w:trHeight w:val="412"/>
        </w:trPr>
        <w:tc>
          <w:tcPr>
            <w:tcW w:w="802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5,727</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5,637</w:t>
            </w:r>
          </w:p>
        </w:tc>
        <w:tc>
          <w:tcPr>
            <w:tcW w:w="0" w:type="dxa"/>
            <w:vAlign w:val="bottom"/>
          </w:tcPr>
          <w:p>
            <w:pPr>
              <w:spacing w:after="0"/>
              <w:rPr>
                <w:sz w:val="1"/>
                <w:szCs w:val="1"/>
                <w:color w:val="auto"/>
              </w:rPr>
            </w:pPr>
          </w:p>
        </w:tc>
      </w:tr>
      <w:tr>
        <w:trPr>
          <w:trHeight w:val="405"/>
        </w:trPr>
        <w:tc>
          <w:tcPr>
            <w:tcW w:w="80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360" w:type="dxa"/>
            <w:vAlign w:val="bottom"/>
          </w:tcPr>
          <w:p>
            <w:pPr>
              <w:jc w:val="right"/>
              <w:spacing w:after="0"/>
              <w:rPr>
                <w:sz w:val="20"/>
                <w:szCs w:val="20"/>
                <w:color w:val="auto"/>
              </w:rPr>
            </w:pPr>
            <w:r>
              <w:rPr>
                <w:rFonts w:ascii="Arial" w:cs="Arial" w:eastAsia="Arial" w:hAnsi="Arial"/>
                <w:sz w:val="18"/>
                <w:szCs w:val="18"/>
                <w:color w:val="auto"/>
              </w:rPr>
              <w:t>3,135</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3,235</w:t>
            </w:r>
          </w:p>
        </w:tc>
        <w:tc>
          <w:tcPr>
            <w:tcW w:w="0" w:type="dxa"/>
            <w:vAlign w:val="bottom"/>
          </w:tcPr>
          <w:p>
            <w:pPr>
              <w:spacing w:after="0"/>
              <w:rPr>
                <w:sz w:val="1"/>
                <w:szCs w:val="1"/>
                <w:color w:val="auto"/>
              </w:rPr>
            </w:pPr>
          </w:p>
        </w:tc>
      </w:tr>
      <w:tr>
        <w:trPr>
          <w:trHeight w:val="405"/>
        </w:trPr>
        <w:tc>
          <w:tcPr>
            <w:tcW w:w="80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60" w:type="dxa"/>
            <w:vAlign w:val="bottom"/>
          </w:tcPr>
          <w:p>
            <w:pPr>
              <w:jc w:val="right"/>
              <w:spacing w:after="0"/>
              <w:rPr>
                <w:sz w:val="20"/>
                <w:szCs w:val="20"/>
                <w:color w:val="auto"/>
              </w:rPr>
            </w:pPr>
            <w:r>
              <w:rPr>
                <w:rFonts w:ascii="Arial" w:cs="Arial" w:eastAsia="Arial" w:hAnsi="Arial"/>
                <w:sz w:val="18"/>
                <w:szCs w:val="18"/>
                <w:color w:val="auto"/>
              </w:rPr>
              <w:t>30,953</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31,127</w:t>
            </w:r>
          </w:p>
        </w:tc>
        <w:tc>
          <w:tcPr>
            <w:tcW w:w="0" w:type="dxa"/>
            <w:vAlign w:val="bottom"/>
          </w:tcPr>
          <w:p>
            <w:pPr>
              <w:spacing w:after="0"/>
              <w:rPr>
                <w:sz w:val="1"/>
                <w:szCs w:val="1"/>
                <w:color w:val="auto"/>
              </w:rPr>
            </w:pPr>
          </w:p>
        </w:tc>
      </w:tr>
      <w:tr>
        <w:trPr>
          <w:trHeight w:val="405"/>
        </w:trPr>
        <w:tc>
          <w:tcPr>
            <w:tcW w:w="802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1360" w:type="dxa"/>
            <w:vAlign w:val="bottom"/>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80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360" w:type="dxa"/>
            <w:vAlign w:val="bottom"/>
          </w:tcPr>
          <w:p>
            <w:pPr>
              <w:jc w:val="right"/>
              <w:spacing w:after="0"/>
              <w:rPr>
                <w:sz w:val="20"/>
                <w:szCs w:val="20"/>
                <w:color w:val="auto"/>
              </w:rPr>
            </w:pPr>
            <w:r>
              <w:rPr>
                <w:rFonts w:ascii="Arial" w:cs="Arial" w:eastAsia="Arial" w:hAnsi="Arial"/>
                <w:sz w:val="18"/>
                <w:szCs w:val="18"/>
                <w:color w:val="auto"/>
              </w:rPr>
              <w:t>27,316</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27,302</w:t>
            </w:r>
          </w:p>
        </w:tc>
        <w:tc>
          <w:tcPr>
            <w:tcW w:w="0" w:type="dxa"/>
            <w:vAlign w:val="bottom"/>
          </w:tcPr>
          <w:p>
            <w:pPr>
              <w:spacing w:after="0"/>
              <w:rPr>
                <w:sz w:val="1"/>
                <w:szCs w:val="1"/>
                <w:color w:val="auto"/>
              </w:rPr>
            </w:pPr>
          </w:p>
        </w:tc>
      </w:tr>
      <w:tr>
        <w:trPr>
          <w:trHeight w:val="405"/>
        </w:trPr>
        <w:tc>
          <w:tcPr>
            <w:tcW w:w="802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360" w:type="dxa"/>
            <w:vAlign w:val="bottom"/>
          </w:tcPr>
          <w:p>
            <w:pPr>
              <w:jc w:val="right"/>
              <w:spacing w:after="0"/>
              <w:rPr>
                <w:sz w:val="20"/>
                <w:szCs w:val="20"/>
                <w:color w:val="auto"/>
              </w:rPr>
            </w:pPr>
            <w:r>
              <w:rPr>
                <w:rFonts w:ascii="Arial" w:cs="Arial" w:eastAsia="Arial" w:hAnsi="Arial"/>
                <w:sz w:val="18"/>
                <w:szCs w:val="18"/>
                <w:color w:val="auto"/>
              </w:rPr>
              <w:t>16,980</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16,852</w:t>
            </w:r>
          </w:p>
        </w:tc>
        <w:tc>
          <w:tcPr>
            <w:tcW w:w="0" w:type="dxa"/>
            <w:vAlign w:val="bottom"/>
          </w:tcPr>
          <w:p>
            <w:pPr>
              <w:spacing w:after="0"/>
              <w:rPr>
                <w:sz w:val="1"/>
                <w:szCs w:val="1"/>
                <w:color w:val="auto"/>
              </w:rPr>
            </w:pPr>
          </w:p>
        </w:tc>
      </w:tr>
    </w:tbl>
    <w:p>
      <w:pPr>
        <w:sectPr>
          <w:pgSz w:w="11900" w:h="16911" w:orient="portrait"/>
          <w:cols w:equalWidth="0" w:num="1">
            <w:col w:w="11460"/>
          </w:cols>
          <w:pgMar w:left="240" w:top="760"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ind w:left="380"/>
              <w:spacing w:after="0"/>
              <w:rPr>
                <w:sz w:val="20"/>
                <w:szCs w:val="20"/>
                <w:color w:val="auto"/>
              </w:rPr>
            </w:pPr>
            <w:r>
              <w:rPr>
                <w:rFonts w:ascii="Arial" w:cs="Arial" w:eastAsia="Arial" w:hAnsi="Arial"/>
                <w:sz w:val="18"/>
                <w:szCs w:val="18"/>
                <w:color w:val="auto"/>
              </w:rPr>
              <w:t>Other noncurrent assets, net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$159,339</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$158,757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LIABILITIES AND EQUITY</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2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$6,157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56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$5,638</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560"/>
              <w:spacing w:after="0" w:line="202" w:lineRule="exact"/>
              <w:rPr>
                <w:sz w:val="20"/>
                <w:szCs w:val="20"/>
                <w:color w:val="auto"/>
              </w:rPr>
            </w:pPr>
            <w:r>
              <w:rPr>
                <w:rFonts w:ascii="Arial" w:cs="Arial" w:eastAsia="Arial" w:hAnsi="Arial"/>
                <w:sz w:val="18"/>
                <w:szCs w:val="18"/>
                <w:color w:val="auto"/>
              </w:rPr>
              <w:t>Accrued participations and residuals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1,347</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1,387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970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5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5,293</w:t>
            </w:r>
          </w:p>
        </w:tc>
        <w:tc>
          <w:tcPr>
            <w:tcW w:w="280" w:type="dxa"/>
            <w:vAlign w:val="bottom"/>
          </w:tcPr>
          <w:p>
            <w:pPr>
              <w:spacing w:after="0"/>
              <w:rPr>
                <w:sz w:val="17"/>
                <w:szCs w:val="17"/>
                <w:color w:val="auto"/>
              </w:rPr>
            </w:pP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5,808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560"/>
              <w:spacing w:after="0"/>
              <w:rPr>
                <w:sz w:val="20"/>
                <w:szCs w:val="20"/>
                <w:color w:val="auto"/>
              </w:rPr>
            </w:pPr>
            <w:r>
              <w:rPr>
                <w:rFonts w:ascii="Arial" w:cs="Arial" w:eastAsia="Arial" w:hAnsi="Arial"/>
                <w:sz w:val="18"/>
                <w:szCs w:val="18"/>
                <w:color w:val="auto"/>
              </w:rPr>
              <w:t>Current portion of long-term debt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4,180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740"/>
              <w:spacing w:after="0" w:line="196" w:lineRule="exact"/>
              <w:rPr>
                <w:sz w:val="20"/>
                <w:szCs w:val="20"/>
                <w:color w:val="auto"/>
              </w:rPr>
            </w:pPr>
            <w:r>
              <w:rPr>
                <w:rFonts w:ascii="Arial" w:cs="Arial" w:eastAsia="Arial" w:hAnsi="Arial"/>
                <w:sz w:val="18"/>
                <w:szCs w:val="18"/>
                <w:color w:val="auto"/>
              </w:rPr>
              <w:t>Total current liabilities</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17,410</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18,502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20" w:type="dxa"/>
            <w:vAlign w:val="bottom"/>
          </w:tcPr>
          <w:p>
            <w:pPr>
              <w:ind w:left="380"/>
              <w:spacing w:after="0"/>
              <w:rPr>
                <w:sz w:val="20"/>
                <w:szCs w:val="20"/>
                <w:color w:val="auto"/>
              </w:rPr>
            </w:pPr>
            <w:r>
              <w:rPr>
                <w:rFonts w:ascii="Arial" w:cs="Arial" w:eastAsia="Arial" w:hAnsi="Arial"/>
                <w:sz w:val="18"/>
                <w:szCs w:val="18"/>
                <w:color w:val="auto"/>
              </w:rPr>
              <w:t>Long-term debt, less current portion</w:t>
            </w:r>
          </w:p>
        </w:tc>
        <w:tc>
          <w:tcPr>
            <w:tcW w:w="1360" w:type="dxa"/>
            <w:vAlign w:val="bottom"/>
          </w:tcPr>
          <w:p>
            <w:pPr>
              <w:jc w:val="right"/>
              <w:spacing w:after="0"/>
              <w:rPr>
                <w:sz w:val="20"/>
                <w:szCs w:val="20"/>
                <w:color w:val="auto"/>
              </w:rPr>
            </w:pPr>
            <w:r>
              <w:rPr>
                <w:rFonts w:ascii="Arial" w:cs="Arial" w:eastAsia="Arial" w:hAnsi="Arial"/>
                <w:sz w:val="18"/>
                <w:szCs w:val="18"/>
                <w:color w:val="auto"/>
              </w:rPr>
              <w:t>44,017</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42,953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jc w:val="right"/>
              <w:spacing w:after="0"/>
              <w:rPr>
                <w:sz w:val="20"/>
                <w:szCs w:val="20"/>
                <w:color w:val="auto"/>
              </w:rPr>
            </w:pPr>
            <w:r>
              <w:rPr>
                <w:rFonts w:ascii="Arial" w:cs="Arial" w:eastAsia="Arial" w:hAnsi="Arial"/>
                <w:sz w:val="18"/>
                <w:szCs w:val="18"/>
                <w:color w:val="auto"/>
              </w:rPr>
              <w:t>32,959</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32,855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10,819</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10,837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20" w:type="dxa"/>
            <w:vAlign w:val="bottom"/>
          </w:tcPr>
          <w:p>
            <w:pPr>
              <w:ind w:left="38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360" w:type="dxa"/>
            <w:vAlign w:val="bottom"/>
          </w:tcPr>
          <w:p>
            <w:pPr>
              <w:jc w:val="right"/>
              <w:spacing w:after="0"/>
              <w:rPr>
                <w:sz w:val="20"/>
                <w:szCs w:val="20"/>
                <w:color w:val="auto"/>
              </w:rPr>
            </w:pPr>
            <w:r>
              <w:rPr>
                <w:rFonts w:ascii="Arial" w:cs="Arial" w:eastAsia="Arial" w:hAnsi="Arial"/>
                <w:sz w:val="18"/>
                <w:szCs w:val="18"/>
                <w:color w:val="auto"/>
              </w:rPr>
              <w:t>1,066</w:t>
            </w:r>
          </w:p>
        </w:tc>
        <w:tc>
          <w:tcPr>
            <w:tcW w:w="28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1,099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220" w:type="dxa"/>
            <w:vAlign w:val="bottom"/>
          </w:tcPr>
          <w:p>
            <w:pPr>
              <w:ind w:left="380"/>
              <w:spacing w:after="0"/>
              <w:rPr>
                <w:sz w:val="20"/>
                <w:szCs w:val="20"/>
                <w:color w:val="auto"/>
              </w:rPr>
            </w:pPr>
            <w:r>
              <w:rPr>
                <w:rFonts w:ascii="Arial" w:cs="Arial" w:eastAsia="Arial" w:hAnsi="Arial"/>
                <w:sz w:val="18"/>
                <w:szCs w:val="18"/>
                <w:color w:val="auto"/>
              </w:rPr>
              <w:t>Equity</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52,171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220" w:type="dxa"/>
            <w:vAlign w:val="bottom"/>
          </w:tcPr>
          <w:p>
            <w:pPr>
              <w:ind w:left="560"/>
              <w:spacing w:after="0" w:line="181" w:lineRule="exact"/>
              <w:rPr>
                <w:sz w:val="20"/>
                <w:szCs w:val="20"/>
                <w:color w:val="auto"/>
              </w:rPr>
            </w:pPr>
            <w:r>
              <w:rPr>
                <w:rFonts w:ascii="Arial" w:cs="Arial" w:eastAsia="Arial" w:hAnsi="Arial"/>
                <w:sz w:val="18"/>
                <w:szCs w:val="18"/>
                <w:color w:val="auto"/>
              </w:rPr>
              <w:t>Comcast Corporation shareholders’ equity</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52,711</w:t>
            </w: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560"/>
              <w:spacing w:after="0"/>
              <w:rPr>
                <w:sz w:val="20"/>
                <w:szCs w:val="20"/>
                <w:color w:val="auto"/>
              </w:rPr>
            </w:pPr>
            <w:r>
              <w:rPr>
                <w:rFonts w:ascii="Arial" w:cs="Arial" w:eastAsia="Arial" w:hAnsi="Arial"/>
                <w:sz w:val="18"/>
                <w:szCs w:val="18"/>
                <w:color w:val="auto"/>
              </w:rPr>
              <w:t>Noncontrolling interests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740"/>
              <w:spacing w:after="0" w:line="196" w:lineRule="exact"/>
              <w:rPr>
                <w:sz w:val="20"/>
                <w:szCs w:val="20"/>
                <w:color w:val="auto"/>
              </w:rPr>
            </w:pPr>
            <w:r>
              <w:rPr>
                <w:rFonts w:ascii="Arial" w:cs="Arial" w:eastAsia="Arial" w:hAnsi="Arial"/>
                <w:sz w:val="18"/>
                <w:szCs w:val="18"/>
                <w:color w:val="auto"/>
              </w:rPr>
              <w:t>Total equity</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53,068</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52,511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2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$159,339</w:t>
            </w:r>
          </w:p>
        </w:tc>
        <w:tc>
          <w:tcPr>
            <w:tcW w:w="28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$158,757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2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8040" w:type="dxa"/>
            <w:vAlign w:val="bottom"/>
          </w:tcPr>
          <w:p>
            <w:pPr>
              <w:spacing w:after="0"/>
              <w:rPr>
                <w:sz w:val="20"/>
                <w:szCs w:val="20"/>
                <w:color w:val="auto"/>
              </w:rPr>
            </w:pPr>
            <w:r>
              <w:rPr>
                <w:rFonts w:ascii="Arial" w:cs="Arial" w:eastAsia="Arial" w:hAnsi="Arial"/>
                <w:sz w:val="18"/>
                <w:szCs w:val="18"/>
                <w:color w:val="auto"/>
              </w:rPr>
              <w:t>(in millions)</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2"/>
        </w:trPr>
        <w:tc>
          <w:tcPr>
            <w:tcW w:w="8040" w:type="dxa"/>
            <w:vAlign w:val="bottom"/>
          </w:tcPr>
          <w:p>
            <w:pPr>
              <w:spacing w:after="0"/>
              <w:rPr>
                <w:sz w:val="21"/>
                <w:szCs w:val="21"/>
                <w:color w:val="auto"/>
              </w:rPr>
            </w:pPr>
          </w:p>
        </w:tc>
        <w:tc>
          <w:tcPr>
            <w:tcW w:w="204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rPr>
              <w:t>March 31,</w:t>
            </w: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17"/>
                <w:szCs w:val="17"/>
                <w:color w:val="auto"/>
              </w:rPr>
            </w:pPr>
          </w:p>
        </w:tc>
        <w:tc>
          <w:tcPr>
            <w:tcW w:w="13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2014</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04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$2,141</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$1,938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2,066</w:t>
            </w:r>
          </w:p>
        </w:tc>
        <w:tc>
          <w:tcPr>
            <w:tcW w:w="0" w:type="dxa"/>
            <w:vAlign w:val="bottom"/>
          </w:tcPr>
          <w:p>
            <w:pPr>
              <w:spacing w:after="0"/>
              <w:rPr>
                <w:sz w:val="1"/>
                <w:szCs w:val="1"/>
                <w:color w:val="auto"/>
              </w:rPr>
            </w:pPr>
          </w:p>
        </w:tc>
      </w:tr>
      <w:tr>
        <w:trPr>
          <w:trHeight w:val="181"/>
        </w:trPr>
        <w:tc>
          <w:tcPr>
            <w:tcW w:w="8040" w:type="dxa"/>
            <w:vAlign w:val="bottom"/>
          </w:tcPr>
          <w:p>
            <w:pPr>
              <w:ind w:left="360"/>
              <w:spacing w:after="0" w:line="181" w:lineRule="exact"/>
              <w:rPr>
                <w:sz w:val="20"/>
                <w:szCs w:val="20"/>
                <w:color w:val="auto"/>
              </w:rPr>
            </w:pPr>
            <w:r>
              <w:rPr>
                <w:rFonts w:ascii="Arial" w:cs="Arial" w:eastAsia="Arial" w:hAnsi="Arial"/>
                <w:sz w:val="18"/>
                <w:szCs w:val="18"/>
                <w:color w:val="auto"/>
              </w:rPr>
              <w:t>Depreciation and amortization</w:t>
            </w:r>
          </w:p>
        </w:tc>
        <w:tc>
          <w:tcPr>
            <w:tcW w:w="13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1,970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Share-based compensation</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 (income), net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Cash received from investees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25"/>
        </w:trPr>
        <w:tc>
          <w:tcPr>
            <w:tcW w:w="80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181"/>
        </w:trPr>
        <w:tc>
          <w:tcPr>
            <w:tcW w:w="8040" w:type="dxa"/>
            <w:vAlign w:val="bottom"/>
          </w:tcPr>
          <w:p>
            <w:pPr>
              <w:ind w:left="360"/>
              <w:spacing w:after="0" w:line="181" w:lineRule="exact"/>
              <w:rPr>
                <w:sz w:val="20"/>
                <w:szCs w:val="20"/>
                <w:color w:val="auto"/>
              </w:rPr>
            </w:pPr>
            <w:r>
              <w:rPr>
                <w:rFonts w:ascii="Arial" w:cs="Arial" w:eastAsia="Arial" w:hAnsi="Arial"/>
                <w:sz w:val="18"/>
                <w:szCs w:val="18"/>
                <w:color w:val="auto"/>
              </w:rPr>
              <w:t>Current and noncurrent receivables, net</w:t>
            </w:r>
          </w:p>
        </w:tc>
        <w:tc>
          <w:tcPr>
            <w:tcW w:w="1380" w:type="dxa"/>
            <w:vAlign w:val="bottom"/>
          </w:tcPr>
          <w:p>
            <w:pPr>
              <w:jc w:val="right"/>
              <w:ind w:right="30"/>
              <w:spacing w:after="0" w:line="181" w:lineRule="exact"/>
              <w:rPr>
                <w:sz w:val="20"/>
                <w:szCs w:val="20"/>
                <w:color w:val="auto"/>
              </w:rPr>
            </w:pPr>
            <w:r>
              <w:rPr>
                <w:rFonts w:ascii="Arial" w:cs="Arial" w:eastAsia="Arial" w:hAnsi="Arial"/>
                <w:sz w:val="18"/>
                <w:szCs w:val="18"/>
                <w:color w:val="auto"/>
              </w:rPr>
              <w:t>195</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Film and television costs, net</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3"/>
        </w:trPr>
        <w:tc>
          <w:tcPr>
            <w:tcW w:w="804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372</w:t>
            </w:r>
          </w:p>
        </w:tc>
        <w:tc>
          <w:tcPr>
            <w:tcW w:w="0" w:type="dxa"/>
            <w:vAlign w:val="bottom"/>
          </w:tcPr>
          <w:p>
            <w:pPr>
              <w:spacing w:after="0"/>
              <w:rPr>
                <w:sz w:val="1"/>
                <w:szCs w:val="1"/>
                <w:color w:val="auto"/>
              </w:rPr>
            </w:pPr>
          </w:p>
        </w:tc>
      </w:tr>
      <w:tr>
        <w:trPr>
          <w:trHeight w:val="225"/>
        </w:trPr>
        <w:tc>
          <w:tcPr>
            <w:tcW w:w="8040" w:type="dxa"/>
            <w:vAlign w:val="bottom"/>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650</w:t>
            </w:r>
          </w:p>
        </w:tc>
        <w:tc>
          <w:tcPr>
            <w:tcW w:w="0" w:type="dxa"/>
            <w:vAlign w:val="bottom"/>
          </w:tcPr>
          <w:p>
            <w:pPr>
              <w:spacing w:after="0"/>
              <w:rPr>
                <w:sz w:val="1"/>
                <w:szCs w:val="1"/>
                <w:color w:val="auto"/>
              </w:rPr>
            </w:pPr>
          </w:p>
        </w:tc>
      </w:tr>
      <w:tr>
        <w:trPr>
          <w:trHeight w:val="399"/>
        </w:trPr>
        <w:tc>
          <w:tcPr>
            <w:tcW w:w="804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4,486</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5,245</w:t>
            </w:r>
          </w:p>
        </w:tc>
        <w:tc>
          <w:tcPr>
            <w:tcW w:w="0" w:type="dxa"/>
            <w:vAlign w:val="bottom"/>
          </w:tcPr>
          <w:p>
            <w:pPr>
              <w:spacing w:after="0"/>
              <w:rPr>
                <w:sz w:val="1"/>
                <w:szCs w:val="1"/>
                <w:color w:val="auto"/>
              </w:rPr>
            </w:pPr>
          </w:p>
        </w:tc>
      </w:tr>
      <w:tr>
        <w:trPr>
          <w:trHeight w:val="398"/>
        </w:trPr>
        <w:tc>
          <w:tcPr>
            <w:tcW w:w="80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(1,726)</w:t>
            </w:r>
          </w:p>
        </w:tc>
        <w:tc>
          <w:tcPr>
            <w:tcW w:w="0" w:type="dxa"/>
            <w:vAlign w:val="bottom"/>
          </w:tcPr>
          <w:p>
            <w:pPr>
              <w:spacing w:after="0"/>
              <w:rPr>
                <w:sz w:val="1"/>
                <w:szCs w:val="1"/>
                <w:color w:val="auto"/>
              </w:rPr>
            </w:pPr>
          </w:p>
        </w:tc>
      </w:tr>
      <w:tr>
        <w:trPr>
          <w:trHeight w:val="181"/>
        </w:trPr>
        <w:tc>
          <w:tcPr>
            <w:tcW w:w="8040" w:type="dxa"/>
            <w:vAlign w:val="bottom"/>
          </w:tcPr>
          <w:p>
            <w:pPr>
              <w:ind w:left="180"/>
              <w:spacing w:after="0" w:line="181" w:lineRule="exact"/>
              <w:rPr>
                <w:sz w:val="20"/>
                <w:szCs w:val="20"/>
                <w:color w:val="auto"/>
              </w:rPr>
            </w:pPr>
            <w:r>
              <w:rPr>
                <w:rFonts w:ascii="Arial" w:cs="Arial" w:eastAsia="Arial" w:hAnsi="Arial"/>
                <w:sz w:val="18"/>
                <w:szCs w:val="18"/>
                <w:color w:val="auto"/>
              </w:rPr>
              <w:t>Capital expenditures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(1,448)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Cash paid for intangible assets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Purchases of investments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25"/>
        </w:trPr>
        <w:tc>
          <w:tcPr>
            <w:tcW w:w="8040" w:type="dxa"/>
            <w:vAlign w:val="bottom"/>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399"/>
        </w:trPr>
        <w:tc>
          <w:tcPr>
            <w:tcW w:w="8040" w:type="dxa"/>
            <w:vAlign w:val="bottom"/>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0" w:type="dxa"/>
            <w:vAlign w:val="bottom"/>
          </w:tcPr>
          <w:p>
            <w:pPr>
              <w:spacing w:after="0"/>
              <w:rPr>
                <w:sz w:val="1"/>
                <w:szCs w:val="1"/>
                <w:color w:val="auto"/>
              </w:rPr>
            </w:pPr>
          </w:p>
        </w:tc>
      </w:tr>
      <w:tr>
        <w:trPr>
          <w:trHeight w:val="398"/>
        </w:trPr>
        <w:tc>
          <w:tcPr>
            <w:tcW w:w="80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181"/>
        </w:trPr>
        <w:tc>
          <w:tcPr>
            <w:tcW w:w="8040" w:type="dxa"/>
            <w:vAlign w:val="bottom"/>
          </w:tcPr>
          <w:p>
            <w:pPr>
              <w:ind w:left="18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(364)</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borrowings</w:t>
            </w:r>
          </w:p>
        </w:tc>
        <w:tc>
          <w:tcPr>
            <w:tcW w:w="1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2,187</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Repurchases and repayments of debt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(909)</w:t>
            </w:r>
          </w:p>
        </w:tc>
        <w:tc>
          <w:tcPr>
            <w:tcW w:w="0" w:type="dxa"/>
            <w:vAlign w:val="bottom"/>
          </w:tcPr>
          <w:p>
            <w:pPr>
              <w:spacing w:after="0"/>
              <w:rPr>
                <w:sz w:val="1"/>
                <w:szCs w:val="1"/>
                <w:color w:val="auto"/>
              </w:rPr>
            </w:pPr>
          </w:p>
        </w:tc>
      </w:tr>
      <w:tr>
        <w:trPr>
          <w:trHeight w:val="203"/>
        </w:trPr>
        <w:tc>
          <w:tcPr>
            <w:tcW w:w="8040" w:type="dxa"/>
            <w:vAlign w:val="bottom"/>
          </w:tcPr>
          <w:p>
            <w:pPr>
              <w:ind w:left="18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239"/>
        </w:trPr>
        <w:tc>
          <w:tcPr>
            <w:tcW w:w="80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38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0" w:type="dxa"/>
            <w:vAlign w:val="bottom"/>
          </w:tcPr>
          <w:p>
            <w:pPr>
              <w:spacing w:after="0"/>
              <w:rPr>
                <w:sz w:val="1"/>
                <w:szCs w:val="1"/>
                <w:color w:val="auto"/>
              </w:rPr>
            </w:pPr>
          </w:p>
        </w:tc>
      </w:tr>
    </w:tbl>
    <w:p>
      <w:pPr>
        <w:sectPr>
          <w:pgSz w:w="11900" w:h="16838" w:orient="portrait"/>
          <w:cols w:equalWidth="0" w:num="1">
            <w:col w:w="11460"/>
          </w:cols>
          <w:pgMar w:left="240" w:top="319"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40" w:type="dxa"/>
            <w:vAlign w:val="bottom"/>
          </w:tcPr>
          <w:p>
            <w:pPr>
              <w:ind w:left="380"/>
              <w:spacing w:after="0"/>
              <w:rPr>
                <w:sz w:val="20"/>
                <w:szCs w:val="20"/>
                <w:color w:val="auto"/>
              </w:rPr>
            </w:pPr>
            <w:r>
              <w:rPr>
                <w:rFonts w:ascii="Arial" w:cs="Arial" w:eastAsia="Arial" w:hAnsi="Arial"/>
                <w:sz w:val="18"/>
                <w:szCs w:val="18"/>
                <w:color w:val="auto"/>
              </w:rPr>
              <w:t>Issuances of common stock</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38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560"/>
              <w:spacing w:after="0" w:line="181" w:lineRule="exact"/>
              <w:rPr>
                <w:sz w:val="20"/>
                <w:szCs w:val="20"/>
                <w:color w:val="auto"/>
              </w:rPr>
            </w:pPr>
            <w:r>
              <w:rPr>
                <w:rFonts w:ascii="Arial" w:cs="Arial" w:eastAsia="Arial" w:hAnsi="Arial"/>
                <w:sz w:val="18"/>
                <w:szCs w:val="18"/>
                <w:color w:val="auto"/>
              </w:rPr>
              <w:t>stock</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(66)</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74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4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240" w:type="dxa"/>
            <w:vAlign w:val="bottom"/>
          </w:tcPr>
          <w:p>
            <w:pPr>
              <w:ind w:left="200"/>
              <w:spacing w:after="0"/>
              <w:rPr>
                <w:sz w:val="20"/>
                <w:szCs w:val="20"/>
                <w:color w:val="auto"/>
              </w:rPr>
            </w:pPr>
            <w:r>
              <w:rPr>
                <w:rFonts w:ascii="Arial" w:cs="Arial" w:eastAsia="Arial" w:hAnsi="Arial"/>
                <w:sz w:val="18"/>
                <w:szCs w:val="18"/>
                <w:color w:val="auto"/>
              </w:rPr>
              <w:t>Cash and cash equivalents, beginning of period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1,718</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ind w:left="200"/>
              <w:spacing w:after="0"/>
              <w:rPr>
                <w:sz w:val="20"/>
                <w:szCs w:val="20"/>
                <w:color w:val="auto"/>
              </w:rPr>
            </w:pPr>
            <w:r>
              <w:rPr>
                <w:rFonts w:ascii="Arial" w:cs="Arial" w:eastAsia="Arial" w:hAnsi="Arial"/>
                <w:sz w:val="18"/>
                <w:szCs w:val="18"/>
                <w:b w:val="1"/>
                <w:bCs w:val="1"/>
                <w:color w:val="auto"/>
              </w:rPr>
              <w:t>Cash and cash equivalents, end of period</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$3,054</w:t>
            </w:r>
          </w:p>
        </w:tc>
        <w:tc>
          <w:tcPr>
            <w:tcW w:w="280" w:type="dxa"/>
            <w:vAlign w:val="bottom"/>
          </w:tcPr>
          <w:p>
            <w:pPr>
              <w:spacing w:after="0"/>
              <w:rPr>
                <w:sz w:val="24"/>
                <w:szCs w:val="24"/>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$3,937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680"/>
              <w:spacing w:after="0"/>
              <w:rPr>
                <w:sz w:val="20"/>
                <w:szCs w:val="20"/>
                <w:color w:val="auto"/>
              </w:rPr>
            </w:pPr>
            <w:r>
              <w:rPr>
                <w:rFonts w:ascii="Arial" w:cs="Arial" w:eastAsia="Arial" w:hAnsi="Arial"/>
                <w:sz w:val="14"/>
                <w:szCs w:val="14"/>
                <w:color w:val="auto"/>
              </w:rPr>
              <w:t>9</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8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240" w:type="dxa"/>
            <w:vAlign w:val="bottom"/>
            <w:tcBorders>
              <w:bottom w:val="single" w:sz="8" w:color="010101"/>
            </w:tcBorders>
          </w:tcPr>
          <w:p>
            <w:pPr>
              <w:spacing w:after="0"/>
              <w:rPr>
                <w:sz w:val="10"/>
                <w:szCs w:val="10"/>
                <w:color w:val="auto"/>
              </w:rPr>
            </w:pPr>
          </w:p>
        </w:tc>
        <w:tc>
          <w:tcPr>
            <w:tcW w:w="13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36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C9C9C9"/>
        </w:rPr>
        <w:t>TABLE 4</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-121285</wp:posOffset>
            </wp:positionV>
            <wp:extent cx="1054735"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4735" cy="42037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8300" w:type="dxa"/>
            <w:vAlign w:val="bottom"/>
          </w:tcPr>
          <w:p>
            <w:pPr>
              <w:spacing w:after="0"/>
              <w:rPr>
                <w:sz w:val="14"/>
                <w:szCs w:val="14"/>
                <w:color w:val="auto"/>
              </w:rPr>
            </w:pPr>
          </w:p>
        </w:tc>
        <w:tc>
          <w:tcPr>
            <w:tcW w:w="212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2014</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47"/>
        </w:trPr>
        <w:tc>
          <w:tcPr>
            <w:tcW w:w="8300" w:type="dxa"/>
            <w:vAlign w:val="bottom"/>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tcPr>
          <w:p>
            <w:pPr>
              <w:spacing w:after="0" w:line="143" w:lineRule="exact"/>
              <w:rPr>
                <w:sz w:val="20"/>
                <w:szCs w:val="20"/>
                <w:color w:val="auto"/>
              </w:rPr>
            </w:pPr>
            <w:r>
              <w:rPr>
                <w:rFonts w:ascii="Arial" w:cs="Arial" w:eastAsia="Arial" w:hAnsi="Arial"/>
                <w:sz w:val="14"/>
                <w:szCs w:val="14"/>
                <w:color w:val="auto"/>
              </w:rPr>
              <w:t>Operating income</w:t>
            </w:r>
          </w:p>
        </w:tc>
        <w:tc>
          <w:tcPr>
            <w:tcW w:w="9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$3,568</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auto"/>
              </w:rPr>
              <w:t>$3,890</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w:t>
            </w:r>
          </w:p>
        </w:tc>
        <w:tc>
          <w:tcPr>
            <w:tcW w:w="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2,066</w:t>
            </w:r>
          </w:p>
        </w:tc>
        <w:tc>
          <w:tcPr>
            <w:tcW w:w="0" w:type="dxa"/>
            <w:vAlign w:val="bottom"/>
          </w:tcPr>
          <w:p>
            <w:pPr>
              <w:spacing w:after="0"/>
              <w:rPr>
                <w:sz w:val="1"/>
                <w:szCs w:val="1"/>
                <w:color w:val="auto"/>
              </w:rPr>
            </w:pPr>
          </w:p>
        </w:tc>
      </w:tr>
      <w:tr>
        <w:trPr>
          <w:trHeight w:val="142"/>
        </w:trPr>
        <w:tc>
          <w:tcPr>
            <w:tcW w:w="8300" w:type="dxa"/>
            <w:vAlign w:val="bottom"/>
          </w:tcPr>
          <w:p>
            <w:pPr>
              <w:spacing w:after="0" w:line="143" w:lineRule="exact"/>
              <w:rPr>
                <w:sz w:val="20"/>
                <w:szCs w:val="20"/>
                <w:color w:val="auto"/>
              </w:rPr>
            </w:pPr>
            <w:r>
              <w:rPr>
                <w:rFonts w:ascii="Arial" w:cs="Arial" w:eastAsia="Arial" w:hAnsi="Arial"/>
                <w:sz w:val="14"/>
                <w:szCs w:val="14"/>
                <w:color w:val="auto"/>
              </w:rPr>
              <w:t>Operating income before depreciation and amortization</w:t>
            </w:r>
          </w:p>
        </w:tc>
        <w:tc>
          <w:tcPr>
            <w:tcW w:w="9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5,538</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auto"/>
              </w:rPr>
              <w:t>5,956</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Noncash share-based compensation expense</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42"/>
        </w:trPr>
        <w:tc>
          <w:tcPr>
            <w:tcW w:w="8300" w:type="dxa"/>
            <w:vAlign w:val="bottom"/>
          </w:tcPr>
          <w:p>
            <w:pPr>
              <w:spacing w:after="0" w:line="143" w:lineRule="exact"/>
              <w:rPr>
                <w:sz w:val="20"/>
                <w:szCs w:val="20"/>
                <w:color w:val="auto"/>
              </w:rPr>
            </w:pPr>
            <w:r>
              <w:rPr>
                <w:rFonts w:ascii="Arial" w:cs="Arial" w:eastAsia="Arial" w:hAnsi="Arial"/>
                <w:sz w:val="14"/>
                <w:szCs w:val="14"/>
                <w:color w:val="auto"/>
              </w:rPr>
              <w:t>Cash basis operating income</w:t>
            </w:r>
          </w:p>
        </w:tc>
        <w:tc>
          <w:tcPr>
            <w:tcW w:w="9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5,390</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auto"/>
              </w:rPr>
              <w:t>6,164</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Payments of interest</w:t>
            </w:r>
          </w:p>
        </w:tc>
        <w:tc>
          <w:tcPr>
            <w:tcW w:w="940" w:type="dxa"/>
            <w:vAlign w:val="bottom"/>
          </w:tcPr>
          <w:p>
            <w:pPr>
              <w:jc w:val="right"/>
              <w:spacing w:after="0"/>
              <w:rPr>
                <w:sz w:val="20"/>
                <w:szCs w:val="20"/>
                <w:color w:val="auto"/>
              </w:rPr>
            </w:pPr>
            <w:r>
              <w:rPr>
                <w:rFonts w:ascii="Arial" w:cs="Arial" w:eastAsia="Arial" w:hAnsi="Arial"/>
                <w:sz w:val="14"/>
                <w:szCs w:val="14"/>
                <w:color w:val="auto"/>
              </w:rPr>
              <w:t>(623)</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(691)</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Payments of income taxes</w:t>
            </w:r>
          </w:p>
        </w:tc>
        <w:tc>
          <w:tcPr>
            <w:tcW w:w="940" w:type="dxa"/>
            <w:vAlign w:val="bottom"/>
          </w:tcPr>
          <w:p>
            <w:pPr>
              <w:jc w:val="right"/>
              <w:spacing w:after="0"/>
              <w:rPr>
                <w:sz w:val="20"/>
                <w:szCs w:val="20"/>
                <w:color w:val="auto"/>
              </w:rPr>
            </w:pPr>
            <w:r>
              <w:rPr>
                <w:rFonts w:ascii="Arial" w:cs="Arial" w:eastAsia="Arial" w:hAnsi="Arial"/>
                <w:sz w:val="14"/>
                <w:szCs w:val="14"/>
                <w:color w:val="auto"/>
              </w:rPr>
              <w:t>(186)</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Excess tax benefits under share-based compensation</w:t>
            </w:r>
          </w:p>
        </w:tc>
        <w:tc>
          <w:tcPr>
            <w:tcW w:w="940" w:type="dxa"/>
            <w:vAlign w:val="bottom"/>
          </w:tcPr>
          <w:p>
            <w:pPr>
              <w:jc w:val="right"/>
              <w:spacing w:after="0"/>
              <w:rPr>
                <w:sz w:val="20"/>
                <w:szCs w:val="20"/>
                <w:color w:val="auto"/>
              </w:rPr>
            </w:pPr>
            <w:r>
              <w:rPr>
                <w:rFonts w:ascii="Arial" w:cs="Arial" w:eastAsia="Arial" w:hAnsi="Arial"/>
                <w:sz w:val="14"/>
                <w:szCs w:val="14"/>
                <w:color w:val="auto"/>
              </w:rPr>
              <w:t>(151)</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Other</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c>
          <w:tcPr>
            <w:tcW w:w="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56"/>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$4,486</w:t>
            </w:r>
          </w:p>
        </w:tc>
        <w:tc>
          <w:tcPr>
            <w:tcW w:w="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$5,245</w:t>
            </w:r>
          </w:p>
        </w:tc>
        <w:tc>
          <w:tcPr>
            <w:tcW w:w="0" w:type="dxa"/>
            <w:vAlign w:val="bottom"/>
          </w:tcPr>
          <w:p>
            <w:pPr>
              <w:spacing w:after="0"/>
              <w:rPr>
                <w:sz w:val="1"/>
                <w:szCs w:val="1"/>
                <w:color w:val="auto"/>
              </w:rPr>
            </w:pPr>
          </w:p>
        </w:tc>
      </w:tr>
      <w:tr>
        <w:trPr>
          <w:trHeight w:val="142"/>
        </w:trPr>
        <w:tc>
          <w:tcPr>
            <w:tcW w:w="8300" w:type="dxa"/>
            <w:vAlign w:val="bottom"/>
          </w:tcPr>
          <w:p>
            <w:pPr>
              <w:spacing w:after="0" w:line="143" w:lineRule="exact"/>
              <w:rPr>
                <w:sz w:val="20"/>
                <w:szCs w:val="20"/>
                <w:color w:val="auto"/>
              </w:rPr>
            </w:pPr>
            <w:r>
              <w:rPr>
                <w:rFonts w:ascii="Arial" w:cs="Arial" w:eastAsia="Arial" w:hAnsi="Arial"/>
                <w:sz w:val="14"/>
                <w:szCs w:val="14"/>
                <w:color w:val="auto"/>
              </w:rPr>
              <w:t>Capital expenditures</w:t>
            </w:r>
          </w:p>
        </w:tc>
        <w:tc>
          <w:tcPr>
            <w:tcW w:w="940" w:type="dxa"/>
            <w:vAlign w:val="bottom"/>
          </w:tcPr>
          <w:p>
            <w:pPr>
              <w:jc w:val="right"/>
              <w:spacing w:after="0" w:line="143" w:lineRule="exact"/>
              <w:rPr>
                <w:sz w:val="20"/>
                <w:szCs w:val="20"/>
                <w:color w:val="auto"/>
              </w:rPr>
            </w:pPr>
            <w:r>
              <w:rPr>
                <w:rFonts w:ascii="Arial" w:cs="Arial" w:eastAsia="Arial" w:hAnsi="Arial"/>
                <w:sz w:val="14"/>
                <w:szCs w:val="14"/>
                <w:color w:val="auto"/>
              </w:rPr>
              <w:t>(1,448)</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auto"/>
              </w:rPr>
              <w:t>(1,726)</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940" w:type="dxa"/>
            <w:vAlign w:val="bottom"/>
          </w:tcPr>
          <w:p>
            <w:pPr>
              <w:jc w:val="right"/>
              <w:spacing w:after="0"/>
              <w:rPr>
                <w:sz w:val="20"/>
                <w:szCs w:val="20"/>
                <w:color w:val="auto"/>
              </w:rPr>
            </w:pPr>
            <w:r>
              <w:rPr>
                <w:rFonts w:ascii="Arial" w:cs="Arial" w:eastAsia="Arial" w:hAnsi="Arial"/>
                <w:sz w:val="14"/>
                <w:szCs w:val="14"/>
                <w:color w:val="auto"/>
              </w:rPr>
              <w:t>(217)</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(273)</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Principal payments on capital leases</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20"/>
                <w:szCs w:val="20"/>
                <w:color w:val="auto"/>
              </w:rPr>
            </w:pPr>
            <w:r>
              <w:rPr>
                <w:rFonts w:ascii="Arial" w:cs="Arial" w:eastAsia="Arial" w:hAnsi="Arial"/>
                <w:sz w:val="14"/>
                <w:szCs w:val="14"/>
                <w:color w:val="auto"/>
              </w:rPr>
              <w:t>Distributions to noncontrolling interests and dividends for redeemable subsidiary preferred stock</w:t>
            </w:r>
          </w:p>
        </w:tc>
        <w:tc>
          <w:tcPr>
            <w:tcW w:w="940" w:type="dxa"/>
            <w:vAlign w:val="bottom"/>
          </w:tcPr>
          <w:p>
            <w:pPr>
              <w:jc w:val="right"/>
              <w:spacing w:after="0"/>
              <w:rPr>
                <w:sz w:val="20"/>
                <w:szCs w:val="20"/>
                <w:color w:val="auto"/>
              </w:rPr>
            </w:pPr>
            <w:r>
              <w:rPr>
                <w:rFonts w:ascii="Arial" w:cs="Arial" w:eastAsia="Arial" w:hAnsi="Arial"/>
                <w:sz w:val="14"/>
                <w:szCs w:val="14"/>
                <w:color w:val="auto"/>
              </w:rPr>
              <w:t>(66)</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w:t>
            </w:r>
          </w:p>
        </w:tc>
        <w:tc>
          <w:tcPr>
            <w:tcW w:w="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8300" w:type="dxa"/>
            <w:vAlign w:val="bottom"/>
          </w:tcPr>
          <w:p>
            <w:pPr>
              <w:spacing w:after="0" w:line="155" w:lineRule="exact"/>
              <w:rPr>
                <w:sz w:val="20"/>
                <w:szCs w:val="20"/>
                <w:color w:val="auto"/>
              </w:rPr>
            </w:pPr>
            <w:r>
              <w:rPr>
                <w:rFonts w:ascii="Arial" w:cs="Arial" w:eastAsia="Arial" w:hAnsi="Arial"/>
                <w:sz w:val="14"/>
                <w:szCs w:val="14"/>
                <w:b w:val="1"/>
                <w:bCs w:val="1"/>
                <w:color w:val="auto"/>
              </w:rPr>
              <w:t>Total Free Cash Flow</w:t>
            </w: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$2,824</w:t>
            </w:r>
          </w:p>
        </w:tc>
        <w:tc>
          <w:tcPr>
            <w:tcW w:w="8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$3,183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EPS Excluding Gains on Sales and Acquisition-Related Items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80" w:type="dxa"/>
            <w:vAlign w:val="bottom"/>
            <w:gridSpan w:val="4"/>
          </w:tcPr>
          <w:p>
            <w:pPr>
              <w:jc w:val="center"/>
              <w:ind w:right="488"/>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2014</w:t>
            </w:r>
          </w:p>
        </w:tc>
        <w:tc>
          <w:tcPr>
            <w:tcW w:w="13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rPr>
              <w:t>March 31,</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440" w:type="dxa"/>
            <w:vAlign w:val="bottom"/>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132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440" w:type="dxa"/>
            <w:vAlign w:val="bottom"/>
            <w:vMerge w:val="continue"/>
          </w:tcPr>
          <w:p>
            <w:pPr>
              <w:spacing w:after="0"/>
              <w:rPr>
                <w:sz w:val="13"/>
                <w:szCs w:val="13"/>
                <w:color w:val="auto"/>
              </w:rPr>
            </w:pPr>
          </w:p>
        </w:tc>
        <w:tc>
          <w:tcPr>
            <w:tcW w:w="1320" w:type="dxa"/>
            <w:vAlign w:val="bottom"/>
            <w:vMerge w:val="restart"/>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gridSpan w:val="3"/>
            <w:vMerge w:val="restart"/>
          </w:tcPr>
          <w:p>
            <w:pPr>
              <w:ind w:left="120"/>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14"/>
                <w:szCs w:val="14"/>
                <w:color w:val="auto"/>
                <w:vertAlign w:val="superscript"/>
              </w:rPr>
              <w:t>(2)</w:t>
            </w:r>
          </w:p>
        </w:tc>
        <w:tc>
          <w:tcPr>
            <w:tcW w:w="10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 xml:space="preserve">EPS </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47"/>
        </w:trPr>
        <w:tc>
          <w:tcPr>
            <w:tcW w:w="64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6440" w:type="dxa"/>
            <w:vAlign w:val="bottom"/>
          </w:tcPr>
          <w:p>
            <w:pPr>
              <w:spacing w:after="0"/>
              <w:rPr>
                <w:sz w:val="20"/>
                <w:szCs w:val="20"/>
                <w:color w:val="auto"/>
              </w:rPr>
            </w:pPr>
            <w:r>
              <w:rPr>
                <w:rFonts w:ascii="Arial" w:cs="Arial" w:eastAsia="Arial" w:hAnsi="Arial"/>
                <w:sz w:val="14"/>
                <w:szCs w:val="14"/>
                <w:color w:val="auto"/>
              </w:rPr>
              <w:t>Net income attributable to Comcast Corporation</w:t>
            </w:r>
          </w:p>
        </w:tc>
        <w:tc>
          <w:tcPr>
            <w:tcW w:w="13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$1,871</w:t>
            </w:r>
          </w:p>
        </w:tc>
        <w:tc>
          <w:tcPr>
            <w:tcW w:w="760" w:type="dxa"/>
            <w:vAlign w:val="bottom"/>
            <w:tcBorders>
              <w:top w:val="single" w:sz="8" w:color="auto"/>
            </w:tcBorders>
          </w:tcPr>
          <w:p>
            <w:pPr>
              <w:jc w:val="center"/>
              <w:ind w:left="208"/>
              <w:spacing w:after="0"/>
              <w:rPr>
                <w:sz w:val="20"/>
                <w:szCs w:val="20"/>
                <w:color w:val="auto"/>
              </w:rPr>
            </w:pPr>
            <w:r>
              <w:rPr>
                <w:rFonts w:ascii="Arial" w:cs="Arial" w:eastAsia="Arial" w:hAnsi="Arial"/>
                <w:sz w:val="14"/>
                <w:szCs w:val="14"/>
                <w:color w:val="auto"/>
              </w:rPr>
              <w:t>$0.71</w:t>
            </w:r>
          </w:p>
        </w:tc>
        <w:tc>
          <w:tcPr>
            <w:tcW w:w="3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$2,059</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$0.81</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i w:val="1"/>
                <w:iCs w:val="1"/>
                <w:color w:val="auto"/>
              </w:rPr>
              <w:t>10.0%</w:t>
            </w: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14.1%</w:t>
            </w:r>
          </w:p>
        </w:tc>
        <w:tc>
          <w:tcPr>
            <w:tcW w:w="0" w:type="dxa"/>
            <w:vAlign w:val="bottom"/>
          </w:tcPr>
          <w:p>
            <w:pPr>
              <w:spacing w:after="0"/>
              <w:rPr>
                <w:sz w:val="1"/>
                <w:szCs w:val="1"/>
                <w:color w:val="auto"/>
              </w:rPr>
            </w:pPr>
          </w:p>
        </w:tc>
      </w:tr>
      <w:tr>
        <w:trPr>
          <w:trHeight w:val="296"/>
        </w:trPr>
        <w:tc>
          <w:tcPr>
            <w:tcW w:w="6440" w:type="dxa"/>
            <w:vAlign w:val="bottom"/>
          </w:tcPr>
          <w:p>
            <w:pPr>
              <w:ind w:left="360"/>
              <w:spacing w:after="0"/>
              <w:rPr>
                <w:sz w:val="20"/>
                <w:szCs w:val="20"/>
                <w:color w:val="auto"/>
              </w:rPr>
            </w:pPr>
            <w:r>
              <w:rPr>
                <w:rFonts w:ascii="Arial" w:cs="Arial" w:eastAsia="Arial" w:hAnsi="Arial"/>
                <w:sz w:val="14"/>
                <w:szCs w:val="14"/>
                <w:color w:val="auto"/>
              </w:rPr>
              <w:t>Gains on sales of businesses and investments</w:t>
            </w:r>
            <w:r>
              <w:rPr>
                <w:rFonts w:ascii="Arial" w:cs="Arial" w:eastAsia="Arial" w:hAnsi="Arial"/>
                <w:sz w:val="14"/>
                <w:szCs w:val="14"/>
                <w:color w:val="auto"/>
                <w:vertAlign w:val="superscript"/>
              </w:rPr>
              <w:t>(3)</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(50)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(0.02)</w:t>
            </w:r>
          </w:p>
        </w:tc>
        <w:tc>
          <w:tcPr>
            <w:tcW w:w="280" w:type="dxa"/>
            <w:vAlign w:val="bottom"/>
          </w:tcPr>
          <w:p>
            <w:pPr>
              <w:spacing w:after="0"/>
              <w:rPr>
                <w:sz w:val="24"/>
                <w:szCs w:val="24"/>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(95)</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(0.04)</w:t>
            </w:r>
          </w:p>
        </w:tc>
        <w:tc>
          <w:tcPr>
            <w:tcW w:w="0" w:type="dxa"/>
            <w:vAlign w:val="bottom"/>
          </w:tcPr>
          <w:p>
            <w:pPr>
              <w:spacing w:after="0"/>
              <w:rPr>
                <w:sz w:val="1"/>
                <w:szCs w:val="1"/>
                <w:color w:val="auto"/>
              </w:rPr>
            </w:pPr>
          </w:p>
        </w:tc>
      </w:tr>
      <w:tr>
        <w:trPr>
          <w:trHeight w:val="162"/>
        </w:trPr>
        <w:tc>
          <w:tcPr>
            <w:tcW w:w="6440" w:type="dxa"/>
            <w:vAlign w:val="bottom"/>
          </w:tcPr>
          <w:p>
            <w:pPr>
              <w:ind w:left="360"/>
              <w:spacing w:after="0"/>
              <w:rPr>
                <w:sz w:val="20"/>
                <w:szCs w:val="20"/>
                <w:color w:val="auto"/>
              </w:rPr>
            </w:pPr>
            <w:r>
              <w:rPr>
                <w:rFonts w:ascii="Arial" w:cs="Arial" w:eastAsia="Arial" w:hAnsi="Arial"/>
                <w:sz w:val="14"/>
                <w:szCs w:val="14"/>
                <w:color w:val="auto"/>
              </w:rPr>
              <w:t>Costs related to Time Warner Cable and Charter transactions</w:t>
            </w:r>
            <w:r>
              <w:rPr>
                <w:rFonts w:ascii="Arial" w:cs="Arial" w:eastAsia="Arial" w:hAnsi="Arial"/>
                <w:sz w:val="14"/>
                <w:szCs w:val="14"/>
                <w:color w:val="auto"/>
                <w:vertAlign w:val="superscript"/>
              </w:rPr>
              <w:t>(4)</w:t>
            </w:r>
          </w:p>
        </w:tc>
        <w:tc>
          <w:tcPr>
            <w:tcW w:w="1320" w:type="dxa"/>
            <w:vAlign w:val="bottom"/>
          </w:tcPr>
          <w:p>
            <w:pPr>
              <w:jc w:val="right"/>
              <w:ind w:right="408"/>
              <w:spacing w:after="0"/>
              <w:rPr>
                <w:sz w:val="20"/>
                <w:szCs w:val="20"/>
                <w:color w:val="auto"/>
              </w:rPr>
            </w:pPr>
            <w:r>
              <w:rPr>
                <w:rFonts w:ascii="Arial" w:cs="Arial" w:eastAsia="Arial" w:hAnsi="Arial"/>
                <w:sz w:val="14"/>
                <w:szCs w:val="14"/>
                <w:color w:val="auto"/>
              </w:rPr>
              <w:t>11</w:t>
            </w:r>
          </w:p>
        </w:tc>
        <w:tc>
          <w:tcPr>
            <w:tcW w:w="760" w:type="dxa"/>
            <w:vAlign w:val="bottom"/>
          </w:tcPr>
          <w:p>
            <w:pPr>
              <w:jc w:val="center"/>
              <w:ind w:left="208"/>
              <w:spacing w:after="0"/>
              <w:rPr>
                <w:sz w:val="20"/>
                <w:szCs w:val="20"/>
                <w:color w:val="auto"/>
              </w:rPr>
            </w:pPr>
            <w:r>
              <w:rPr>
                <w:rFonts w:ascii="Arial" w:cs="Arial" w:eastAsia="Arial" w:hAnsi="Arial"/>
                <w:sz w:val="14"/>
                <w:szCs w:val="14"/>
                <w:color w:val="auto"/>
                <w:w w:val="84"/>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61</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180"/>
        </w:trPr>
        <w:tc>
          <w:tcPr>
            <w:tcW w:w="6440" w:type="dxa"/>
            <w:vAlign w:val="bottom"/>
          </w:tcPr>
          <w:p>
            <w:pPr>
              <w:ind w:left="360"/>
              <w:spacing w:after="0"/>
              <w:rPr>
                <w:sz w:val="20"/>
                <w:szCs w:val="20"/>
                <w:color w:val="auto"/>
              </w:rPr>
            </w:pPr>
            <w:r>
              <w:rPr>
                <w:rFonts w:ascii="Arial" w:cs="Arial" w:eastAsia="Arial" w:hAnsi="Arial"/>
                <w:sz w:val="14"/>
                <w:szCs w:val="14"/>
                <w:color w:val="auto"/>
              </w:rPr>
              <w:t>Favorable resolution of a contingency of an acquired company</w:t>
            </w:r>
            <w:r>
              <w:rPr>
                <w:rFonts w:ascii="Arial" w:cs="Arial" w:eastAsia="Arial" w:hAnsi="Arial"/>
                <w:sz w:val="14"/>
                <w:szCs w:val="14"/>
                <w:color w:val="auto"/>
                <w:vertAlign w:val="superscript"/>
              </w:rPr>
              <w:t>(5)</w:t>
            </w:r>
          </w:p>
        </w:tc>
        <w:tc>
          <w:tcPr>
            <w:tcW w:w="1320" w:type="dxa"/>
            <w:vAlign w:val="bottom"/>
          </w:tcPr>
          <w:p>
            <w:pPr>
              <w:jc w:val="right"/>
              <w:ind w:right="348"/>
              <w:spacing w:after="0"/>
              <w:rPr>
                <w:sz w:val="20"/>
                <w:szCs w:val="20"/>
                <w:color w:val="auto"/>
              </w:rPr>
            </w:pPr>
            <w:r>
              <w:rPr>
                <w:rFonts w:ascii="Arial" w:cs="Arial" w:eastAsia="Arial" w:hAnsi="Arial"/>
                <w:sz w:val="14"/>
                <w:szCs w:val="14"/>
                <w:color w:val="auto"/>
              </w:rPr>
              <w:t>(27)</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(0.01)</w:t>
            </w:r>
          </w:p>
        </w:tc>
        <w:tc>
          <w:tcPr>
            <w:tcW w:w="280" w:type="dxa"/>
            <w:vAlign w:val="bottom"/>
          </w:tcPr>
          <w:p>
            <w:pPr>
              <w:spacing w:after="0"/>
              <w:rPr>
                <w:sz w:val="15"/>
                <w:szCs w:val="15"/>
                <w:color w:val="auto"/>
              </w:rPr>
            </w:pPr>
          </w:p>
        </w:tc>
        <w:tc>
          <w:tcPr>
            <w:tcW w:w="1040" w:type="dxa"/>
            <w:vAlign w:val="bottom"/>
          </w:tcPr>
          <w:p>
            <w:pPr>
              <w:jc w:val="right"/>
              <w:ind w:right="56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7"/>
        </w:trPr>
        <w:tc>
          <w:tcPr>
            <w:tcW w:w="6440" w:type="dxa"/>
            <w:vAlign w:val="bottom"/>
          </w:tcPr>
          <w:p>
            <w:pPr>
              <w:spacing w:after="0" w:line="157" w:lineRule="exact"/>
              <w:rPr>
                <w:sz w:val="20"/>
                <w:szCs w:val="20"/>
                <w:color w:val="auto"/>
              </w:rPr>
            </w:pPr>
            <w:r>
              <w:rPr>
                <w:rFonts w:ascii="Arial" w:cs="Arial" w:eastAsia="Arial" w:hAnsi="Arial"/>
                <w:sz w:val="14"/>
                <w:szCs w:val="14"/>
                <w:color w:val="auto"/>
              </w:rPr>
              <w:t>Net income attributable to Comcast Corporation</w:t>
            </w:r>
          </w:p>
        </w:tc>
        <w:tc>
          <w:tcPr>
            <w:tcW w:w="1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40" w:type="dxa"/>
            <w:vAlign w:val="bottom"/>
          </w:tcPr>
          <w:p>
            <w:pPr>
              <w:ind w:left="180"/>
              <w:spacing w:after="0" w:line="155" w:lineRule="exact"/>
              <w:rPr>
                <w:sz w:val="20"/>
                <w:szCs w:val="20"/>
                <w:color w:val="auto"/>
              </w:rPr>
            </w:pPr>
            <w:r>
              <w:rPr>
                <w:rFonts w:ascii="Arial" w:cs="Arial" w:eastAsia="Arial" w:hAnsi="Arial"/>
                <w:sz w:val="14"/>
                <w:szCs w:val="14"/>
                <w:color w:val="auto"/>
              </w:rPr>
              <w:t>(excluding gains on sales and acquisition-related items)</w:t>
            </w:r>
          </w:p>
        </w:tc>
        <w:tc>
          <w:tcPr>
            <w:tcW w:w="132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$1,805</w:t>
            </w:r>
          </w:p>
        </w:tc>
        <w:tc>
          <w:tcPr>
            <w:tcW w:w="76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color w:val="auto"/>
              </w:rPr>
              <w:t>$0.68</w:t>
            </w: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$0.79</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4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i w:val="1"/>
                <w:iCs w:val="1"/>
                <w:color w:val="auto"/>
              </w:rPr>
              <w:t>12.2%</w:t>
            </w: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16.2%</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340" w:right="14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to reflect cash taxes paid in the year of the related taxable income and to exclude the impacts of Economic Stimulus packages.</w:t>
      </w: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2015 net income attributable to Comcast Corporation includes $164 million of other income, $95 million net of tax and noncontrolling interests, resulting from the sale of a business. 1st quarter 2014 net income attributable to Comcast Corporation includes $80 million of investment income, $50 million net of tax, resulting from the sale of an investment.</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2015 net income attributable to Comcast Corporation includes $99 million of operating costs and expenses, $61 million net of tax, related to the Time Warner Cable and Charter Transactions. 1st quarter 2014 net income attributable to Comcast Corporation includes $17 million of operating costs and expenses, $11 million net of tax, related to the Time Warner Cable transaction.</w:t>
      </w:r>
    </w:p>
    <w:p>
      <w:pPr>
        <w:spacing w:after="0" w:line="1" w:lineRule="exact"/>
        <w:rPr>
          <w:rFonts w:ascii="Arial" w:cs="Arial" w:eastAsia="Arial" w:hAnsi="Arial"/>
          <w:sz w:val="14"/>
          <w:szCs w:val="14"/>
          <w:color w:val="auto"/>
        </w:rPr>
      </w:pPr>
    </w:p>
    <w:p>
      <w:pPr>
        <w:ind w:left="340" w:right="260" w:hanging="332"/>
        <w:spacing w:after="0" w:line="25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1st quarter 2014 net income attributable to Comcast Corporation includes $27 million of other income, resulting from the favorable resolution of a contingency related to the AT&amp;T Broadband transaction.</w:t>
      </w: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443865</wp:posOffset>
            </wp:positionV>
            <wp:extent cx="1157605" cy="488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576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TABLE 5</w:t>
      </w:r>
    </w:p>
    <w:p>
      <w:pPr>
        <w:spacing w:after="0" w:line="22" w:lineRule="exact"/>
        <w:rPr>
          <w:sz w:val="20"/>
          <w:szCs w:val="20"/>
          <w:color w:val="auto"/>
        </w:rPr>
      </w:pPr>
    </w:p>
    <w:p>
      <w:pPr>
        <w:ind w:right="2660"/>
        <w:spacing w:after="0" w:line="246" w:lineRule="auto"/>
        <w:rPr>
          <w:sz w:val="20"/>
          <w:szCs w:val="20"/>
          <w:color w:val="auto"/>
        </w:rPr>
      </w:pPr>
      <w:r>
        <w:rPr>
          <w:rFonts w:ascii="Arial" w:cs="Arial" w:eastAsia="Arial" w:hAnsi="Arial"/>
          <w:sz w:val="18"/>
          <w:szCs w:val="18"/>
          <w:b w:val="1"/>
          <w:bCs w:val="1"/>
          <w:color w:val="C9C9C9"/>
        </w:rPr>
        <w:t>Reconciliation of Consolidated Revenue Excluding 2015 Super Bowl and 2014 Olympics and Operating Cash Flow Excluding Costs Related to Time Warner Cable and Charter Transactions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7"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6160"/>
        <w:spacing w:after="0"/>
        <w:rPr>
          <w:sz w:val="20"/>
          <w:szCs w:val="20"/>
          <w:color w:val="auto"/>
        </w:rPr>
      </w:pPr>
      <w:r>
        <w:rPr>
          <w:rFonts w:ascii="Arial" w:cs="Arial" w:eastAsia="Arial" w:hAnsi="Arial"/>
          <w:sz w:val="14"/>
          <w:szCs w:val="14"/>
          <w:b w:val="1"/>
          <w:bCs w:val="1"/>
          <w:color w:val="auto"/>
        </w:rPr>
        <w:t>March 31,</w:t>
      </w:r>
    </w:p>
    <w:p>
      <w:pPr>
        <w:spacing w:after="0" w:line="145" w:lineRule="exact"/>
        <w:rPr>
          <w:sz w:val="20"/>
          <w:szCs w:val="20"/>
          <w:color w:val="auto"/>
        </w:rPr>
      </w:pPr>
    </w:p>
    <w:p>
      <w:pPr>
        <w:ind w:left="180"/>
        <w:spacing w:after="0"/>
        <w:tabs>
          <w:tab w:leader="none" w:pos="6960" w:val="left"/>
          <w:tab w:leader="none" w:pos="8600" w:val="left"/>
          <w:tab w:leader="none" w:pos="1008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Growth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8890</wp:posOffset>
            </wp:positionV>
            <wp:extent cx="29330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9" w:name="page10"/>
    <w:bookmarkEnd w:id="9"/>
    <w:tbl>
      <w:tblPr>
        <w:tblLayout w:type="fixed"/>
        <w:tblInd w:w="180" w:type="dxa"/>
        <w:tblCellMar>
          <w:top w:w="0" w:type="dxa"/>
          <w:left w:w="0" w:type="dxa"/>
          <w:bottom w:w="0" w:type="dxa"/>
          <w:right w:w="0" w:type="dxa"/>
        </w:tblCellMar>
      </w:tblPr>
      <w:tr>
        <w:trPr>
          <w:trHeight w:val="190"/>
        </w:trPr>
        <w:tc>
          <w:tcPr>
            <w:tcW w:w="63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$17,408</w:t>
            </w:r>
          </w:p>
        </w:tc>
        <w:tc>
          <w:tcPr>
            <w:tcW w:w="320" w:type="dxa"/>
            <w:vAlign w:val="bottom"/>
          </w:tcPr>
          <w:p>
            <w:pPr>
              <w:spacing w:after="0"/>
              <w:rPr>
                <w:sz w:val="16"/>
                <w:szCs w:val="16"/>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$17,853</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auto"/>
              </w:rPr>
              <w:t>2.6%</w:t>
            </w:r>
          </w:p>
        </w:tc>
      </w:tr>
      <w:tr>
        <w:trPr>
          <w:trHeight w:val="296"/>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59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5960" w:type="dxa"/>
            <w:vAlign w:val="bottom"/>
          </w:tcPr>
          <w:p>
            <w:pPr>
              <w:ind w:left="20"/>
              <w:spacing w:after="0"/>
              <w:rPr>
                <w:sz w:val="20"/>
                <w:szCs w:val="20"/>
                <w:color w:val="auto"/>
              </w:rPr>
            </w:pPr>
            <w:r>
              <w:rPr>
                <w:rFonts w:ascii="Arial" w:cs="Arial" w:eastAsia="Arial" w:hAnsi="Arial"/>
                <w:sz w:val="14"/>
                <w:szCs w:val="14"/>
                <w:color w:val="auto"/>
              </w:rPr>
              <w:t>Olympics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320" w:type="dxa"/>
            <w:vAlign w:val="bottom"/>
          </w:tcPr>
          <w:p>
            <w:pPr>
              <w:spacing w:after="0"/>
              <w:rPr>
                <w:sz w:val="15"/>
                <w:szCs w:val="15"/>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18"/>
        </w:trPr>
        <w:tc>
          <w:tcPr>
            <w:tcW w:w="630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$16,305</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$17,477</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auto"/>
              </w:rPr>
              <w:t>7.2%</w:t>
            </w:r>
          </w:p>
        </w:tc>
      </w:tr>
      <w:tr>
        <w:trPr>
          <w:trHeight w:val="20"/>
        </w:trPr>
        <w:tc>
          <w:tcPr>
            <w:tcW w:w="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40"/>
        </w:trPr>
        <w:tc>
          <w:tcPr>
            <w:tcW w:w="3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4"/>
                <w:szCs w:val="2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6300" w:type="dxa"/>
            <w:vAlign w:val="bottom"/>
            <w:gridSpan w:val="2"/>
          </w:tcPr>
          <w:p>
            <w:pPr>
              <w:spacing w:after="0"/>
              <w:rPr>
                <w:sz w:val="20"/>
                <w:szCs w:val="20"/>
                <w:color w:val="auto"/>
              </w:rPr>
            </w:pPr>
            <w:r>
              <w:rPr>
                <w:rFonts w:ascii="Arial" w:cs="Arial" w:eastAsia="Arial" w:hAnsi="Arial"/>
                <w:sz w:val="14"/>
                <w:szCs w:val="14"/>
                <w:color w:val="auto"/>
              </w:rPr>
              <w:t>Operating Cash Flow</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$5,538</w:t>
            </w:r>
          </w:p>
        </w:tc>
        <w:tc>
          <w:tcPr>
            <w:tcW w:w="320" w:type="dxa"/>
            <w:vAlign w:val="bottom"/>
          </w:tcPr>
          <w:p>
            <w:pPr>
              <w:spacing w:after="0"/>
              <w:rPr>
                <w:sz w:val="24"/>
                <w:szCs w:val="24"/>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$5,956</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auto"/>
              </w:rPr>
              <w:t>7.6%</w:t>
            </w:r>
          </w:p>
        </w:tc>
      </w:tr>
      <w:tr>
        <w:trPr>
          <w:trHeight w:val="309"/>
        </w:trPr>
        <w:tc>
          <w:tcPr>
            <w:tcW w:w="6300" w:type="dxa"/>
            <w:vAlign w:val="bottom"/>
            <w:gridSpan w:val="2"/>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99</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8"/>
        </w:trPr>
        <w:tc>
          <w:tcPr>
            <w:tcW w:w="6300" w:type="dxa"/>
            <w:vAlign w:val="bottom"/>
            <w:gridSpan w:val="2"/>
          </w:tcPr>
          <w:p>
            <w:pPr>
              <w:spacing w:after="0"/>
              <w:rPr>
                <w:sz w:val="20"/>
                <w:szCs w:val="20"/>
                <w:color w:val="auto"/>
              </w:rPr>
            </w:pPr>
            <w:r>
              <w:rPr>
                <w:rFonts w:ascii="Arial" w:cs="Arial" w:eastAsia="Arial" w:hAnsi="Arial"/>
                <w:sz w:val="14"/>
                <w:szCs w:val="14"/>
                <w:color w:val="auto"/>
              </w:rPr>
              <w:t>Operating Cash Flow excluding costs related to Time Warner Cable and Charter transactions</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$5,555</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$6,055</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auto"/>
              </w:rPr>
              <w:t>9.0%</w:t>
            </w:r>
          </w:p>
        </w:tc>
      </w:tr>
      <w:tr>
        <w:trPr>
          <w:trHeight w:val="20"/>
        </w:trPr>
        <w:tc>
          <w:tcPr>
            <w:tcW w:w="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Consolidated NBCUniversal Revenue Excluding 2015 Super Bowl and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spacing w:after="0"/>
              <w:rPr>
                <w:sz w:val="16"/>
                <w:szCs w:val="16"/>
                <w:color w:val="auto"/>
              </w:rPr>
            </w:pPr>
          </w:p>
        </w:tc>
      </w:tr>
      <w:tr>
        <w:trPr>
          <w:trHeight w:val="309"/>
        </w:trPr>
        <w:tc>
          <w:tcPr>
            <w:tcW w:w="63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4"/>
                <w:szCs w:val="2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63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20" w:type="dxa"/>
            <w:vAlign w:val="bottom"/>
          </w:tcPr>
          <w:p>
            <w:pPr>
              <w:jc w:val="right"/>
              <w:spacing w:after="0"/>
              <w:rPr>
                <w:sz w:val="20"/>
                <w:szCs w:val="20"/>
                <w:color w:val="auto"/>
              </w:rPr>
            </w:pPr>
            <w:r>
              <w:rPr>
                <w:rFonts w:ascii="Arial" w:cs="Arial" w:eastAsia="Arial" w:hAnsi="Arial"/>
                <w:sz w:val="14"/>
                <w:szCs w:val="14"/>
                <w:color w:val="auto"/>
              </w:rPr>
              <w:t>$6,876</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$6,604</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6"/>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59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(376)</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5960" w:type="dxa"/>
            <w:vAlign w:val="bottom"/>
          </w:tcPr>
          <w:p>
            <w:pPr>
              <w:ind w:left="20"/>
              <w:spacing w:after="0"/>
              <w:rPr>
                <w:sz w:val="20"/>
                <w:szCs w:val="20"/>
                <w:color w:val="auto"/>
              </w:rPr>
            </w:pPr>
            <w:r>
              <w:rPr>
                <w:rFonts w:ascii="Arial" w:cs="Arial" w:eastAsia="Arial" w:hAnsi="Arial"/>
                <w:sz w:val="14"/>
                <w:szCs w:val="14"/>
                <w:color w:val="auto"/>
              </w:rPr>
              <w:t>Olympics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320" w:type="dxa"/>
            <w:vAlign w:val="bottom"/>
          </w:tcPr>
          <w:p>
            <w:pPr>
              <w:spacing w:after="0"/>
              <w:rPr>
                <w:sz w:val="15"/>
                <w:szCs w:val="15"/>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18"/>
        </w:trPr>
        <w:tc>
          <w:tcPr>
            <w:tcW w:w="630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1320" w:type="dxa"/>
            <w:vAlign w:val="bottom"/>
          </w:tcPr>
          <w:p>
            <w:pPr>
              <w:jc w:val="right"/>
              <w:spacing w:after="0"/>
              <w:rPr>
                <w:sz w:val="20"/>
                <w:szCs w:val="20"/>
                <w:color w:val="auto"/>
              </w:rPr>
            </w:pPr>
            <w:r>
              <w:rPr>
                <w:rFonts w:ascii="Arial" w:cs="Arial" w:eastAsia="Arial" w:hAnsi="Arial"/>
                <w:sz w:val="14"/>
                <w:szCs w:val="14"/>
                <w:color w:val="auto"/>
              </w:rPr>
              <w:t>$5,773</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$6,228</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
        </w:trPr>
        <w:tc>
          <w:tcPr>
            <w:tcW w:w="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Cable Networks Revenue Excluding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r>
      <w:tr>
        <w:trPr>
          <w:trHeight w:val="190"/>
        </w:trPr>
        <w:tc>
          <w:tcPr>
            <w:tcW w:w="6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spacing w:after="0"/>
              <w:rPr>
                <w:sz w:val="16"/>
                <w:szCs w:val="16"/>
                <w:color w:val="auto"/>
              </w:rPr>
            </w:pPr>
          </w:p>
        </w:tc>
      </w:tr>
      <w:tr>
        <w:trPr>
          <w:trHeight w:val="309"/>
        </w:trPr>
        <w:tc>
          <w:tcPr>
            <w:tcW w:w="6300" w:type="dxa"/>
            <w:vAlign w:val="bottom"/>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4"/>
                <w:szCs w:val="24"/>
                <w:color w:val="auto"/>
              </w:rPr>
            </w:pPr>
          </w:p>
        </w:tc>
        <w:tc>
          <w:tcPr>
            <w:tcW w:w="13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6300" w:type="dxa"/>
            <w:vAlign w:val="bottom"/>
          </w:tcPr>
          <w:p>
            <w:pPr>
              <w:spacing w:after="0"/>
              <w:rPr>
                <w:sz w:val="20"/>
                <w:szCs w:val="20"/>
                <w:color w:val="auto"/>
              </w:rPr>
            </w:pPr>
            <w:r>
              <w:rPr>
                <w:rFonts w:ascii="Arial" w:cs="Arial" w:eastAsia="Arial" w:hAnsi="Arial"/>
                <w:sz w:val="14"/>
                <w:szCs w:val="14"/>
                <w:color w:val="auto"/>
              </w:rPr>
              <w:t>Revenue</w:t>
            </w:r>
          </w:p>
        </w:tc>
        <w:tc>
          <w:tcPr>
            <w:tcW w:w="1320" w:type="dxa"/>
            <w:vAlign w:val="bottom"/>
          </w:tcPr>
          <w:p>
            <w:pPr>
              <w:jc w:val="right"/>
              <w:spacing w:after="0"/>
              <w:rPr>
                <w:sz w:val="20"/>
                <w:szCs w:val="20"/>
                <w:color w:val="auto"/>
              </w:rPr>
            </w:pPr>
            <w:r>
              <w:rPr>
                <w:rFonts w:ascii="Arial" w:cs="Arial" w:eastAsia="Arial" w:hAnsi="Arial"/>
                <w:sz w:val="14"/>
                <w:szCs w:val="14"/>
                <w:color w:val="auto"/>
              </w:rPr>
              <w:t>$2,505</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$2,359</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09"/>
        </w:trPr>
        <w:tc>
          <w:tcPr>
            <w:tcW w:w="6300" w:type="dxa"/>
            <w:vAlign w:val="bottom"/>
          </w:tcPr>
          <w:p>
            <w:pPr>
              <w:spacing w:after="0"/>
              <w:rPr>
                <w:sz w:val="20"/>
                <w:szCs w:val="20"/>
                <w:color w:val="auto"/>
              </w:rPr>
            </w:pPr>
            <w:r>
              <w:rPr>
                <w:rFonts w:ascii="Arial" w:cs="Arial" w:eastAsia="Arial" w:hAnsi="Arial"/>
                <w:sz w:val="14"/>
                <w:szCs w:val="14"/>
                <w:color w:val="auto"/>
              </w:rPr>
              <w:t>2014 Olympics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8"/>
        </w:trPr>
        <w:tc>
          <w:tcPr>
            <w:tcW w:w="6300" w:type="dxa"/>
            <w:vAlign w:val="bottom"/>
          </w:tcPr>
          <w:p>
            <w:pPr>
              <w:spacing w:after="0"/>
              <w:rPr>
                <w:sz w:val="20"/>
                <w:szCs w:val="20"/>
                <w:color w:val="auto"/>
              </w:rPr>
            </w:pPr>
            <w:r>
              <w:rPr>
                <w:rFonts w:ascii="Arial" w:cs="Arial" w:eastAsia="Arial" w:hAnsi="Arial"/>
                <w:sz w:val="14"/>
                <w:szCs w:val="14"/>
                <w:color w:val="auto"/>
              </w:rPr>
              <w:t>Revenue excluding 2014 Olympics</w:t>
            </w:r>
          </w:p>
        </w:tc>
        <w:tc>
          <w:tcPr>
            <w:tcW w:w="1320" w:type="dxa"/>
            <w:vAlign w:val="bottom"/>
          </w:tcPr>
          <w:p>
            <w:pPr>
              <w:jc w:val="right"/>
              <w:spacing w:after="0"/>
              <w:rPr>
                <w:sz w:val="20"/>
                <w:szCs w:val="20"/>
                <w:color w:val="auto"/>
              </w:rPr>
            </w:pPr>
            <w:r>
              <w:rPr>
                <w:rFonts w:ascii="Arial" w:cs="Arial" w:eastAsia="Arial" w:hAnsi="Arial"/>
                <w:sz w:val="14"/>
                <w:szCs w:val="14"/>
                <w:color w:val="auto"/>
              </w:rPr>
              <w:t>$2,248</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$2,359</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6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C9C9C9"/>
        </w:rPr>
        <w:t>Reconciliation of Broadcast Television Revenue Excluding 2015 Super Bowl and 2014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spacing w:after="0"/>
              <w:rPr>
                <w:sz w:val="16"/>
                <w:szCs w:val="16"/>
                <w:color w:val="auto"/>
              </w:rPr>
            </w:pPr>
          </w:p>
        </w:tc>
      </w:tr>
      <w:tr>
        <w:trPr>
          <w:trHeight w:val="309"/>
        </w:trPr>
        <w:tc>
          <w:tcPr>
            <w:tcW w:w="63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24"/>
                <w:szCs w:val="24"/>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4"/>
                <w:szCs w:val="24"/>
                <w:color w:val="auto"/>
              </w:rPr>
            </w:pPr>
          </w:p>
        </w:tc>
        <w:tc>
          <w:tcPr>
            <w:tcW w:w="13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Growth %</w:t>
            </w:r>
          </w:p>
        </w:tc>
      </w:tr>
      <w:tr>
        <w:trPr>
          <w:trHeight w:val="333"/>
        </w:trPr>
        <w:tc>
          <w:tcPr>
            <w:tcW w:w="63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20" w:type="dxa"/>
            <w:vAlign w:val="bottom"/>
          </w:tcPr>
          <w:p>
            <w:pPr>
              <w:jc w:val="right"/>
              <w:spacing w:after="0"/>
              <w:rPr>
                <w:sz w:val="20"/>
                <w:szCs w:val="20"/>
                <w:color w:val="auto"/>
              </w:rPr>
            </w:pPr>
            <w:r>
              <w:rPr>
                <w:rFonts w:ascii="Arial" w:cs="Arial" w:eastAsia="Arial" w:hAnsi="Arial"/>
                <w:sz w:val="14"/>
                <w:szCs w:val="14"/>
                <w:color w:val="auto"/>
              </w:rPr>
              <w:t>$2,621</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$2,248</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96"/>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59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(376)</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2014</w:t>
            </w:r>
          </w:p>
        </w:tc>
        <w:tc>
          <w:tcPr>
            <w:tcW w:w="5960" w:type="dxa"/>
            <w:vAlign w:val="bottom"/>
          </w:tcPr>
          <w:p>
            <w:pPr>
              <w:ind w:left="20"/>
              <w:spacing w:after="0"/>
              <w:rPr>
                <w:sz w:val="20"/>
                <w:szCs w:val="20"/>
                <w:color w:val="auto"/>
              </w:rPr>
            </w:pPr>
            <w:r>
              <w:rPr>
                <w:rFonts w:ascii="Arial" w:cs="Arial" w:eastAsia="Arial" w:hAnsi="Arial"/>
                <w:sz w:val="14"/>
                <w:szCs w:val="14"/>
                <w:color w:val="auto"/>
              </w:rPr>
              <w:t>Olympics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32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18"/>
        </w:trPr>
        <w:tc>
          <w:tcPr>
            <w:tcW w:w="6300" w:type="dxa"/>
            <w:vAlign w:val="bottom"/>
            <w:gridSpan w:val="2"/>
          </w:tcPr>
          <w:p>
            <w:pPr>
              <w:spacing w:after="0"/>
              <w:rPr>
                <w:sz w:val="20"/>
                <w:szCs w:val="20"/>
                <w:color w:val="auto"/>
              </w:rPr>
            </w:pPr>
            <w:r>
              <w:rPr>
                <w:rFonts w:ascii="Arial" w:cs="Arial" w:eastAsia="Arial" w:hAnsi="Arial"/>
                <w:sz w:val="14"/>
                <w:szCs w:val="14"/>
                <w:color w:val="auto"/>
              </w:rPr>
              <w:t>Revenue excluding 2015 Super Bowl and 2014 Olympics</w:t>
            </w:r>
          </w:p>
        </w:tc>
        <w:tc>
          <w:tcPr>
            <w:tcW w:w="1320" w:type="dxa"/>
            <w:vAlign w:val="bottom"/>
          </w:tcPr>
          <w:p>
            <w:pPr>
              <w:jc w:val="right"/>
              <w:spacing w:after="0"/>
              <w:rPr>
                <w:sz w:val="20"/>
                <w:szCs w:val="20"/>
                <w:color w:val="auto"/>
              </w:rPr>
            </w:pPr>
            <w:r>
              <w:rPr>
                <w:rFonts w:ascii="Arial" w:cs="Arial" w:eastAsia="Arial" w:hAnsi="Arial"/>
                <w:sz w:val="14"/>
                <w:szCs w:val="14"/>
                <w:color w:val="auto"/>
              </w:rPr>
              <w:t>$1,775</w:t>
            </w: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$1,872</w:t>
            </w:r>
          </w:p>
        </w:tc>
        <w:tc>
          <w:tcPr>
            <w:tcW w:w="3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0"/>
        </w:trPr>
        <w:tc>
          <w:tcPr>
            <w:tcW w:w="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288" w:right="5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99.2 – Explanation of Non-GAAP and Other Financial Measures, cont’d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Exhibit 99.1 to this Current Report on Form 8-K we provide reconciliations of Free Cash Flow in Table 4, Consolidated Operating Cash Flow in Table 1 and “adjusted” data in Tables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2019-12-08T00:49:22Z</dcterms:created>
  <dcterms:modified xsi:type="dcterms:W3CDTF">2019-12-08T00:49:22Z</dcterms:modified>
</cp:coreProperties>
</file>