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1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19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COOK J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11/20/2009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PHILADELPHIA PA</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19103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20"/>
              <w:spacing w:after="0"/>
              <w:rPr>
                <w:sz w:val="20"/>
                <w:szCs w:val="20"/>
                <w:color w:val="auto"/>
              </w:rPr>
            </w:pPr>
            <w:r>
              <w:rPr>
                <w:rFonts w:ascii="Arial" w:cs="Arial" w:eastAsia="Arial" w:hAnsi="Arial"/>
                <w:sz w:val="14"/>
                <w:szCs w:val="14"/>
                <w:color w:val="0000FF"/>
              </w:rPr>
              <w:t>Class A</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8,327</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11/20/2009</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8,327</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33,382</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in shares, at the election of the Reporting Person. Phantom stock may be redeferred at future dates.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3"/>
              </w:rPr>
              <w:t>Arthur R. Block, Attorney-in-</w:t>
            </w:r>
          </w:p>
        </w:tc>
        <w:tc>
          <w:tcPr>
            <w:tcW w:w="8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11/23/2009</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8017"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2019-12-18T07:11:18Z</dcterms:created>
  <dcterms:modified xsi:type="dcterms:W3CDTF">2019-12-18T07:11:18Z</dcterms:modified>
</cp:coreProperties>
</file>