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6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37465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left="5060"/>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660"/>
        <w:spacing w:after="0"/>
        <w:rPr>
          <w:sz w:val="20"/>
          <w:szCs w:val="20"/>
          <w:color w:val="auto"/>
        </w:rPr>
      </w:pPr>
      <w:r>
        <w:rPr>
          <w:rFonts w:ascii="Arial" w:cs="Arial" w:eastAsia="Arial" w:hAnsi="Arial"/>
          <w:sz w:val="25"/>
          <w:szCs w:val="25"/>
          <w:b w:val="1"/>
          <w:bCs w:val="1"/>
          <w:color w:val="auto"/>
        </w:rPr>
        <w:t>(Amendment No. 1)</w:t>
      </w:r>
    </w:p>
    <w:p>
      <w:pPr>
        <w:spacing w:after="0" w:line="279"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Exchange Act of 1934</w:t>
      </w:r>
    </w:p>
    <w:p>
      <w:pPr>
        <w:spacing w:after="0" w:line="274" w:lineRule="exact"/>
        <w:rPr>
          <w:sz w:val="24"/>
          <w:szCs w:val="24"/>
          <w:color w:val="auto"/>
        </w:rPr>
      </w:pPr>
    </w:p>
    <w:p>
      <w:pPr>
        <w:jc w:val="center"/>
        <w:ind w:right="-539"/>
        <w:spacing w:after="0"/>
        <w:rPr>
          <w:sz w:val="20"/>
          <w:szCs w:val="20"/>
          <w:color w:val="auto"/>
        </w:rPr>
      </w:pPr>
      <w:r>
        <w:rPr>
          <w:rFonts w:ascii="Arial" w:cs="Arial" w:eastAsia="Arial" w:hAnsi="Arial"/>
          <w:sz w:val="19"/>
          <w:szCs w:val="19"/>
          <w:b w:val="1"/>
          <w:bCs w:val="1"/>
          <w:color w:val="auto"/>
        </w:rPr>
        <w:t>Date of report (Date of earliest event reported): July 1, 2015</w:t>
      </w:r>
    </w:p>
    <w:p>
      <w:pPr>
        <w:spacing w:after="0" w:line="227" w:lineRule="exact"/>
        <w:rPr>
          <w:sz w:val="24"/>
          <w:szCs w:val="24"/>
          <w:color w:val="auto"/>
        </w:rPr>
      </w:pPr>
    </w:p>
    <w:p>
      <w:pPr>
        <w:ind w:left="3800"/>
        <w:spacing w:after="0"/>
        <w:rPr>
          <w:sz w:val="20"/>
          <w:szCs w:val="20"/>
          <w:color w:val="auto"/>
        </w:rPr>
      </w:pPr>
      <w:r>
        <w:rPr>
          <w:rFonts w:ascii="Arial" w:cs="Arial" w:eastAsia="Arial" w:hAnsi="Arial"/>
          <w:sz w:val="32"/>
          <w:szCs w:val="32"/>
          <w:b w:val="1"/>
          <w:bCs w:val="1"/>
          <w:color w:val="auto"/>
        </w:rPr>
        <w:t>NBCUniversal Media, LLC</w:t>
      </w:r>
    </w:p>
    <w:p>
      <w:pPr>
        <w:spacing w:after="0" w:line="40"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(State or Other Jurisdiction of Incorporation)</w:t>
      </w:r>
    </w:p>
    <w:p>
      <w:pPr>
        <w:sectPr>
          <w:pgSz w:w="11900" w:h="16838" w:orient="portrait"/>
          <w:cols w:equalWidth="0" w:num="1">
            <w:col w:w="10880"/>
          </w:cols>
          <w:pgMar w:left="240" w:top="630" w:right="779" w:bottom="1440" w:gutter="0" w:footer="0" w:header="0"/>
        </w:sectPr>
      </w:pPr>
    </w:p>
    <w:p>
      <w:pPr>
        <w:spacing w:after="0" w:line="207" w:lineRule="exact"/>
        <w:rPr>
          <w:sz w:val="24"/>
          <w:szCs w:val="24"/>
          <w:color w:val="auto"/>
        </w:rPr>
      </w:pPr>
    </w:p>
    <w:p>
      <w:pPr>
        <w:jc w:val="center"/>
        <w:ind w:right="3800"/>
        <w:spacing w:after="0"/>
        <w:rPr>
          <w:sz w:val="20"/>
          <w:szCs w:val="20"/>
          <w:color w:val="auto"/>
        </w:rPr>
      </w:pPr>
      <w:r>
        <w:rPr>
          <w:rFonts w:ascii="Arial" w:cs="Arial" w:eastAsia="Arial" w:hAnsi="Arial"/>
          <w:sz w:val="18"/>
          <w:szCs w:val="18"/>
          <w:b w:val="1"/>
          <w:bCs w:val="1"/>
          <w:color w:val="auto"/>
        </w:rPr>
        <w:t>001-36438</w:t>
      </w:r>
    </w:p>
    <w:p>
      <w:pPr>
        <w:spacing w:after="0" w:line="27" w:lineRule="exact"/>
        <w:rPr>
          <w:sz w:val="24"/>
          <w:szCs w:val="24"/>
          <w:color w:val="auto"/>
        </w:rPr>
      </w:pPr>
    </w:p>
    <w:p>
      <w:pPr>
        <w:jc w:val="center"/>
        <w:ind w:right="3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14-1682529</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580" w:space="720"/>
            <w:col w:w="2580"/>
          </w:cols>
          <w:pgMar w:left="240" w:top="630" w:right="779" w:bottom="1440" w:gutter="0" w:footer="0" w:header="0"/>
          <w:type w:val="continuous"/>
        </w:sectPr>
      </w:pPr>
    </w:p>
    <w:p>
      <w:pPr>
        <w:spacing w:after="0" w:line="18" w:lineRule="exact"/>
        <w:rPr>
          <w:sz w:val="24"/>
          <w:szCs w:val="24"/>
          <w:color w:val="auto"/>
        </w:rPr>
      </w:pPr>
    </w:p>
    <w:p>
      <w:pPr>
        <w:jc w:val="center"/>
        <w:ind w:right="4660"/>
        <w:spacing w:after="0"/>
        <w:rPr>
          <w:sz w:val="20"/>
          <w:szCs w:val="20"/>
          <w:color w:val="auto"/>
        </w:rPr>
      </w:pPr>
      <w:r>
        <w:rPr>
          <w:rFonts w:ascii="Arial" w:cs="Arial" w:eastAsia="Arial" w:hAnsi="Arial"/>
          <w:sz w:val="18"/>
          <w:szCs w:val="18"/>
          <w:b w:val="1"/>
          <w:bCs w:val="1"/>
          <w:color w:val="auto"/>
        </w:rPr>
        <w:t>30 Rockefeller Plaza</w:t>
      </w:r>
    </w:p>
    <w:p>
      <w:pPr>
        <w:spacing w:after="0" w:line="27" w:lineRule="exact"/>
        <w:rPr>
          <w:sz w:val="24"/>
          <w:szCs w:val="24"/>
          <w:color w:val="auto"/>
        </w:rPr>
      </w:pPr>
    </w:p>
    <w:p>
      <w:pPr>
        <w:jc w:val="center"/>
        <w:ind w:right="466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46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10112-0015</w:t>
      </w:r>
    </w:p>
    <w:p>
      <w:pPr>
        <w:spacing w:after="0" w:line="50" w:lineRule="exact"/>
        <w:rPr>
          <w:sz w:val="24"/>
          <w:szCs w:val="24"/>
          <w:color w:val="auto"/>
        </w:rPr>
      </w:pPr>
    </w:p>
    <w:p>
      <w:pPr>
        <w:ind w:left="20"/>
        <w:spacing w:after="0"/>
        <w:rPr>
          <w:sz w:val="20"/>
          <w:szCs w:val="20"/>
          <w:color w:val="auto"/>
        </w:rPr>
      </w:pPr>
      <w:r>
        <w:rPr>
          <w:rFonts w:ascii="Arial" w:cs="Arial" w:eastAsia="Arial" w:hAnsi="Arial"/>
          <w:sz w:val="17"/>
          <w:szCs w:val="17"/>
          <w:color w:val="auto"/>
        </w:rPr>
        <w:t>(Zip Code)</w:t>
      </w:r>
    </w:p>
    <w:p>
      <w:pPr>
        <w:spacing w:after="0" w:line="200" w:lineRule="exact"/>
        <w:rPr>
          <w:sz w:val="24"/>
          <w:szCs w:val="24"/>
          <w:color w:val="auto"/>
        </w:rPr>
      </w:pPr>
    </w:p>
    <w:p>
      <w:pPr>
        <w:sectPr>
          <w:pgSz w:w="11900" w:h="16838" w:orient="portrait"/>
          <w:cols w:equalWidth="0" w:num="2">
            <w:col w:w="8400" w:space="720"/>
            <w:col w:w="1760"/>
          </w:cols>
          <w:pgMar w:left="240" w:top="630" w:right="779" w:bottom="1440" w:gutter="0" w:footer="0" w:header="0"/>
          <w:type w:val="continuous"/>
        </w:sectPr>
      </w:pPr>
    </w:p>
    <w:p>
      <w:pPr>
        <w:spacing w:after="0" w:line="234"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664-4444</w:t>
      </w:r>
    </w:p>
    <w:p>
      <w:pPr>
        <w:spacing w:after="0" w:line="200" w:lineRule="exact"/>
        <w:rPr>
          <w:sz w:val="24"/>
          <w:szCs w:val="24"/>
          <w:color w:val="auto"/>
        </w:rPr>
      </w:pPr>
    </w:p>
    <w:p>
      <w:pPr>
        <w:spacing w:after="0" w:line="241"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39" w:lineRule="exact"/>
        <w:rPr>
          <w:sz w:val="24"/>
          <w:szCs w:val="24"/>
          <w:color w:val="auto"/>
        </w:rPr>
      </w:pPr>
    </w:p>
    <w:p>
      <w:pPr>
        <w:ind w:left="4640"/>
        <w:spacing w:after="0"/>
        <w:rPr>
          <w:sz w:val="20"/>
          <w:szCs w:val="20"/>
          <w:color w:val="auto"/>
        </w:rPr>
      </w:pPr>
      <w:r>
        <w:rPr>
          <w:rFonts w:ascii="Arial" w:cs="Arial" w:eastAsia="Arial" w:hAnsi="Arial"/>
          <w:sz w:val="14"/>
          <w:szCs w:val="14"/>
          <w:color w:val="auto"/>
        </w:rPr>
        <w:t>______________________________</w:t>
      </w:r>
    </w:p>
    <w:p>
      <w:pPr>
        <w:spacing w:after="0" w:line="357"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20" w:hanging="388"/>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20" w:hanging="388"/>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388"/>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630" w:right="779" w:bottom="1440" w:gutter="0" w:footer="0" w:header="0"/>
          <w:type w:val="continuous"/>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previously reported in the Form 8-K filed by NBCUniversal Media, LLC (“NBCUniversal”) on May 11, 2015, Michael J. Cavanagh was appointed to serve as Comcast’s Senior Executive Vice President and Chief Financial Officer and NBCUniversal’s principal financial officer, effective upon a date to be mutually agreed. On July 1, 2015, Michael J. Cavanagh became Comcast’s Chief Financial Officer and NBCUniversal’s principal financial officer, and in connection therewith, Michael J. Angelakis ceased to serve as Comcast’s Vice Chairman and Chief Financial Officer and NBCUniversal’s principal financial officer and became a Senior Advisor to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940" w:type="dxa"/>
            <w:vAlign w:val="bottom"/>
            <w:gridSpan w:val="2"/>
          </w:tcPr>
          <w:p>
            <w:pPr>
              <w:ind w:left="1920"/>
              <w:spacing w:after="0"/>
              <w:rPr>
                <w:sz w:val="20"/>
                <w:szCs w:val="20"/>
                <w:color w:val="auto"/>
              </w:rPr>
            </w:pPr>
            <w:r>
              <w:rPr>
                <w:rFonts w:ascii="Arial" w:cs="Arial" w:eastAsia="Arial" w:hAnsi="Arial"/>
                <w:sz w:val="18"/>
                <w:szCs w:val="18"/>
                <w:b w:val="1"/>
                <w:bCs w:val="1"/>
                <w:color w:val="auto"/>
              </w:rPr>
              <w:t>NBCUNIVERSAL MEDIA, LLC</w:t>
            </w:r>
          </w:p>
        </w:tc>
      </w:tr>
      <w:tr>
        <w:trPr>
          <w:trHeight w:val="648"/>
        </w:trPr>
        <w:tc>
          <w:tcPr>
            <w:tcW w:w="3480" w:type="dxa"/>
            <w:vAlign w:val="bottom"/>
          </w:tcPr>
          <w:p>
            <w:pPr>
              <w:spacing w:after="0"/>
              <w:rPr>
                <w:sz w:val="20"/>
                <w:szCs w:val="20"/>
                <w:color w:val="auto"/>
              </w:rPr>
            </w:pPr>
            <w:r>
              <w:rPr>
                <w:rFonts w:ascii="Arial" w:cs="Arial" w:eastAsia="Arial" w:hAnsi="Arial"/>
                <w:sz w:val="18"/>
                <w:szCs w:val="18"/>
                <w:color w:val="auto"/>
              </w:rPr>
              <w:t>Date:    July 1, 2015</w:t>
            </w:r>
          </w:p>
        </w:tc>
        <w:tc>
          <w:tcPr>
            <w:tcW w:w="7940" w:type="dxa"/>
            <w:vAlign w:val="bottom"/>
            <w:gridSpan w:val="2"/>
          </w:tcPr>
          <w:p>
            <w:pPr>
              <w:ind w:left="1920"/>
              <w:spacing w:after="0"/>
              <w:rPr>
                <w:sz w:val="20"/>
                <w:szCs w:val="20"/>
                <w:color w:val="auto"/>
              </w:rPr>
            </w:pPr>
            <w:r>
              <w:rPr>
                <w:rFonts w:ascii="Arial" w:cs="Arial" w:eastAsia="Arial" w:hAnsi="Arial"/>
                <w:sz w:val="18"/>
                <w:szCs w:val="18"/>
                <w:color w:val="auto"/>
              </w:rPr>
              <w:t>By:  /s/ Arthur R. Block</w:t>
            </w:r>
          </w:p>
        </w:tc>
      </w:tr>
      <w:tr>
        <w:trPr>
          <w:trHeight w:val="195"/>
        </w:trPr>
        <w:tc>
          <w:tcPr>
            <w:tcW w:w="34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Arthur R. Block</w:t>
            </w:r>
          </w:p>
        </w:tc>
      </w:tr>
      <w:tr>
        <w:trPr>
          <w:trHeight w:val="230"/>
        </w:trPr>
        <w:tc>
          <w:tcPr>
            <w:tcW w:w="3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918"/>
        </w:trPr>
        <w:tc>
          <w:tcPr>
            <w:tcW w:w="34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2019-12-06T09:15:43Z</dcterms:created>
  <dcterms:modified xsi:type="dcterms:W3CDTF">2019-12-06T09:15:43Z</dcterms:modified>
</cp:coreProperties>
</file>