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left="34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29210</wp:posOffset>
            </wp:positionH>
            <wp:positionV relativeFrom="paragraph">
              <wp:posOffset>-222885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8"/>
        </w:trPr>
        <w:tc>
          <w:tcPr>
            <w:tcW w:w="614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41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61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4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5172075</wp:posOffset>
            </wp:positionH>
            <wp:positionV relativeFrom="paragraph">
              <wp:posOffset>-593090</wp:posOffset>
            </wp:positionV>
            <wp:extent cx="56515" cy="606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3885565</wp:posOffset>
            </wp:positionH>
            <wp:positionV relativeFrom="paragraph">
              <wp:posOffset>-593090</wp:posOffset>
            </wp:positionV>
            <wp:extent cx="56515" cy="60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-1740535</wp:posOffset>
            </wp:positionH>
            <wp:positionV relativeFrom="paragraph">
              <wp:posOffset>23495</wp:posOffset>
            </wp:positionV>
            <wp:extent cx="7049770" cy="41021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4102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80"/>
            <w:col w:w="8360"/>
          </w:cols>
          <w:pgMar w:left="460" w:top="212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Cavanagh Michael J</w:t>
        </w:r>
      </w:hyperlink>
    </w:p>
    <w:p>
      <w:pPr>
        <w:spacing w:after="0" w:line="27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(Middle)</w:t>
            </w:r>
          </w:p>
        </w:tc>
      </w:tr>
      <w:tr>
        <w:trPr>
          <w:trHeight w:val="254"/>
        </w:trPr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ONE COMCAST CENTER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5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2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PHILADELPHIA PA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19103</w:t>
            </w:r>
          </w:p>
        </w:tc>
      </w:tr>
      <w:tr>
        <w:trPr>
          <w:trHeight w:val="442"/>
        </w:trPr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 w:line="134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President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197" w:lineRule="exact"/>
        <w:rPr>
          <w:sz w:val="24"/>
          <w:szCs w:val="24"/>
          <w:color w:val="auto"/>
        </w:rPr>
      </w:pPr>
    </w:p>
    <w:p>
      <w:pPr>
        <w:ind w:left="300" w:right="48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9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9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Phantom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21,165.929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Class 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21,165.929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6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01/02/2024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43.67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426,358.252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380" w:hanging="6"/>
        <w:spacing w:after="0" w:line="269" w:lineRule="auto"/>
        <w:tabs>
          <w:tab w:leader="none" w:pos="16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share of phantom stock represents the economic equivalent to one share of Class A common stock. Phantom shares have been deferred under our deferred compensation plans, may be transferred into alternative investments under the terms of our deferred compensation plans and settle in cash.</w:t>
      </w:r>
    </w:p>
    <w:p>
      <w:pPr>
        <w:spacing w:after="0" w:line="8" w:lineRule="exact"/>
        <w:rPr>
          <w:rFonts w:ascii="Times New Roman" w:cs="Times New Roman" w:eastAsia="Times New Roman" w:hAnsi="Times New Roman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Reflects the cash settlement of shares of phantom stock on the scheduled distribution date under, and in accordance with the terms of, our deferred compensation plans.</w:t>
      </w:r>
    </w:p>
    <w:p>
      <w:pPr>
        <w:ind w:left="6600"/>
        <w:spacing w:after="0" w:line="19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Elizabeth Wideman, Attorney-in-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-25400</wp:posOffset>
            </wp:positionV>
            <wp:extent cx="1347470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4191635</wp:posOffset>
            </wp:positionH>
            <wp:positionV relativeFrom="paragraph">
              <wp:posOffset>-18415</wp:posOffset>
            </wp:positionV>
            <wp:extent cx="1511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-80645</wp:posOffset>
            </wp:positionV>
            <wp:extent cx="45910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4000" w:hanging="6"/>
        <w:spacing w:after="0" w:line="31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044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2024-01-04T15:24:44Z</dcterms:created>
  <dcterms:modified xsi:type="dcterms:W3CDTF">2024-01-04T15:24:44Z</dcterms:modified>
</cp:coreProperties>
</file>