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444500</wp:posOffset>
            </wp:positionV>
            <wp:extent cx="136334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 TRANSITION REPORT PURSUANT TO SECTION 15(d) OF THE SECURITIES EXCHANGE ACT OF 1934.</w:t>
      </w:r>
    </w:p>
    <w:p>
      <w:pPr>
        <w:spacing w:after="0" w:line="215" w:lineRule="exact"/>
        <w:rPr>
          <w:sz w:val="24"/>
          <w:szCs w:val="24"/>
          <w:color w:val="auto"/>
        </w:rPr>
      </w:pPr>
    </w:p>
    <w:p>
      <w:pPr>
        <w:spacing w:after="0"/>
        <w:tabs>
          <w:tab w:leader="none" w:pos="3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 RETIREMENT-INVESTMENT PLAN</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400" w:type="dxa"/>
            <w:vAlign w:val="bottom"/>
            <w:gridSpan w:val="7"/>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00" w:type="dxa"/>
            <w:vAlign w:val="bottom"/>
            <w:gridSpan w:val="7"/>
            <w:vMerge w:val="continue"/>
          </w:tcPr>
          <w:p>
            <w:pPr>
              <w:spacing w:after="0"/>
              <w:rPr>
                <w:sz w:val="13"/>
                <w:szCs w:val="13"/>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60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2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2014 and 2013</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2014</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140" w:type="dxa"/>
            <w:vAlign w:val="bottom"/>
            <w:gridSpan w:val="2"/>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0" w:type="dxa"/>
            <w:vAlign w:val="bottom"/>
            <w:gridSpan w:val="7"/>
          </w:tcPr>
          <w:p>
            <w:pPr>
              <w:spacing w:after="0"/>
              <w:rPr>
                <w:sz w:val="20"/>
                <w:szCs w:val="20"/>
                <w:color w:val="auto"/>
              </w:rPr>
            </w:pPr>
            <w:r>
              <w:rPr>
                <w:rFonts w:ascii="Arial" w:cs="Arial" w:eastAsia="Arial" w:hAnsi="Arial"/>
                <w:sz w:val="18"/>
                <w:szCs w:val="18"/>
                <w:color w:val="auto"/>
              </w:rPr>
              <w:t>SUPPLEMENTAL SCHEDULE:</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220" w:type="dxa"/>
            <w:vAlign w:val="bottom"/>
            <w:gridSpan w:val="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Form 5500, Schedule H—Part IV, Line 4i—Schedule of Assets (Held at End of Year) as of December 31, 2014</w:t>
              </w:r>
            </w:hyperlink>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CONSENT OF INDEPENDENT REGISTERED PUBLIC ACCOUNTING FIRM</w:t>
              </w:r>
            </w:hyperlink>
          </w:p>
        </w:tc>
        <w:tc>
          <w:tcPr>
            <w:tcW w:w="2640" w:type="dxa"/>
            <w:vAlign w:val="bottom"/>
          </w:tcPr>
          <w:p>
            <w:pPr>
              <w:spacing w:after="0"/>
              <w:rPr>
                <w:sz w:val="17"/>
                <w:szCs w:val="17"/>
                <w:color w:val="auto"/>
              </w:rPr>
            </w:pPr>
          </w:p>
        </w:tc>
        <w:tc>
          <w:tcPr>
            <w:tcW w:w="2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60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SIGNATURE</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0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Corporation Retirement-Investment Plan (the “Plan”) as of December 31, 2014 and 2013, and the related statement of changes in net assets available for benefits for the year ended December 31, 2014.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supplemental schedule of assets (held at end of year) as of December 31, 2014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80"/>
              <w:spacing w:after="0" w:line="201" w:lineRule="exact"/>
              <w:rPr>
                <w:sz w:val="20"/>
                <w:szCs w:val="20"/>
                <w:color w:val="auto"/>
              </w:rPr>
            </w:pPr>
            <w:r>
              <w:rPr>
                <w:rFonts w:ascii="Arial" w:cs="Arial" w:eastAsia="Arial" w:hAnsi="Arial"/>
                <w:sz w:val="18"/>
                <w:szCs w:val="18"/>
                <w:color w:val="auto"/>
                <w:w w:val="98"/>
              </w:rPr>
              <w:t>Plan interest in Comcast Corporation Employee Savings Plans Master Trust participant-directed</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6,317,398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5,570,632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participants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203,481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Contributions receivable from participants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receivable from employer</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100,342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receivables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303,872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6,621,270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6,612,009</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5,810,737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320"/>
        <w:spacing w:after="0" w:line="263" w:lineRule="auto"/>
        <w:rPr>
          <w:sz w:val="20"/>
          <w:szCs w:val="20"/>
          <w:color w:val="auto"/>
        </w:rPr>
      </w:pPr>
      <w:r>
        <w:rPr>
          <w:rFonts w:ascii="Arial" w:cs="Arial" w:eastAsia="Arial" w:hAnsi="Arial"/>
          <w:sz w:val="18"/>
          <w:szCs w:val="18"/>
          <w:b w:val="1"/>
          <w:bCs w:val="1"/>
          <w:u w:val="single" w:color="auto"/>
          <w:color w:val="auto"/>
        </w:rPr>
        <w:t xml:space="preserve">COMCAST CORPORATION RETIREMENT-INVESTMENT PLAN </w:t>
      </w:r>
      <w:r>
        <w:rPr>
          <w:rFonts w:ascii="Arial" w:cs="Arial" w:eastAsia="Arial" w:hAnsi="Arial"/>
          <w:sz w:val="18"/>
          <w:szCs w:val="18"/>
          <w:b w:val="1"/>
          <w:bCs w:val="1"/>
          <w:color w:val="auto"/>
        </w:rPr>
        <w:t xml:space="preserve">STATEMENT OF CHANGES IN NET ASSETS AVAILABLE FOR BENEFITS FOR THE YEAR ENDED DECEMBER 31, 2014 </w:t>
      </w:r>
      <w:r>
        <w:rPr>
          <w:rFonts w:ascii="Arial" w:cs="Arial" w:eastAsia="Arial" w:hAnsi="Arial"/>
          <w:sz w:val="18"/>
          <w:szCs w:val="18"/>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Comcast Corporation Employee Savings Plans Master Trust investment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Participant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60"/>
              <w:spacing w:after="0"/>
              <w:rPr>
                <w:sz w:val="20"/>
                <w:szCs w:val="20"/>
                <w:color w:val="auto"/>
              </w:rPr>
            </w:pPr>
            <w:r>
              <w:rPr>
                <w:rFonts w:ascii="Arial" w:cs="Arial" w:eastAsia="Arial" w:hAnsi="Arial"/>
                <w:sz w:val="18"/>
                <w:szCs w:val="18"/>
                <w:color w:val="auto"/>
              </w:rPr>
              <w:t>Rollover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540"/>
              <w:spacing w:after="0"/>
              <w:rPr>
                <w:sz w:val="20"/>
                <w:szCs w:val="20"/>
                <w:color w:val="auto"/>
              </w:rPr>
            </w:pPr>
            <w:r>
              <w:rPr>
                <w:rFonts w:ascii="Arial" w:cs="Arial" w:eastAsia="Arial" w:hAnsi="Arial"/>
                <w:sz w:val="18"/>
                <w:szCs w:val="18"/>
                <w:color w:val="auto"/>
              </w:rPr>
              <w:t>Total contributions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832,165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Interest income on notes receivable from participants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Total additions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1,234,643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to participants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Total deductions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433,371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801,272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6,612,009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60" w:type="dxa"/>
            <w:vAlign w:val="bottom"/>
            <w:gridSpan w:val="2"/>
          </w:tcPr>
          <w:p>
            <w:pPr>
              <w:jc w:val="right"/>
              <w:ind w:right="41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ind w:right="4000"/>
        <w:spacing w:after="0" w:line="492" w:lineRule="auto"/>
        <w:rPr>
          <w:sz w:val="20"/>
          <w:szCs w:val="20"/>
          <w:color w:val="auto"/>
        </w:rPr>
      </w:pPr>
      <w:r>
        <w:rPr>
          <w:rFonts w:ascii="Arial" w:cs="Arial" w:eastAsia="Arial" w:hAnsi="Arial"/>
          <w:sz w:val="18"/>
          <w:szCs w:val="18"/>
          <w:b w:val="1"/>
          <w:bCs w:val="1"/>
          <w:color w:val="auto"/>
        </w:rPr>
        <w:t>AS OF DECEMBER 31, 2014 AND 2013, AND FOR THE YEAR ENDED DECEMBER 31, 2014 1. PLAN DESCRIPTION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440" w:right="160"/>
        <w:spacing w:after="0" w:line="286" w:lineRule="auto"/>
        <w:rPr>
          <w:sz w:val="20"/>
          <w:szCs w:val="20"/>
          <w:color w:val="auto"/>
        </w:rPr>
      </w:pPr>
      <w:r>
        <w:rPr>
          <w:rFonts w:ascii="Arial" w:cs="Arial" w:eastAsia="Arial" w:hAnsi="Arial"/>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w:t>
      </w:r>
    </w:p>
    <w:p>
      <w:pPr>
        <w:spacing w:after="0" w:line="166" w:lineRule="exact"/>
        <w:rPr>
          <w:sz w:val="20"/>
          <w:szCs w:val="20"/>
          <w:color w:val="auto"/>
        </w:rPr>
      </w:pPr>
    </w:p>
    <w:p>
      <w:pPr>
        <w:jc w:val="both"/>
        <w:ind w:left="440" w:right="120"/>
        <w:spacing w:after="0" w:line="286" w:lineRule="auto"/>
        <w:rPr>
          <w:sz w:val="20"/>
          <w:szCs w:val="20"/>
          <w:color w:val="auto"/>
        </w:rPr>
      </w:pPr>
      <w:r>
        <w:rPr>
          <w:rFonts w:ascii="Arial" w:cs="Arial" w:eastAsia="Arial" w:hAnsi="Arial"/>
          <w:sz w:val="17"/>
          <w:szCs w:val="17"/>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66"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Effective September 10, 2013, the Company established, and the Plan assets were transferred into, the Comcast Corporation Employee Savings Plans Master Trust (“Master Trust”). The Master Trust allows the Company to have a unified investment line-up across its various defined contribution plans, while allowing varying provisions in plan design.</w:t>
      </w:r>
    </w:p>
    <w:p>
      <w:pPr>
        <w:spacing w:after="0" w:line="181"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Employees of the Company become eligible to participate in the Plan in the first month after completion of three months of service (or, in the case of employees of NBCUniversal Media, LLC (“NBCUniversal”) and its subsidiaries, immediately following their hire date) and are automatically enrolled in the Plan at a contribution rate equal to 3% of eligible compensation on a pre-tax basis unless they opt out of participation. Automatically-enrolled participants may thereafter increase or decrease their contribution at any time. Contribution rates for participants who were automatically enrolled on or after January 1, 2013, will increase 1% per year up to 10%, subject to certain limits imposed by the Code, unless a participant elects to opt out of the automatic increase program.</w:t>
      </w:r>
    </w:p>
    <w:p>
      <w:pPr>
        <w:sectPr>
          <w:pgSz w:w="11900" w:h="16838" w:orient="portrait"/>
          <w:cols w:equalWidth="0" w:num="1">
            <w:col w:w="11460"/>
          </w:cols>
          <w:pgMar w:left="240" w:top="125" w:right="199" w:bottom="95" w:gutter="0" w:footer="0" w:header="0"/>
        </w:sectPr>
      </w:pPr>
    </w:p>
    <w:bookmarkStart w:id="3" w:name="page4"/>
    <w:bookmarkEnd w:id="3"/>
    <w:p>
      <w:pPr>
        <w:ind w:left="440" w:right="200"/>
        <w:spacing w:after="0" w:line="257" w:lineRule="auto"/>
        <w:rPr>
          <w:sz w:val="20"/>
          <w:szCs w:val="20"/>
          <w:color w:val="auto"/>
        </w:rPr>
      </w:pPr>
      <w:r>
        <w:rPr>
          <w:rFonts w:ascii="Arial" w:cs="Arial" w:eastAsia="Arial" w:hAnsi="Arial"/>
          <w:sz w:val="18"/>
          <w:szCs w:val="18"/>
          <w:color w:val="auto"/>
        </w:rPr>
        <w:t>The maximum amount of eligible compensation that may be deferred is 50% (plus an additional 30% of eligible compensation for eligible employees aged 50 or above), subject to certain limits imposed by the Code. The Company matches 100% of the participant’s contributions up to 4.5% of the participant’s eligible compensation for such payroll period. The maximum Company matching contribution for a Plan year is $10,000 for any participant who is a Highly Compensated Employee (as defined in the Plan) and who is eligible to contribute to the Comcast Corporation 2005 Deferred Compensation Plan as of the first day of the Plan year.</w:t>
      </w:r>
    </w:p>
    <w:p>
      <w:pPr>
        <w:spacing w:after="0" w:line="188"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are also fully and immediately vested. Effective January 1, 2013, the Company also provides certain eligible NBCUniversal employees an Annual Retirement Contribution equal to 3% of eligible compensation, subject to certain limits imposed by the Code. The Company may make a contribution of up to 1% of eligible compensation on behalf of certain other non-highly compensated employees of the Company eligible to participate in the Plan. In each case, such employer contributions become vested in annual 20% increments based on years of service with the Company and its subsidiaries commencing with the attainment of 2 years of service. Rollover contributions represent participant assets transferred to the Plan from other qualified retirement plans.</w:t>
      </w:r>
    </w:p>
    <w:p>
      <w:pPr>
        <w:spacing w:after="0" w:line="189" w:lineRule="exact"/>
        <w:rPr>
          <w:sz w:val="20"/>
          <w:szCs w:val="20"/>
          <w:color w:val="auto"/>
        </w:rPr>
      </w:pPr>
    </w:p>
    <w:p>
      <w:pPr>
        <w:ind w:left="440" w:right="80"/>
        <w:spacing w:after="0" w:line="312" w:lineRule="auto"/>
        <w:rPr>
          <w:sz w:val="20"/>
          <w:szCs w:val="20"/>
          <w:color w:val="auto"/>
        </w:rPr>
      </w:pPr>
      <w:r>
        <w:rPr>
          <w:rFonts w:ascii="Arial" w:cs="Arial" w:eastAsia="Arial" w:hAnsi="Arial"/>
          <w:sz w:val="16"/>
          <w:szCs w:val="16"/>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 The participants in the Plan are assessed a $32 per year administrative fee per account.</w:t>
      </w:r>
    </w:p>
    <w:p>
      <w:pPr>
        <w:spacing w:after="0" w:line="147" w:lineRule="exact"/>
        <w:rPr>
          <w:sz w:val="20"/>
          <w:szCs w:val="20"/>
          <w:color w:val="auto"/>
        </w:rPr>
      </w:pPr>
    </w:p>
    <w:p>
      <w:pPr>
        <w:ind w:left="440" w:right="120"/>
        <w:spacing w:after="0" w:line="272" w:lineRule="auto"/>
        <w:rPr>
          <w:sz w:val="20"/>
          <w:szCs w:val="20"/>
          <w:color w:val="auto"/>
        </w:rPr>
      </w:pPr>
      <w:r>
        <w:rPr>
          <w:rFonts w:ascii="Arial" w:cs="Arial" w:eastAsia="Arial" w:hAnsi="Arial"/>
          <w:sz w:val="17"/>
          <w:szCs w:val="17"/>
          <w:color w:val="auto"/>
        </w:rPr>
        <w:t>Forfeitures, consisting of amounts contributed by the Company that are not 100%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2014 amounted to $1,283,829. Outstanding forfeitures not yet applied against Company contributions at December 31, 2014 and 2013 were $349,999 and $35,199,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80"/>
        <w:spacing w:after="0" w:line="276" w:lineRule="auto"/>
        <w:rPr>
          <w:sz w:val="20"/>
          <w:szCs w:val="20"/>
          <w:color w:val="auto"/>
        </w:rPr>
      </w:pPr>
      <w:r>
        <w:rPr>
          <w:rFonts w:ascii="Arial" w:cs="Arial" w:eastAsia="Arial" w:hAnsi="Arial"/>
          <w:sz w:val="17"/>
          <w:szCs w:val="17"/>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quarterly or monthly installments, a rollover into another qualified plan, or any combination of the foregoing.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21" w:lineRule="exact"/>
        <w:rPr>
          <w:sz w:val="20"/>
          <w:szCs w:val="20"/>
          <w:color w:val="auto"/>
        </w:rPr>
      </w:pPr>
    </w:p>
    <w:p>
      <w:pPr>
        <w:ind w:left="440" w:right="6280" w:hanging="432"/>
        <w:spacing w:after="0" w:line="503" w:lineRule="auto"/>
        <w:tabs>
          <w:tab w:leader="none" w:pos="4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Plan’s investments are stated at fair value. Fair value of a financial instrument is the price that would be received to sell an asset or paid to transfer a liability in an orderly transaction between market participants at the measurement date. The Company’s Class A and Class A Special common stock are valued at their respective closing price reported on the NASDAQ Global Select Market on the last trading day of the Plan year. Money market funds are stated at amortized cost, which approximates fair value. Shares of mutual funds, separate accounts and common collective trusts are valued at the net asset value of shares held by the Plan at year-end. The stable value fund is stated at fair value and then adjusted to contract value as described below. Fair value of the stable value fund is the net asset value of its underlying investments and contract value is principal plus accrued interest.</w:t>
      </w:r>
    </w:p>
    <w:p>
      <w:pPr>
        <w:spacing w:after="0" w:line="164" w:lineRule="exact"/>
        <w:rPr>
          <w:rFonts w:ascii="Arial" w:cs="Arial" w:eastAsia="Arial" w:hAnsi="Arial"/>
          <w:sz w:val="18"/>
          <w:szCs w:val="18"/>
          <w:b w:val="1"/>
          <w:bCs w:val="1"/>
          <w:color w:val="auto"/>
        </w:rPr>
      </w:pPr>
    </w:p>
    <w:p>
      <w:pPr>
        <w:ind w:left="44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172" w:lineRule="exact"/>
        <w:rPr>
          <w:rFonts w:ascii="Arial" w:cs="Arial" w:eastAsia="Arial" w:hAnsi="Arial"/>
          <w:sz w:val="18"/>
          <w:szCs w:val="18"/>
          <w:b w:val="1"/>
          <w:bCs w:val="1"/>
          <w:color w:val="auto"/>
        </w:rPr>
      </w:pPr>
    </w:p>
    <w:p>
      <w:pPr>
        <w:ind w:left="44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Risks and Uncertainties</w:t>
      </w:r>
    </w:p>
    <w:p>
      <w:pPr>
        <w:spacing w:after="0" w:line="225" w:lineRule="exact"/>
        <w:rPr>
          <w:rFonts w:ascii="Arial" w:cs="Arial" w:eastAsia="Arial" w:hAnsi="Arial"/>
          <w:sz w:val="18"/>
          <w:szCs w:val="18"/>
          <w:b w:val="1"/>
          <w:bCs w:val="1"/>
          <w:color w:val="auto"/>
        </w:rPr>
      </w:pPr>
    </w:p>
    <w:p>
      <w:pPr>
        <w:ind w:left="4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Use of Estimates</w:t>
      </w:r>
    </w:p>
    <w:p>
      <w:pPr>
        <w:sectPr>
          <w:pgSz w:w="11900" w:h="16838" w:orient="portrait"/>
          <w:cols w:equalWidth="0" w:num="1">
            <w:col w:w="11420"/>
          </w:cols>
          <w:pgMar w:left="240" w:top="125" w:right="239" w:bottom="100" w:gutter="0" w:footer="0" w:header="0"/>
        </w:sectPr>
      </w:pPr>
    </w:p>
    <w:bookmarkStart w:id="4" w:name="page5"/>
    <w:bookmarkEnd w:id="4"/>
    <w:p>
      <w:pPr>
        <w:ind w:left="440" w:right="60"/>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right="80"/>
        <w:spacing w:after="0" w:line="264" w:lineRule="auto"/>
        <w:rPr>
          <w:sz w:val="20"/>
          <w:szCs w:val="20"/>
          <w:color w:val="auto"/>
        </w:rPr>
      </w:pPr>
      <w:r>
        <w:rPr>
          <w:rFonts w:ascii="Arial" w:cs="Arial" w:eastAsia="Arial" w:hAnsi="Arial"/>
          <w:sz w:val="18"/>
          <w:szCs w:val="18"/>
          <w:color w:val="auto"/>
        </w:rPr>
        <w:t>In August 2014, the Financial Accounting Standards Board (“FASB”) issued Accounting Standards Update No. 2014-15 (“ASU 2014-15”) Presentation of Financial Statements — Going Concern. ASU 2014-15 provides guidance on management’s responsibility to evaluate whether there is substantial doubt about a plan sponsor’s ability to continue as a going concern 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guidance on related footnote disclosure. ASU 2014-15 is effective for annual reporting periods beginning after December 15, 2016. The Plan does not expect there to be a material impact to the Plan’s financial statements.</w:t>
      </w:r>
    </w:p>
    <w:p>
      <w:pPr>
        <w:spacing w:after="0" w:line="170"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In May 2015, the FASB issued Accounting Standards Update No. 2015-07 (“ASU 2015-07”) Disclosures for Investments in Certain Entities That Calculate Net Asset Value per Share (or Its Equivalent), which removes the requirement to categorize within the fair value hierarchy all investments for which the fair value is measured using the net asset value per share practical expedient. ASU 2015-07 also removes the requirement to make certain disclosures for all investments that are eligible to be measured at fair value using the net asset value per share practical expedient. ASU 2015-07 is effective for annual reporting periods beginning after December 15, 2015. Management is currently evaluating the impact of adopting this new accounting standards update on the Plan’s financial statements.</w:t>
      </w:r>
    </w:p>
    <w:p>
      <w:pPr>
        <w:spacing w:after="0" w:line="18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Effective September 10, 2013, Comcast established the Master Trust to manage the assets of a number of Comcast and NBCUniversal defined contribution plans. The Trustee was appointed by Comcast to hold, administer, and invest the assets of the Master Trust. The Master Trust includes the investment assets of the Plan, NBCUniversal Capital Accumulation Plan, E! Entertainment Television, LLC Profit Sharing/401(k) Savings Plan and Leisure Arts, Inc. 401(k) Savings Plan.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 within the Master Trust. In accordance with U.S. GAAP, the net change in value from participation in the Master Trust is reported as one line item in the Statement of Changes in Net Assets Available for Benefits and the Plan’s interest in the Master Trust is reported as a single line item in the Statements of Net Assets Available for Benefits.</w:t>
      </w:r>
    </w:p>
    <w:p>
      <w:pPr>
        <w:spacing w:after="0" w:line="166" w:lineRule="exact"/>
        <w:rPr>
          <w:rFonts w:ascii="Arial" w:cs="Arial" w:eastAsia="Arial" w:hAnsi="Arial"/>
          <w:sz w:val="18"/>
          <w:szCs w:val="18"/>
          <w:b w:val="1"/>
          <w:bCs w:val="1"/>
          <w:color w:val="auto"/>
        </w:rPr>
      </w:pPr>
    </w:p>
    <w:p>
      <w:pPr>
        <w:jc w:val="both"/>
        <w:ind w:left="4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rFonts w:ascii="Arial" w:cs="Arial" w:eastAsia="Arial" w:hAnsi="Arial"/>
          <w:sz w:val="18"/>
          <w:szCs w:val="18"/>
          <w:b w:val="1"/>
          <w:bCs w:val="1"/>
          <w:color w:val="auto"/>
        </w:rPr>
      </w:pPr>
    </w:p>
    <w:p>
      <w:pPr>
        <w:ind w:left="440"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Master Trust’s Net Assets, and the Plan’s divided interest in the Master Trust, as of December 31, 2014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 at fair value</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Comcast Class A</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427,850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427,850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80"/>
              <w:spacing w:after="0"/>
              <w:rPr>
                <w:sz w:val="20"/>
                <w:szCs w:val="20"/>
                <w:color w:val="auto"/>
              </w:rPr>
            </w:pPr>
            <w:r>
              <w:rPr>
                <w:rFonts w:ascii="Arial" w:cs="Arial" w:eastAsia="Arial" w:hAnsi="Arial"/>
                <w:sz w:val="18"/>
                <w:szCs w:val="18"/>
                <w:color w:val="auto"/>
              </w:rPr>
              <w:t>Comcast Class A Special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48,738</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48,738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Domestic stock funds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904,702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895,080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8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344,457</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343,134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Separate accounts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1,364,378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1,338,588</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Common collective trusts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2,782,315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2,714,970</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Comcast Stable Value Fund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551,100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547,758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6,423,540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6,316,118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1,280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NET ASSETS REFLECTING ALL ASSETS AT FAIR VALUE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6,424,820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6,317,398</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tcPr>
          <w:p>
            <w:pPr>
              <w:ind w:left="180"/>
              <w:spacing w:after="0" w:line="201" w:lineRule="exact"/>
              <w:rPr>
                <w:sz w:val="20"/>
                <w:szCs w:val="20"/>
                <w:color w:val="auto"/>
              </w:rPr>
            </w:pPr>
            <w:r>
              <w:rPr>
                <w:rFonts w:ascii="Arial" w:cs="Arial" w:eastAsia="Arial" w:hAnsi="Arial"/>
                <w:sz w:val="18"/>
                <w:szCs w:val="18"/>
                <w:color w:val="auto"/>
                <w:w w:val="95"/>
              </w:rPr>
              <w:t>Adjustment from fair value to contract value for fully benefit-responsive investment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(9,318)</w:t>
            </w: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(9,261)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80"/>
              <w:spacing w:after="0"/>
              <w:rPr>
                <w:sz w:val="20"/>
                <w:szCs w:val="20"/>
                <w:color w:val="auto"/>
              </w:rPr>
            </w:pPr>
            <w:r>
              <w:rPr>
                <w:rFonts w:ascii="Arial" w:cs="Arial" w:eastAsia="Arial" w:hAnsi="Arial"/>
                <w:sz w:val="18"/>
                <w:szCs w:val="18"/>
                <w:color w:val="auto"/>
              </w:rPr>
              <w:t>NET ASSETS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6,415,502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6,308,137</w:t>
            </w:r>
          </w:p>
        </w:tc>
        <w:tc>
          <w:tcPr>
            <w:tcW w:w="2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40" w:type="dxa"/>
            <w:vAlign w:val="bottom"/>
          </w:tcPr>
          <w:p>
            <w:pPr>
              <w:ind w:left="56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4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5" w:name="page6"/>
    <w:bookmarkEnd w:id="5"/>
    <w:p>
      <w:pPr>
        <w:spacing w:after="0" w:line="62" w:lineRule="exact"/>
        <w:rPr>
          <w:sz w:val="20"/>
          <w:szCs w:val="20"/>
          <w:color w:val="auto"/>
        </w:rPr>
      </w:pPr>
    </w:p>
    <w:p>
      <w:pPr>
        <w:ind w:left="440" w:right="820"/>
        <w:spacing w:after="0" w:line="277" w:lineRule="auto"/>
        <w:rPr>
          <w:sz w:val="20"/>
          <w:szCs w:val="20"/>
          <w:color w:val="auto"/>
        </w:rPr>
      </w:pPr>
      <w:r>
        <w:rPr>
          <w:rFonts w:ascii="Arial" w:cs="Arial" w:eastAsia="Arial" w:hAnsi="Arial"/>
          <w:sz w:val="18"/>
          <w:szCs w:val="18"/>
          <w:color w:val="auto"/>
        </w:rPr>
        <w:t>The following is a summary of the Master Trust’s Net Assets, and the Plan’s divided interest in the Master Trust, as of December 31,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 at fair value</w:t>
            </w: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Comcast Class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387,909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387,909</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Comcast Class A Special</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45,619</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45,619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Domestic stock funds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755,195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746,892</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6200" w:type="dxa"/>
            <w:vAlign w:val="bottom"/>
          </w:tcPr>
          <w:p>
            <w:pPr>
              <w:ind w:left="380"/>
              <w:spacing w:after="0"/>
              <w:rPr>
                <w:sz w:val="20"/>
                <w:szCs w:val="20"/>
                <w:color w:val="auto"/>
              </w:rPr>
            </w:pPr>
            <w:r>
              <w:rPr>
                <w:rFonts w:ascii="Arial" w:cs="Arial" w:eastAsia="Arial" w:hAnsi="Arial"/>
                <w:sz w:val="18"/>
                <w:szCs w:val="18"/>
                <w:color w:val="auto"/>
              </w:rPr>
              <w:t>International stock funds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325,068</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322,648</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Separate accounts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1,310,211</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1,287,076</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Common collective trusts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2,268,719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2,214,069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Comcast Stable Value Fund</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568,168</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564,939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5,660,889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5,569,152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1,480</w:t>
            </w: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1,480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ASSETS REFLECTING ALL ASSETS AT FAIR VALUE</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5,662,369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5,570,632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18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investment contracts</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(10,683)</w:t>
            </w:r>
          </w:p>
        </w:tc>
        <w:tc>
          <w:tcPr>
            <w:tcW w:w="32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(10,622)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0"/>
              <w:spacing w:after="0"/>
              <w:rPr>
                <w:sz w:val="20"/>
                <w:szCs w:val="20"/>
                <w:color w:val="auto"/>
              </w:rPr>
            </w:pPr>
            <w:r>
              <w:rPr>
                <w:rFonts w:ascii="Arial" w:cs="Arial" w:eastAsia="Arial" w:hAnsi="Arial"/>
                <w:sz w:val="18"/>
                <w:szCs w:val="18"/>
                <w:color w:val="auto"/>
              </w:rPr>
              <w:t>NET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5,651,686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5,560,010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During 2014, the Master Trust’s investments (including investments purchased and sold, as well as held during the year) appreciated (depreciated)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(depreciation) in fair value of investments: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480" w:type="dxa"/>
            <w:vAlign w:val="bottom"/>
          </w:tcPr>
          <w:p>
            <w:pPr>
              <w:ind w:left="200"/>
              <w:spacing w:after="0"/>
              <w:rPr>
                <w:sz w:val="20"/>
                <w:szCs w:val="20"/>
                <w:color w:val="auto"/>
              </w:rPr>
            </w:pPr>
            <w:r>
              <w:rPr>
                <w:rFonts w:ascii="Arial" w:cs="Arial" w:eastAsia="Arial" w:hAnsi="Arial"/>
                <w:sz w:val="18"/>
                <w:szCs w:val="18"/>
                <w:color w:val="auto"/>
              </w:rPr>
              <w:t>Common collective trusts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174,253</w:t>
            </w:r>
          </w:p>
        </w:tc>
        <w:tc>
          <w:tcPr>
            <w:tcW w:w="80" w:type="dxa"/>
            <w:vAlign w:val="bottom"/>
          </w:tcPr>
          <w:p>
            <w:pPr>
              <w:spacing w:after="0"/>
              <w:rPr>
                <w:sz w:val="18"/>
                <w:szCs w:val="18"/>
                <w:color w:val="auto"/>
              </w:rPr>
            </w:pPr>
          </w:p>
        </w:tc>
      </w:tr>
      <w:tr>
        <w:trPr>
          <w:trHeight w:val="216"/>
        </w:trPr>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Separate accounts</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84,183</w:t>
            </w:r>
          </w:p>
        </w:tc>
      </w:tr>
      <w:tr>
        <w:trPr>
          <w:trHeight w:val="216"/>
        </w:trPr>
        <w:tc>
          <w:tcPr>
            <w:tcW w:w="9480" w:type="dxa"/>
            <w:vAlign w:val="bottom"/>
          </w:tcPr>
          <w:p>
            <w:pPr>
              <w:ind w:left="200"/>
              <w:spacing w:after="0"/>
              <w:rPr>
                <w:sz w:val="20"/>
                <w:szCs w:val="20"/>
                <w:color w:val="auto"/>
              </w:rPr>
            </w:pPr>
            <w:r>
              <w:rPr>
                <w:rFonts w:ascii="Arial" w:cs="Arial" w:eastAsia="Arial" w:hAnsi="Arial"/>
                <w:sz w:val="18"/>
                <w:szCs w:val="18"/>
                <w:color w:val="auto"/>
              </w:rPr>
              <w:t>Domestic stock funds</w:t>
            </w:r>
          </w:p>
        </w:tc>
        <w:tc>
          <w:tcPr>
            <w:tcW w:w="4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77,316</w:t>
            </w:r>
          </w:p>
        </w:tc>
      </w:tr>
      <w:tr>
        <w:trPr>
          <w:trHeight w:val="216"/>
        </w:trPr>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stock funds</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(30,667)</w:t>
            </w:r>
          </w:p>
        </w:tc>
      </w:tr>
      <w:tr>
        <w:trPr>
          <w:trHeight w:val="216"/>
        </w:trPr>
        <w:tc>
          <w:tcPr>
            <w:tcW w:w="9480" w:type="dxa"/>
            <w:vAlign w:val="bottom"/>
          </w:tcPr>
          <w:p>
            <w:pPr>
              <w:ind w:left="200"/>
              <w:spacing w:after="0"/>
              <w:rPr>
                <w:sz w:val="20"/>
                <w:szCs w:val="20"/>
                <w:color w:val="auto"/>
              </w:rPr>
            </w:pPr>
            <w:r>
              <w:rPr>
                <w:rFonts w:ascii="Arial" w:cs="Arial" w:eastAsia="Arial" w:hAnsi="Arial"/>
                <w:sz w:val="18"/>
                <w:szCs w:val="18"/>
                <w:color w:val="auto"/>
              </w:rPr>
              <w:t>Comcast Class A</w:t>
            </w:r>
          </w:p>
        </w:tc>
        <w:tc>
          <w:tcPr>
            <w:tcW w:w="4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45,725</w:t>
            </w:r>
          </w:p>
        </w:tc>
      </w:tr>
      <w:tr>
        <w:trPr>
          <w:trHeight w:val="216"/>
        </w:trPr>
        <w:tc>
          <w:tcPr>
            <w:tcW w:w="9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Comcast Class A Special</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6,689</w:t>
            </w:r>
          </w:p>
        </w:tc>
        <w:tc>
          <w:tcPr>
            <w:tcW w:w="80" w:type="dxa"/>
            <w:vAlign w:val="bottom"/>
            <w:shd w:val="clear" w:color="auto" w:fill="CCEEFF"/>
          </w:tcPr>
          <w:p>
            <w:pPr>
              <w:spacing w:after="0"/>
              <w:rPr>
                <w:sz w:val="18"/>
                <w:szCs w:val="18"/>
                <w:color w:val="auto"/>
              </w:rPr>
            </w:pPr>
          </w:p>
        </w:tc>
      </w:tr>
      <w:tr>
        <w:trPr>
          <w:trHeight w:val="210"/>
        </w:trPr>
        <w:tc>
          <w:tcPr>
            <w:tcW w:w="9480" w:type="dxa"/>
            <w:vAlign w:val="bottom"/>
          </w:tcPr>
          <w:p>
            <w:pPr>
              <w:ind w:left="380"/>
              <w:spacing w:after="0"/>
              <w:rPr>
                <w:sz w:val="20"/>
                <w:szCs w:val="20"/>
                <w:color w:val="auto"/>
              </w:rPr>
            </w:pPr>
            <w:r>
              <w:rPr>
                <w:rFonts w:ascii="Arial" w:cs="Arial" w:eastAsia="Arial" w:hAnsi="Arial"/>
                <w:sz w:val="18"/>
                <w:szCs w:val="18"/>
                <w:color w:val="auto"/>
              </w:rPr>
              <w:t>Net appreciation in fair value of investments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357,499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are the changes in net assets for the Master Trust as well as for the Plan’s interest in the Master Trust for 2014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Master Trust investment income:</w:t>
            </w: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5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Dividends</w:t>
            </w: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5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401,533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Transfers in</w:t>
            </w: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907,154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Transfers out</w:t>
            </w: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544,871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in net assets</w:t>
            </w: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763,816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ASSETS:</w:t>
            </w:r>
          </w:p>
        </w:tc>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5,651,686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 of year</w:t>
            </w:r>
          </w:p>
        </w:tc>
        <w:tc>
          <w:tcPr>
            <w:tcW w:w="5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6,415,502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Plan’s interest in Master Trust net investment income</w:t>
            </w:r>
          </w:p>
        </w:tc>
        <w:tc>
          <w:tcPr>
            <w:tcW w:w="5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394,516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20" w:type="dxa"/>
            <w:vAlign w:val="bottom"/>
          </w:tcPr>
          <w:p>
            <w:pPr>
              <w:jc w:val="right"/>
              <w:ind w:right="411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20" w:type="dxa"/>
            <w:vAlign w:val="bottom"/>
            <w:tcBorders>
              <w:bottom w:val="single" w:sz="8" w:color="808080"/>
            </w:tcBorders>
          </w:tcPr>
          <w:p>
            <w:pPr>
              <w:spacing w:after="0"/>
              <w:rPr>
                <w:sz w:val="11"/>
                <w:szCs w:val="11"/>
                <w:color w:val="auto"/>
              </w:rPr>
            </w:pPr>
          </w:p>
        </w:tc>
        <w:tc>
          <w:tcPr>
            <w:tcW w:w="5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sets forth the fair market value of the Plan’s investments in the Master Trust representing 5% or more of the Plan’s net assets and the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Plan’s share of those investments in the Master Trust as of December 31, 2014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Plan</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Spartan 500 Index Fund—Fidelity Advantage Institutional Class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662,476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Spartan International Index Fund—Fidelity Advantage Inst Class</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344,457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343,134</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2025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359,850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351,815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Vanguard Target 2030</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396,447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387,307</w:t>
            </w:r>
          </w:p>
        </w:tc>
      </w:tr>
      <w:tr>
        <w:trPr>
          <w:trHeight w:val="151"/>
        </w:trPr>
        <w:tc>
          <w:tcPr>
            <w:tcW w:w="8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2035</w:t>
            </w:r>
          </w:p>
        </w:tc>
        <w:tc>
          <w:tcPr>
            <w:tcW w:w="4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427,086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417,058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Vanguard Target 2040</w:t>
            </w:r>
          </w:p>
        </w:tc>
        <w:tc>
          <w:tcPr>
            <w:tcW w:w="4440" w:type="dxa"/>
            <w:vAlign w:val="bottom"/>
          </w:tcPr>
          <w:p>
            <w:pPr>
              <w:jc w:val="right"/>
              <w:ind w:right="430"/>
              <w:spacing w:after="0"/>
              <w:rPr>
                <w:sz w:val="20"/>
                <w:szCs w:val="20"/>
                <w:color w:val="auto"/>
              </w:rPr>
            </w:pPr>
            <w:r>
              <w:rPr>
                <w:rFonts w:ascii="Arial" w:cs="Arial" w:eastAsia="Arial" w:hAnsi="Arial"/>
                <w:sz w:val="18"/>
                <w:szCs w:val="18"/>
                <w:color w:val="auto"/>
              </w:rPr>
              <w:t>383,638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372,087</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Large Cap Stock Fund</w:t>
            </w:r>
          </w:p>
        </w:tc>
        <w:tc>
          <w:tcPr>
            <w:tcW w:w="4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714,115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698,497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Comcast Class A Common Stock</w:t>
            </w:r>
          </w:p>
        </w:tc>
        <w:tc>
          <w:tcPr>
            <w:tcW w:w="4440" w:type="dxa"/>
            <w:vAlign w:val="bottom"/>
          </w:tcPr>
          <w:p>
            <w:pPr>
              <w:jc w:val="right"/>
              <w:ind w:right="430"/>
              <w:spacing w:after="0"/>
              <w:rPr>
                <w:sz w:val="20"/>
                <w:szCs w:val="20"/>
                <w:color w:val="auto"/>
              </w:rPr>
            </w:pPr>
            <w:r>
              <w:rPr>
                <w:rFonts w:ascii="Arial" w:cs="Arial" w:eastAsia="Arial" w:hAnsi="Arial"/>
                <w:sz w:val="18"/>
                <w:szCs w:val="18"/>
                <w:color w:val="auto"/>
              </w:rPr>
              <w:t>427,850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427,850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4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551,100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547,758</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sets forth the fair market value of the Plan’s investments in the Master Trust representing 5% or more of the Plan’s net assets and the</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Plan’s share of those investments in the Master Trust as of December 31, 2013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Plan</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Spartan 500 Index Fund—Fidelity Advantage Institutional Class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535,856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Spartan International Index Fund—Fidelity Advantage Inst Class</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323,993</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322,649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2025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308,522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302,247</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Vanguard Target 2030</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332,945</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325,147</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Vanguard Target 2035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351,738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343,038</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Vanguard Target 2040</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310,056</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300,685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Large Cap Stock Fund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648,080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633,845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Comcast Class A Common Stock</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387,909</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387,909</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568,168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564,939</w:t>
            </w:r>
          </w:p>
        </w:tc>
      </w:tr>
    </w:tbl>
    <w:p>
      <w:pPr>
        <w:spacing w:after="0" w:line="202"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During 2014, the Plan’s investments, including investments purchased and sold, as well as held during the year, appreciated (depreciated) in fair value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5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Total common stock</w:t>
            </w:r>
          </w:p>
        </w:tc>
        <w:tc>
          <w:tcPr>
            <w:tcW w:w="5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Mutual funds</w:t>
            </w:r>
          </w:p>
        </w:tc>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stock funds</w:t>
            </w: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International stock funds</w:t>
            </w:r>
          </w:p>
        </w:tc>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mutual funds</w:t>
            </w:r>
          </w:p>
        </w:tc>
        <w:tc>
          <w:tcPr>
            <w:tcW w:w="5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accounts</w:t>
            </w: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5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appreciation in fair value of investments</w:t>
            </w:r>
          </w:p>
        </w:tc>
        <w:tc>
          <w:tcPr>
            <w:tcW w:w="5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4110"/>
              <w:spacing w:after="0"/>
              <w:rPr>
                <w:sz w:val="20"/>
                <w:szCs w:val="20"/>
                <w:color w:val="auto"/>
              </w:rPr>
            </w:pPr>
            <w:r>
              <w:rPr>
                <w:rFonts w:ascii="Arial" w:cs="Arial" w:eastAsia="Arial" w:hAnsi="Arial"/>
                <w:sz w:val="18"/>
                <w:szCs w:val="18"/>
                <w:color w:val="auto"/>
              </w:rPr>
              <w:t>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STABLE VALUE FUND</w:t>
      </w:r>
    </w:p>
    <w:p>
      <w:pPr>
        <w:spacing w:after="0" w:line="229" w:lineRule="exact"/>
        <w:rPr>
          <w:rFonts w:ascii="Arial" w:cs="Arial" w:eastAsia="Arial" w:hAnsi="Arial"/>
          <w:sz w:val="18"/>
          <w:szCs w:val="18"/>
          <w:b w:val="1"/>
          <w:bCs w:val="1"/>
          <w:color w:val="auto"/>
        </w:rPr>
      </w:pPr>
    </w:p>
    <w:p>
      <w:pPr>
        <w:ind w:left="44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6" w:lineRule="exact"/>
        <w:rPr>
          <w:rFonts w:ascii="Arial" w:cs="Arial" w:eastAsia="Arial" w:hAnsi="Arial"/>
          <w:sz w:val="18"/>
          <w:szCs w:val="18"/>
          <w:b w:val="1"/>
          <w:bCs w:val="1"/>
          <w:color w:val="auto"/>
        </w:rPr>
      </w:pPr>
    </w:p>
    <w:p>
      <w:pPr>
        <w:ind w:left="44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average yield of investment contracts held as of both December 31, 2014 and 2013 was 1.64%. When adjusted to reflect the actual interest credited to the Plan, the average yield of investment contracts held as of December 31, 2014 and 2013 was 1.56% and 1.46%, respectively.</w:t>
      </w:r>
    </w:p>
    <w:p>
      <w:pPr>
        <w:spacing w:after="0" w:line="146" w:lineRule="exact"/>
        <w:rPr>
          <w:rFonts w:ascii="Arial" w:cs="Arial" w:eastAsia="Arial" w:hAnsi="Arial"/>
          <w:sz w:val="18"/>
          <w:szCs w:val="18"/>
          <w:b w:val="1"/>
          <w:bCs w:val="1"/>
          <w:color w:val="auto"/>
        </w:rPr>
      </w:pPr>
    </w:p>
    <w:p>
      <w:pPr>
        <w:ind w:left="44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 (in thousands):</w:t>
      </w:r>
    </w:p>
    <w:p>
      <w:pPr>
        <w:spacing w:after="0" w:line="15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Credit Rating</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 Boston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(2,411)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JP Morgan Chase</w:t>
            </w: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America</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Bank of Tokyo — Mitsubishi</w:t>
            </w:r>
          </w:p>
        </w:tc>
        <w:tc>
          <w:tcPr>
            <w:tcW w:w="1360" w:type="dxa"/>
            <w:vAlign w:val="bottom"/>
          </w:tcPr>
          <w:p>
            <w:pPr>
              <w:jc w:val="center"/>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(2,097)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American General Life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(1,551)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(9,261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ASC 820</w:t>
      </w:r>
      <w:r>
        <w:rPr>
          <w:rFonts w:ascii="Arial" w:cs="Arial" w:eastAsia="Arial" w:hAnsi="Arial"/>
          <w:sz w:val="18"/>
          <w:szCs w:val="18"/>
          <w:i w:val="1"/>
          <w:iCs w:val="1"/>
          <w:color w:val="auto"/>
        </w:rPr>
        <w:t>, 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ectPr>
          <w:pgSz w:w="11900" w:h="16838" w:orient="portrait"/>
          <w:cols w:equalWidth="0" w:num="1">
            <w:col w:w="11460"/>
          </w:cols>
          <w:pgMar w:left="240" w:top="140" w:right="199" w:bottom="0" w:gutter="0" w:footer="0" w:header="0"/>
        </w:sectPr>
      </w:pPr>
    </w:p>
    <w:bookmarkStart w:id="7" w:name="page8"/>
    <w:bookmarkEnd w:id="7"/>
    <w:p>
      <w:pPr>
        <w:ind w:left="44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Consists of financial instruments whose values are based on quoted market prices for identical financial instruments in an active market.</w:t>
      </w:r>
    </w:p>
    <w:p>
      <w:pPr>
        <w:spacing w:after="0" w:line="170" w:lineRule="exact"/>
        <w:rPr>
          <w:sz w:val="20"/>
          <w:szCs w:val="20"/>
          <w:color w:val="auto"/>
        </w:rPr>
      </w:pPr>
    </w:p>
    <w:p>
      <w:pPr>
        <w:sectPr>
          <w:pgSz w:w="11900" w:h="16838" w:orient="portrait"/>
          <w:cols w:equalWidth="0" w:num="2">
            <w:col w:w="1000" w:space="660"/>
            <w:col w:w="9760"/>
          </w:cols>
          <w:pgMar w:left="240" w:top="125" w:right="239" w:bottom="0" w:gutter="0" w:footer="0" w:header="0"/>
        </w:sectPr>
      </w:pPr>
    </w:p>
    <w:p>
      <w:pPr>
        <w:ind w:left="44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ind w:right="420"/>
        <w:spacing w:after="0" w:line="277" w:lineRule="auto"/>
        <w:rPr>
          <w:sz w:val="20"/>
          <w:szCs w:val="20"/>
          <w:color w:val="auto"/>
        </w:rPr>
      </w:pP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170" w:lineRule="exact"/>
        <w:rPr>
          <w:sz w:val="20"/>
          <w:szCs w:val="20"/>
          <w:color w:val="auto"/>
        </w:rPr>
      </w:pPr>
    </w:p>
    <w:p>
      <w:pPr>
        <w:sectPr>
          <w:pgSz w:w="11900" w:h="16838" w:orient="portrait"/>
          <w:cols w:equalWidth="0" w:num="2">
            <w:col w:w="1000" w:space="660"/>
            <w:col w:w="9760"/>
          </w:cols>
          <w:pgMar w:left="240" w:top="125" w:right="239" w:bottom="0" w:gutter="0" w:footer="0" w:header="0"/>
          <w:type w:val="continuous"/>
        </w:sectPr>
      </w:pPr>
    </w:p>
    <w:p>
      <w:pPr>
        <w:ind w:left="1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Quoted prices for similar assets or liabilities in active markets;</w:t>
      </w:r>
    </w:p>
    <w:p>
      <w:pPr>
        <w:spacing w:after="0" w:line="200" w:lineRule="exact"/>
        <w:rPr>
          <w:sz w:val="20"/>
          <w:szCs w:val="20"/>
          <w:color w:val="auto"/>
        </w:rPr>
      </w:pPr>
    </w:p>
    <w:p>
      <w:pPr>
        <w:sectPr>
          <w:pgSz w:w="11900" w:h="16838" w:orient="portrait"/>
          <w:cols w:equalWidth="0" w:num="2">
            <w:col w:w="1700" w:space="260"/>
            <w:col w:w="9460"/>
          </w:cols>
          <w:pgMar w:left="240" w:top="125" w:right="239" w:bottom="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Quoted prices for identical or similar assets or liabilities in markets that are not active;</w:t>
      </w:r>
    </w:p>
    <w:p>
      <w:pPr>
        <w:spacing w:after="0" w:line="200" w:lineRule="exact"/>
        <w:rPr>
          <w:sz w:val="20"/>
          <w:szCs w:val="20"/>
          <w:color w:val="auto"/>
        </w:rPr>
      </w:pPr>
    </w:p>
    <w:p>
      <w:pPr>
        <w:sectPr>
          <w:pgSz w:w="11900" w:h="16838" w:orient="portrait"/>
          <w:cols w:equalWidth="0" w:num="2">
            <w:col w:w="1700" w:space="260"/>
            <w:col w:w="9460"/>
          </w:cols>
          <w:pgMar w:left="240" w:top="125" w:right="239" w:bottom="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Pricing models whose inputs are observable for substantially the full term of the financial instrument; and</w:t>
      </w:r>
    </w:p>
    <w:p>
      <w:pPr>
        <w:spacing w:after="0" w:line="200" w:lineRule="exact"/>
        <w:rPr>
          <w:sz w:val="20"/>
          <w:szCs w:val="20"/>
          <w:color w:val="auto"/>
        </w:rPr>
      </w:pPr>
    </w:p>
    <w:p>
      <w:pPr>
        <w:sectPr>
          <w:pgSz w:w="11900" w:h="16838" w:orient="portrait"/>
          <w:cols w:equalWidth="0" w:num="2">
            <w:col w:w="1700" w:space="260"/>
            <w:col w:w="9460"/>
          </w:cols>
          <w:pgMar w:left="240" w:top="125" w:right="239" w:bottom="0" w:gutter="0" w:footer="0" w:header="0"/>
          <w:type w:val="continuous"/>
        </w:sectPr>
      </w:pPr>
    </w:p>
    <w:p>
      <w:pPr>
        <w:spacing w:after="0" w:line="48"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hanging="35"/>
        <w:spacing w:after="0" w:line="277" w:lineRule="auto"/>
        <w:rPr>
          <w:sz w:val="20"/>
          <w:szCs w:val="20"/>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sectPr>
          <w:pgSz w:w="11900" w:h="16838" w:orient="portrait"/>
          <w:cols w:equalWidth="0" w:num="2">
            <w:col w:w="1700" w:space="280"/>
            <w:col w:w="9440"/>
          </w:cols>
          <w:pgMar w:left="240" w:top="125" w:right="239" w:bottom="0" w:gutter="0" w:footer="0" w:header="0"/>
          <w:type w:val="continuous"/>
        </w:sectPr>
      </w:pPr>
    </w:p>
    <w:p>
      <w:pPr>
        <w:ind w:left="44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right="260"/>
        <w:spacing w:after="0" w:line="264" w:lineRule="auto"/>
        <w:rPr>
          <w:sz w:val="20"/>
          <w:szCs w:val="20"/>
          <w:color w:val="auto"/>
        </w:rPr>
      </w:pP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sectPr>
          <w:pgSz w:w="11900" w:h="16838" w:orient="portrait"/>
          <w:cols w:equalWidth="0" w:num="2">
            <w:col w:w="1000" w:space="660"/>
            <w:col w:w="9760"/>
          </w:cols>
          <w:pgMar w:left="240" w:top="125" w:right="239" w:bottom="0" w:gutter="0" w:footer="0" w:header="0"/>
          <w:type w:val="continuous"/>
        </w:sect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120"/>
        <w:spacing w:after="0" w:line="277" w:lineRule="auto"/>
        <w:rPr>
          <w:sz w:val="20"/>
          <w:szCs w:val="20"/>
          <w:color w:val="auto"/>
        </w:rPr>
      </w:pPr>
      <w:r>
        <w:rPr>
          <w:rFonts w:ascii="Arial" w:cs="Arial" w:eastAsia="Arial" w:hAnsi="Arial"/>
          <w:sz w:val="18"/>
          <w:szCs w:val="18"/>
          <w:color w:val="auto"/>
        </w:rPr>
        <w:t>Mutual funds, separate accounts and common collective trusts: Valued at the net asset value of shares held by the Plan at year end. The net asset value as provided by the Trustee for the separate accounts and common collective trust funds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used as a practical expedient to estimate fair value. The mutual funds held by the Plan are classified as Level 1 investments as their investment values are based on quoted market prices for identical financial instruments in an active market. The separate accounts and common collective trusts held by the Plan are classified as Level 2 investments as their investment values are based on quoted prices for identical or similar assets in markets that are not active.</w:t>
      </w:r>
    </w:p>
    <w:p>
      <w:pPr>
        <w:spacing w:after="0" w:line="187" w:lineRule="exact"/>
        <w:rPr>
          <w:sz w:val="20"/>
          <w:szCs w:val="20"/>
          <w:color w:val="auto"/>
        </w:rPr>
      </w:pPr>
    </w:p>
    <w:p>
      <w:pPr>
        <w:ind w:left="880" w:right="640"/>
        <w:spacing w:after="0" w:line="277" w:lineRule="auto"/>
        <w:rPr>
          <w:sz w:val="20"/>
          <w:szCs w:val="20"/>
          <w:color w:val="auto"/>
        </w:rPr>
      </w:pPr>
      <w:r>
        <w:rPr>
          <w:rFonts w:ascii="Arial" w:cs="Arial" w:eastAsia="Arial" w:hAnsi="Arial"/>
          <w:sz w:val="18"/>
          <w:szCs w:val="18"/>
          <w:color w:val="auto"/>
        </w:rPr>
        <w:t>Common stocks: Valued at the closing price reported on the last trading day of the Plan year on the active market on which the individual securities are traded, and accordingly, are classified as Level 1 investments.</w:t>
      </w:r>
    </w:p>
    <w:p>
      <w:pPr>
        <w:spacing w:after="0" w:line="170" w:lineRule="exact"/>
        <w:rPr>
          <w:sz w:val="20"/>
          <w:szCs w:val="20"/>
          <w:color w:val="auto"/>
        </w:rPr>
      </w:pPr>
    </w:p>
    <w:p>
      <w:pPr>
        <w:ind w:left="880" w:right="260"/>
        <w:spacing w:after="0" w:line="259"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 The guaranteed investment contracts held by the Plan are classified as Level 2 investments as their investment values are based on a pricing model whose inputs are derived principally from or corroborated by observable market data.</w:t>
      </w:r>
    </w:p>
    <w:p>
      <w:pPr>
        <w:spacing w:after="0" w:line="187"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2014 and 2013.</w:t>
      </w:r>
    </w:p>
    <w:p>
      <w:pPr>
        <w:spacing w:after="0" w:line="171"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2014 and 2013, there were no transfers between levels.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2014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Level 3</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427,850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48,738</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Domestic stock funds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904,702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904,702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stock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344,457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2,782,315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551,100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1,725,747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4,697,793</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2013 (in thousands):</w:t>
      </w:r>
    </w:p>
    <w:p>
      <w:pPr>
        <w:sectPr>
          <w:pgSz w:w="11900" w:h="16838" w:orient="portrait"/>
          <w:cols w:equalWidth="0" w:num="1">
            <w:col w:w="11420"/>
          </w:cols>
          <w:pgMar w:left="240" w:top="125"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Level 3</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387,909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387,909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45,619</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Domestic stock funds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755,195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755,195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stock funds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1,310,211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2,268,719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568,168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1,513,791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4,147,098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5,660,889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w:t>
      </w:r>
    </w:p>
    <w:p>
      <w:pPr>
        <w:spacing w:after="0" w:line="172"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 initiated payments. Interest rates ranged from 4.25% to 9.00% as of December 31, 2014. Maturities on outstanding loans ranged from 2015 to 2038 as of December 31, 2014. Loan transactions are treated as a transfer between the investment fund and notes receivable from participants.</w:t>
      </w:r>
    </w:p>
    <w:p>
      <w:pPr>
        <w:spacing w:after="0" w:line="146" w:lineRule="exact"/>
        <w:rPr>
          <w:rFonts w:ascii="Arial" w:cs="Arial" w:eastAsia="Arial" w:hAnsi="Arial"/>
          <w:sz w:val="18"/>
          <w:szCs w:val="18"/>
          <w:b w:val="1"/>
          <w:bCs w:val="1"/>
          <w:color w:val="auto"/>
        </w:rPr>
      </w:pP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rFonts w:ascii="Arial" w:cs="Arial" w:eastAsia="Arial" w:hAnsi="Arial"/>
          <w:sz w:val="18"/>
          <w:szCs w:val="18"/>
          <w:b w:val="1"/>
          <w:bCs w:val="1"/>
          <w:color w:val="auto"/>
        </w:rPr>
      </w:pPr>
    </w:p>
    <w:p>
      <w:pPr>
        <w:ind w:left="4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2"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2014 and 2013 and the increase in net assets available for benefits per the financial statements to the net income per the Form 5500 for the year ended December 31, 2014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6,612,009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6,621,270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5,810,737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5,821,359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801,272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contracts—December 31, 2013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8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60" w:type="dxa"/>
            <w:vAlign w:val="bottom"/>
            <w:tcBorders>
              <w:top w:val="single" w:sz="8" w:color="CCEEFF"/>
              <w:bottom w:val="single" w:sz="8" w:color="CCEEFF"/>
            </w:tcBorders>
            <w:vMerge w:val="restart"/>
          </w:tcPr>
          <w:p>
            <w:pPr>
              <w:jc w:val="right"/>
              <w:ind w:right="3090"/>
              <w:spacing w:after="0"/>
              <w:rPr>
                <w:sz w:val="20"/>
                <w:szCs w:val="20"/>
                <w:color w:val="auto"/>
              </w:rPr>
            </w:pPr>
            <w:r>
              <w:rPr>
                <w:rFonts w:ascii="Arial" w:cs="Arial" w:eastAsia="Arial" w:hAnsi="Arial"/>
                <w:sz w:val="18"/>
                <w:szCs w:val="18"/>
                <w:color w:val="auto"/>
              </w:rPr>
              <w:t>11</w:t>
            </w: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continue"/>
          </w:tcPr>
          <w:p>
            <w:pPr>
              <w:spacing w:after="0"/>
              <w:rPr>
                <w:sz w:val="24"/>
                <w:szCs w:val="24"/>
                <w:color w:val="auto"/>
              </w:rPr>
            </w:pPr>
          </w:p>
        </w:tc>
        <w:tc>
          <w:tcPr>
            <w:tcW w:w="89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9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ectPr>
          <w:pgSz w:w="11900" w:h="16838" w:orient="portrait"/>
          <w:cols w:equalWidth="0" w:num="1">
            <w:col w:w="11460"/>
          </w:cols>
          <w:pgMar w:left="240" w:top="118" w:right="199" w:bottom="117" w:gutter="0" w:footer="0" w:header="0"/>
        </w:sectPr>
      </w:pPr>
    </w:p>
    <w:bookmarkStart w:id="9" w:name="page10"/>
    <w:bookmarkEnd w:id="9"/>
    <w:p>
      <w:pPr>
        <w:ind w:left="440" w:right="320"/>
        <w:spacing w:after="0" w:line="308" w:lineRule="auto"/>
        <w:rPr>
          <w:sz w:val="20"/>
          <w:szCs w:val="20"/>
          <w:color w:val="auto"/>
        </w:rPr>
      </w:pPr>
      <w:r>
        <w:rPr>
          <w:rFonts w:ascii="Arial" w:cs="Arial" w:eastAsia="Arial" w:hAnsi="Arial"/>
          <w:sz w:val="17"/>
          <w:szCs w:val="17"/>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4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allows for transactions with certain parties who may perform services or have fiduciary responsibilities to the Plan, including the Company. Certain Plan investments are shares of various mutual funds that are owned and managed by the Trustee, who has been designated investment manager. The Plan invests in common stock of the Company and issues loans to participants, which are secured by the vested balances in the participants’ accounts.</w:t>
      </w:r>
    </w:p>
    <w:p>
      <w:pPr>
        <w:spacing w:after="0" w:line="186" w:lineRule="exact"/>
        <w:rPr>
          <w:rFonts w:ascii="Arial" w:cs="Arial" w:eastAsia="Arial" w:hAnsi="Arial"/>
          <w:sz w:val="18"/>
          <w:szCs w:val="18"/>
          <w:b w:val="1"/>
          <w:bCs w:val="1"/>
          <w:color w:val="auto"/>
        </w:rPr>
      </w:pP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cash management trust primarily consists of a cash account that is used to facilitate the Trustee in purchasing shares of the Company’s common stock. These transactions qualify as party-in-interest transactions.</w:t>
      </w:r>
    </w:p>
    <w:p>
      <w:pPr>
        <w:spacing w:after="0" w:line="166" w:lineRule="exact"/>
        <w:rPr>
          <w:rFonts w:ascii="Arial" w:cs="Arial" w:eastAsia="Arial" w:hAnsi="Arial"/>
          <w:sz w:val="18"/>
          <w:szCs w:val="18"/>
          <w:b w:val="1"/>
          <w:bCs w:val="1"/>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19" w:lineRule="exact"/>
        <w:rPr>
          <w:rFonts w:ascii="Arial" w:cs="Arial" w:eastAsia="Arial" w:hAnsi="Arial"/>
          <w:sz w:val="18"/>
          <w:szCs w:val="18"/>
          <w:b w:val="1"/>
          <w:bCs w:val="1"/>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hanging="441"/>
        <w:spacing w:after="0" w:line="257" w:lineRule="auto"/>
        <w:tabs>
          <w:tab w:leader="none" w:pos="1434"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 The IRS made a favorable determination on the Plan through a letter dated May 9, 2014 stating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as amended and restated effective January 1, 2013, is qualified under section 401(a) of the Code and that the trust established under the Plan is tax-exempt. The Plan is required to operate in conformity with the Code to maintain its qualified status. The Plan Administrator believes the Plan is being operated in compliance with the applicable requirements of the Code and no provision for income taxes has been included in the Plan’s financial statements.</w:t>
      </w:r>
    </w:p>
    <w:p>
      <w:pPr>
        <w:spacing w:after="0" w:line="188" w:lineRule="exact"/>
        <w:rPr>
          <w:rFonts w:ascii="Arial" w:cs="Arial" w:eastAsia="Arial" w:hAnsi="Arial"/>
          <w:sz w:val="18"/>
          <w:szCs w:val="18"/>
          <w:color w:val="auto"/>
        </w:rPr>
      </w:pPr>
    </w:p>
    <w:p>
      <w:pPr>
        <w:jc w:val="both"/>
        <w:ind w:left="1440" w:right="680" w:hanging="441"/>
        <w:spacing w:after="0" w:line="264" w:lineRule="auto"/>
        <w:tabs>
          <w:tab w:leader="none" w:pos="1444"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jc w:val="both"/>
        <w:ind w:left="1440" w:right="100" w:hanging="441"/>
        <w:spacing w:after="0" w:line="342" w:lineRule="auto"/>
        <w:tabs>
          <w:tab w:leader="none" w:pos="1448"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Administrator believes the Plan is no longer subject to income tax examinations for years prior to 2011.</w:t>
      </w:r>
    </w:p>
    <w:p>
      <w:pPr>
        <w:spacing w:after="0" w:line="119" w:lineRule="exact"/>
        <w:rPr>
          <w:rFonts w:ascii="Arial" w:cs="Arial" w:eastAsia="Arial" w:hAnsi="Arial"/>
          <w:sz w:val="16"/>
          <w:szCs w:val="16"/>
          <w:color w:val="auto"/>
        </w:rPr>
      </w:pPr>
    </w:p>
    <w:p>
      <w:pPr>
        <w:ind w:left="440" w:hanging="432"/>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left="440" w:right="500"/>
        <w:spacing w:after="0" w:line="277" w:lineRule="auto"/>
        <w:rPr>
          <w:sz w:val="20"/>
          <w:szCs w:val="20"/>
          <w:color w:val="auto"/>
        </w:rPr>
      </w:pPr>
      <w:r>
        <w:rPr>
          <w:rFonts w:ascii="Arial" w:cs="Arial" w:eastAsia="Arial" w:hAnsi="Arial"/>
          <w:sz w:val="18"/>
          <w:szCs w:val="18"/>
          <w:color w:val="auto"/>
        </w:rPr>
        <w:t>Effective January 14, 2015, the Comcast-Spectacor 401(k) Plan (“Spectacor”) became a participating plan within the Master Trust and the related Spectacor investment assets were transferred from Spectacor to the Master Trust.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 PART IV, LINE 4i — SCHEDULE OF ASSETS (HELD AT END OF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FEIN #27-0000798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3"/>
          </w:tcPr>
          <w:p>
            <w:pPr>
              <w:jc w:val="center"/>
              <w:ind w:right="539"/>
              <w:spacing w:after="0"/>
              <w:rPr>
                <w:sz w:val="20"/>
                <w:szCs w:val="20"/>
                <w:color w:val="auto"/>
              </w:rPr>
            </w:pPr>
            <w:r>
              <w:rPr>
                <w:rFonts w:ascii="Arial" w:cs="Arial" w:eastAsia="Arial" w:hAnsi="Arial"/>
                <w:sz w:val="14"/>
                <w:szCs w:val="14"/>
                <w:b w:val="1"/>
                <w:bCs w:val="1"/>
                <w:color w:val="auto"/>
                <w:w w:val="92"/>
              </w:rPr>
              <w:t>(c) Description of</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gridSpan w:val="3"/>
          </w:tcPr>
          <w:p>
            <w:pPr>
              <w:jc w:val="center"/>
              <w:ind w:right="519"/>
              <w:spacing w:after="0" w:line="149" w:lineRule="exact"/>
              <w:rPr>
                <w:sz w:val="20"/>
                <w:szCs w:val="20"/>
                <w:color w:val="auto"/>
              </w:rPr>
            </w:pPr>
            <w:r>
              <w:rPr>
                <w:rFonts w:ascii="Arial" w:cs="Arial" w:eastAsia="Arial" w:hAnsi="Arial"/>
                <w:sz w:val="14"/>
                <w:szCs w:val="14"/>
                <w:b w:val="1"/>
                <w:bCs w:val="1"/>
                <w:color w:val="auto"/>
                <w:w w:val="92"/>
              </w:rPr>
              <w:t>Investment,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gridSpan w:val="3"/>
          </w:tcPr>
          <w:p>
            <w:pPr>
              <w:jc w:val="center"/>
              <w:ind w:right="519"/>
              <w:spacing w:after="0" w:line="149" w:lineRule="exact"/>
              <w:rPr>
                <w:sz w:val="20"/>
                <w:szCs w:val="20"/>
                <w:color w:val="auto"/>
              </w:rPr>
            </w:pPr>
            <w:r>
              <w:rPr>
                <w:rFonts w:ascii="Arial" w:cs="Arial" w:eastAsia="Arial" w:hAnsi="Arial"/>
                <w:sz w:val="14"/>
                <w:szCs w:val="14"/>
                <w:b w:val="1"/>
                <w:bCs w:val="1"/>
                <w:color w:val="auto"/>
                <w:w w:val="98"/>
              </w:rPr>
              <w:t>Including Maturity Date,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gridSpan w:val="3"/>
          </w:tcPr>
          <w:p>
            <w:pPr>
              <w:jc w:val="center"/>
              <w:ind w:right="519"/>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(e) Current</w:t>
            </w:r>
          </w:p>
        </w:tc>
        <w:tc>
          <w:tcPr>
            <w:tcW w:w="0" w:type="dxa"/>
            <w:vAlign w:val="bottom"/>
          </w:tcPr>
          <w:p>
            <w:pPr>
              <w:spacing w:after="0"/>
              <w:rPr>
                <w:sz w:val="1"/>
                <w:szCs w:val="1"/>
                <w:color w:val="auto"/>
              </w:rPr>
            </w:pPr>
          </w:p>
        </w:tc>
      </w:tr>
      <w:tr>
        <w:trPr>
          <w:trHeight w:val="149"/>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600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880" w:type="dxa"/>
            <w:vAlign w:val="bottom"/>
            <w:gridSpan w:val="3"/>
          </w:tcPr>
          <w:p>
            <w:pPr>
              <w:jc w:val="center"/>
              <w:ind w:right="539"/>
              <w:spacing w:after="0" w:line="149" w:lineRule="exact"/>
              <w:rPr>
                <w:sz w:val="20"/>
                <w:szCs w:val="20"/>
                <w:color w:val="auto"/>
              </w:rPr>
            </w:pPr>
            <w:r>
              <w:rPr>
                <w:rFonts w:ascii="Arial" w:cs="Arial" w:eastAsia="Arial" w:hAnsi="Arial"/>
                <w:sz w:val="14"/>
                <w:szCs w:val="14"/>
                <w:b w:val="1"/>
                <w:bCs w:val="1"/>
                <w:color w:val="auto"/>
                <w:w w:val="94"/>
              </w:rPr>
              <w:t>Par, or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0" w:type="dxa"/>
            <w:vAlign w:val="bottom"/>
            <w:gridSpan w:val="2"/>
            <w:vMerge w:val="continue"/>
          </w:tcPr>
          <w:p>
            <w:pPr>
              <w:spacing w:after="0"/>
              <w:rPr>
                <w:sz w:val="14"/>
                <w:szCs w:val="14"/>
                <w:color w:val="auto"/>
              </w:rPr>
            </w:pPr>
          </w:p>
        </w:tc>
        <w:tc>
          <w:tcPr>
            <w:tcW w:w="2880" w:type="dxa"/>
            <w:vAlign w:val="bottom"/>
            <w:gridSpan w:val="3"/>
          </w:tcPr>
          <w:p>
            <w:pPr>
              <w:jc w:val="center"/>
              <w:ind w:right="539"/>
              <w:spacing w:after="0"/>
              <w:rPr>
                <w:sz w:val="20"/>
                <w:szCs w:val="20"/>
                <w:color w:val="auto"/>
              </w:rPr>
            </w:pPr>
            <w:r>
              <w:rPr>
                <w:rFonts w:ascii="Arial" w:cs="Arial" w:eastAsia="Arial" w:hAnsi="Arial"/>
                <w:sz w:val="14"/>
                <w:szCs w:val="14"/>
                <w:b w:val="1"/>
                <w:bCs w:val="1"/>
                <w:color w:val="auto"/>
                <w:w w:val="98"/>
              </w:rPr>
              <w:t>Maturity Value</w:t>
            </w: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Interest in Comcast Corporation Employee Savings Plans Master Trust</w:t>
            </w:r>
          </w:p>
        </w:tc>
        <w:tc>
          <w:tcPr>
            <w:tcW w:w="28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jc w:val="center"/>
              <w:ind w:right="519"/>
              <w:spacing w:after="0" w:line="201" w:lineRule="exact"/>
              <w:rPr>
                <w:sz w:val="20"/>
                <w:szCs w:val="20"/>
                <w:color w:val="auto"/>
              </w:rPr>
            </w:pPr>
            <w:r>
              <w:rPr>
                <w:rFonts w:ascii="Arial" w:cs="Arial" w:eastAsia="Arial" w:hAnsi="Arial"/>
                <w:sz w:val="18"/>
                <w:szCs w:val="18"/>
                <w:color w:val="auto"/>
                <w:w w:val="90"/>
              </w:rPr>
              <w:t>Interest rates from</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7"/>
              </w:rPr>
              <w:t>Notes receivable from participants (principal balance plus accrued but unpaid</w:t>
            </w:r>
          </w:p>
        </w:tc>
        <w:tc>
          <w:tcPr>
            <w:tcW w:w="2880" w:type="dxa"/>
            <w:vAlign w:val="bottom"/>
            <w:gridSpan w:val="3"/>
            <w:shd w:val="clear" w:color="auto" w:fill="CCEEFF"/>
          </w:tcPr>
          <w:p>
            <w:pPr>
              <w:jc w:val="center"/>
              <w:ind w:right="519"/>
              <w:spacing w:after="0"/>
              <w:rPr>
                <w:sz w:val="20"/>
                <w:szCs w:val="20"/>
                <w:color w:val="auto"/>
              </w:rPr>
            </w:pPr>
            <w:r>
              <w:rPr>
                <w:rFonts w:ascii="Arial" w:cs="Arial" w:eastAsia="Arial" w:hAnsi="Arial"/>
                <w:sz w:val="18"/>
                <w:szCs w:val="18"/>
                <w:color w:val="auto"/>
                <w:w w:val="92"/>
              </w:rPr>
              <w:t>4.25%-9.00%; maturities from</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interest)</w:t>
            </w:r>
          </w:p>
        </w:tc>
        <w:tc>
          <w:tcPr>
            <w:tcW w:w="2880" w:type="dxa"/>
            <w:vAlign w:val="bottom"/>
            <w:gridSpan w:val="3"/>
            <w:shd w:val="clear" w:color="auto" w:fill="CCEEFF"/>
          </w:tcPr>
          <w:p>
            <w:pPr>
              <w:jc w:val="center"/>
              <w:ind w:right="519"/>
              <w:spacing w:after="0"/>
              <w:rPr>
                <w:sz w:val="20"/>
                <w:szCs w:val="20"/>
                <w:color w:val="auto"/>
              </w:rPr>
            </w:pPr>
            <w:r>
              <w:rPr>
                <w:rFonts w:ascii="Arial" w:cs="Arial" w:eastAsia="Arial" w:hAnsi="Arial"/>
                <w:sz w:val="18"/>
                <w:szCs w:val="18"/>
                <w:color w:val="auto"/>
                <w:w w:val="91"/>
              </w:rPr>
              <w:t>2015 to 2038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6,520,879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ectPr>
          <w:pgSz w:w="11900" w:h="16838" w:orient="portrait"/>
          <w:cols w:equalWidth="0" w:num="1">
            <w:col w:w="11420"/>
          </w:cols>
          <w:pgMar w:left="240" w:top="125" w:right="239" w:bottom="0" w:gutter="0" w:footer="0" w:header="0"/>
        </w:sectPr>
      </w:pPr>
    </w:p>
    <w:bookmarkStart w:id="10" w:name="page11"/>
    <w:bookmarkEnd w:id="10"/>
    <w:p>
      <w:pPr>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19, 2015, relating to the financial statements and supplemental schedule of the Comcast Corporation Retirement-Investment Plan, appearing in this Annual Report on Form 11-K of the Comcast Corporation Retirement-Investment Plan for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COMCAST CORPORATION RETIREMENT-INVESTMENT PLAN</w:t>
      </w:r>
    </w:p>
    <w:p>
      <w:pPr>
        <w:spacing w:after="0" w:line="225"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9"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Lawrence J. Salva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8"/>
    </w:lvl>
  </w:abstractNum>
  <w:abstractNum w:abstractNumId="7">
    <w:nsid w:val="7545E146"/>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2019-12-07T23:55:33Z</dcterms:created>
  <dcterms:modified xsi:type="dcterms:W3CDTF">2019-12-07T23:55:33Z</dcterms:modified>
</cp:coreProperties>
</file>