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Pursuant to Section 13 or 15(d) of the</w:t>
      </w:r>
    </w:p>
    <w:p>
      <w:pPr>
        <w:spacing w:after="0" w:line="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Date of report (Date of earliest event reported): April 6, 2015</w:t>
      </w:r>
    </w:p>
    <w:p>
      <w:pPr>
        <w:spacing w:after="0" w:line="20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Comcast Corporation</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(Exact Name of Registrant</w:t>
      </w:r>
    </w:p>
    <w:p>
      <w:pPr>
        <w:ind w:left="494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18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15"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188"/>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4"/>
                <w:szCs w:val="14"/>
                <w:color w:val="auto"/>
              </w:rPr>
              <w:t>(Commission File Number)</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3780" w:type="dxa"/>
            <w:vAlign w:val="bottom"/>
          </w:tcPr>
          <w:p>
            <w:pPr>
              <w:spacing w:after="0"/>
              <w:rPr>
                <w:sz w:val="24"/>
                <w:szCs w:val="24"/>
                <w:color w:val="auto"/>
              </w:rPr>
            </w:pPr>
          </w:p>
        </w:tc>
      </w:tr>
      <w:tr>
        <w:trPr>
          <w:trHeight w:val="229"/>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188"/>
        </w:trPr>
        <w:tc>
          <w:tcPr>
            <w:tcW w:w="4140" w:type="dxa"/>
            <w:vAlign w:val="bottom"/>
          </w:tcPr>
          <w:p>
            <w:pPr>
              <w:jc w:val="center"/>
              <w:ind w:right="17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780" w:type="dxa"/>
            <w:vAlign w:val="bottom"/>
          </w:tcPr>
          <w:p>
            <w:pPr>
              <w:jc w:val="center"/>
              <w:ind w:left="17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8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33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1" w:lineRule="exact"/>
        <w:rPr>
          <w:sz w:val="24"/>
          <w:szCs w:val="24"/>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20"/>
          </w:cols>
          <w:pgMar w:left="240" w:top="736" w:right="6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Charter Communications, Inc. (“Charter”) intends to file a Post-Effective Amendment to the Registration Statement on Form S-4 (Registration No. 333-200809) with the Securities and Exchange Commission relating to its proposed acquisition of Bright House Communications that will include certain historical combined financial statements for the Comcast Cable Systems to be Contributed to Midwest Cable, Inc., or SpinCo, which is a newly formed entity that Comcast intends to spin-off to its shareholders. Accordingly, Comcast is furnishing the audited combined financial statements of Comcast Cable Systems to be Contributed to Midwest Cable, Inc. as of December 31, 2014 and 2013 and for each of the three years in the period ended December 31, 2014 attached hereto as Exhibit 99.1.</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Comcast does not intend for this Item 7.01 or Exhibit 99.1 to be treated as “filed” under the Securities Exchange Act of 1934, as amended, or incorporated by reference into its filings under the Securities Act of 1933, as amended.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9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Audited Combined Financial Statements of Comcast Cable Systems to be Contributed to Midwest Cable, Inc. as of December 31, 2014</w:t>
            </w:r>
          </w:p>
        </w:tc>
      </w:tr>
      <w:tr>
        <w:trPr>
          <w:trHeight w:val="234"/>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and 2013 and for each of the Three Years in the Period Ended December 31, 2014</w:t>
            </w:r>
          </w:p>
        </w:tc>
      </w:tr>
    </w:tbl>
    <w:p>
      <w:pPr>
        <w:sectPr>
          <w:pgSz w:w="11900" w:h="16838" w:orient="portrait"/>
          <w:cols w:equalWidth="0" w:num="1">
            <w:col w:w="11380"/>
          </w:cols>
          <w:pgMar w:left="240" w:top="266" w:right="27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70"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18"/>
          <w:szCs w:val="18"/>
          <w:color w:val="auto"/>
        </w:rPr>
        <w:t>Date: April 6, 2015</w:t>
      </w:r>
      <w:r>
        <w:rPr>
          <w:sz w:val="20"/>
          <w:szCs w:val="20"/>
          <w:color w:val="auto"/>
        </w:rPr>
        <w:tab/>
      </w:r>
      <w:r>
        <w:rPr>
          <w:rFonts w:ascii="Times New Roman" w:cs="Times New Roman" w:eastAsia="Times New Roman" w:hAnsi="Times New Roman"/>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17145</wp:posOffset>
            </wp:positionV>
            <wp:extent cx="3164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4" w:lineRule="exact"/>
        <w:rPr>
          <w:sz w:val="20"/>
          <w:szCs w:val="20"/>
          <w:color w:val="auto"/>
        </w:rPr>
      </w:pPr>
    </w:p>
    <w:p>
      <w:pPr>
        <w:ind w:left="6440"/>
        <w:spacing w:after="0"/>
        <w:tabs>
          <w:tab w:leader="none" w:pos="7080" w:val="left"/>
        </w:tabs>
        <w:rPr>
          <w:sz w:val="20"/>
          <w:szCs w:val="20"/>
          <w:color w:val="auto"/>
        </w:rPr>
      </w:pPr>
      <w:r>
        <w:rPr>
          <w:rFonts w:ascii="Times New Roman" w:cs="Times New Roman" w:eastAsia="Times New Roman" w:hAnsi="Times New Roman"/>
          <w:sz w:val="18"/>
          <w:szCs w:val="18"/>
          <w:color w:val="auto"/>
        </w:rPr>
        <w:t>Name:</w:t>
        <w:tab/>
        <w:t>Lawrence J. Salva</w:t>
      </w:r>
    </w:p>
    <w:p>
      <w:pPr>
        <w:spacing w:after="0" w:line="9" w:lineRule="exact"/>
        <w:rPr>
          <w:sz w:val="20"/>
          <w:szCs w:val="20"/>
          <w:color w:val="auto"/>
        </w:rPr>
      </w:pPr>
    </w:p>
    <w:p>
      <w:pPr>
        <w:ind w:left="64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Executive Vice President, Chief Accounting</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Officer and Controller</w:t>
      </w:r>
    </w:p>
    <w:p>
      <w:pPr>
        <w:sectPr>
          <w:pgSz w:w="11900" w:h="16838" w:orient="portrait"/>
          <w:cols w:equalWidth="0" w:num="1">
            <w:col w:w="10740"/>
          </w:cols>
          <w:pgMar w:left="240" w:top="266"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Comcast Cable Systems to be Contributed to Midwest Cable, Inc.</w:t>
      </w:r>
    </w:p>
    <w:p>
      <w:pPr>
        <w:spacing w:after="0" w:line="210" w:lineRule="exact"/>
        <w:rPr>
          <w:sz w:val="20"/>
          <w:szCs w:val="20"/>
          <w:color w:val="auto"/>
        </w:rPr>
      </w:pPr>
    </w:p>
    <w:p>
      <w:pPr>
        <w:ind w:right="5220"/>
        <w:spacing w:after="0" w:line="262" w:lineRule="auto"/>
        <w:rPr>
          <w:sz w:val="20"/>
          <w:szCs w:val="20"/>
          <w:color w:val="auto"/>
        </w:rPr>
      </w:pPr>
      <w:r>
        <w:rPr>
          <w:rFonts w:ascii="Times New Roman" w:cs="Times New Roman" w:eastAsia="Times New Roman" w:hAnsi="Times New Roman"/>
          <w:sz w:val="21"/>
          <w:szCs w:val="21"/>
          <w:color w:val="auto"/>
        </w:rPr>
        <w:t>Combined Financial Statements as of December 31, 2014 and 2013 and for each of the Three Years in the Period Ended December 31, 2014 (Including Report of Independent Registered Public Accounting Firm)</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COMBINED FINANCIAL STATEMENTS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Index</w:t>
            </w:r>
          </w:p>
        </w:tc>
        <w:tc>
          <w:tcPr>
            <w:tcW w:w="2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286"/>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Financial Statements of Comcast Cable Systems to be Contributed to Midwest Cable, Inc.</w:t>
            </w:r>
          </w:p>
        </w:tc>
        <w:tc>
          <w:tcPr>
            <w:tcW w:w="2060" w:type="dxa"/>
            <w:vAlign w:val="bottom"/>
          </w:tcPr>
          <w:p>
            <w:pPr>
              <w:spacing w:after="0"/>
              <w:rPr>
                <w:sz w:val="24"/>
                <w:szCs w:val="24"/>
                <w:color w:val="auto"/>
              </w:rPr>
            </w:pPr>
          </w:p>
        </w:tc>
      </w:tr>
      <w:tr>
        <w:trPr>
          <w:trHeight w:val="216"/>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Balance Sheet</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Statement of Income</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Statement of Cash Flows</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Statement of Changes in Parent Company Net Investment</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F-6</w:t>
            </w:r>
          </w:p>
        </w:tc>
      </w:tr>
      <w:tr>
        <w:trPr>
          <w:trHeight w:val="234"/>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Combined Financial Statements</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F-7</w:t>
            </w:r>
          </w:p>
        </w:tc>
      </w:tr>
      <w:tr>
        <w:trPr>
          <w:trHeight w:val="365"/>
        </w:trPr>
        <w:tc>
          <w:tcPr>
            <w:tcW w:w="93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F-1</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Midwest Cable,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Comcast Cable Systems to be Contributed to Midwest Cable, Inc. (the “Company”) as of December 31, 2014 and 2013 and the related combined statements of income, cash flows, and changes in parent company net investment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our opinion, such combined financial statements present fairly, in all material respects, the financial position of the Comcast Cable Systems to be Contributed to Midwest Cable, Inc. as of December 31, 2014 and 2013, and the results of their operations and their cash flows for each of the three years in the period ended December 31, 2014, in conformity with accounting principles generally accepted in the United States.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in Note 1, the Company is an integrated business of Comcast Corporation and is not a stand-alone entity. The accompanying combined financial statements reflect the assets, liabilities, revenue, and expenses directly attributable to the Company, as well as allocations deemed reasonable by Comcast Corporation management, and do not necessarily reflect the combined financial position, results of operations, and cash flows that would have resulted had the Company been operated as a stand-alone entity during the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2015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80"/>
          </w:cols>
          <w:pgMar w:left="240" w:top="257"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 (in millions)</w:t>
            </w:r>
          </w:p>
        </w:tc>
        <w:tc>
          <w:tcPr>
            <w:tcW w:w="1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2013</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$17 and $18, respectively)</w:t>
            </w:r>
          </w:p>
        </w:tc>
        <w:tc>
          <w:tcPr>
            <w:tcW w:w="16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137</w:t>
            </w:r>
          </w:p>
        </w:tc>
        <w:tc>
          <w:tcPr>
            <w:tcW w:w="4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receivables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16</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165</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1,944</w:t>
            </w:r>
          </w:p>
        </w:tc>
        <w:tc>
          <w:tcPr>
            <w:tcW w:w="4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5,561</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1,241</w:t>
            </w:r>
          </w:p>
        </w:tc>
        <w:tc>
          <w:tcPr>
            <w:tcW w:w="4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72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8,985</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Parent Company net investment</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301</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65</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Subscriber advance payments</w:t>
            </w:r>
          </w:p>
        </w:tc>
        <w:tc>
          <w:tcPr>
            <w:tcW w:w="16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18</w:t>
            </w:r>
          </w:p>
        </w:tc>
        <w:tc>
          <w:tcPr>
            <w:tcW w:w="4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36</w:t>
            </w: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420</w:t>
            </w:r>
          </w:p>
        </w:tc>
        <w:tc>
          <w:tcPr>
            <w:tcW w:w="4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2,843</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8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62</w:t>
            </w:r>
          </w:p>
        </w:tc>
        <w:tc>
          <w:tcPr>
            <w:tcW w:w="4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5,660</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5,724</w:t>
            </w:r>
          </w:p>
        </w:tc>
      </w:tr>
      <w:tr>
        <w:trPr>
          <w:trHeight w:val="217"/>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Parent Company net investment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8,985</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8,999</w:t>
            </w:r>
          </w:p>
        </w:tc>
      </w:tr>
      <w:tr>
        <w:trPr>
          <w:trHeight w:val="188"/>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1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25"/>
        </w:trPr>
        <w:tc>
          <w:tcPr>
            <w:tcW w:w="75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F-3</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Statement of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4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2013</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2012</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4,641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4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1,034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972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424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1,527</w:t>
            </w:r>
          </w:p>
        </w:tc>
        <w:tc>
          <w:tcPr>
            <w:tcW w:w="28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1,452</w:t>
            </w:r>
          </w:p>
        </w:tc>
        <w:tc>
          <w:tcPr>
            <w:tcW w:w="2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347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asset usage charge</w:t>
            </w:r>
          </w:p>
        </w:tc>
        <w:tc>
          <w:tcPr>
            <w:tcW w:w="424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127</w:t>
            </w:r>
          </w:p>
        </w:tc>
        <w:tc>
          <w:tcPr>
            <w:tcW w:w="28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513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4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4500" w:type="dxa"/>
            <w:vAlign w:val="bottom"/>
            <w:tcBorders>
              <w:bottom w:val="single" w:sz="8" w:color="auto"/>
            </w:tcBorders>
            <w:shd w:val="clear" w:color="auto" w:fill="CCEEFF"/>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3,567</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3,428</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3,281</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4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1,074</w:t>
            </w:r>
          </w:p>
        </w:tc>
        <w:tc>
          <w:tcPr>
            <w:tcW w:w="28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4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1,068</w:t>
            </w:r>
          </w:p>
        </w:tc>
        <w:tc>
          <w:tcPr>
            <w:tcW w:w="28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(418)</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602</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25"/>
        </w:trPr>
        <w:tc>
          <w:tcPr>
            <w:tcW w:w="4500" w:type="dxa"/>
            <w:vAlign w:val="bottom"/>
          </w:tcPr>
          <w:p>
            <w:pPr>
              <w:spacing w:after="0"/>
              <w:rPr>
                <w:sz w:val="24"/>
                <w:szCs w:val="24"/>
                <w:color w:val="auto"/>
              </w:rPr>
            </w:pPr>
          </w:p>
        </w:tc>
        <w:tc>
          <w:tcPr>
            <w:tcW w:w="424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F-4</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Statement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1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2013</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2012</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532</w:t>
            </w:r>
          </w:p>
        </w:tc>
        <w:tc>
          <w:tcPr>
            <w:tcW w:w="28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Shared asset usage charge</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127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8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receivables, net</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accounts payable and accrued expenses related to trade creditors</w:t>
            </w:r>
          </w:p>
        </w:tc>
        <w:tc>
          <w:tcPr>
            <w:tcW w:w="148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1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1,358</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1,302</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1,218</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4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(474)</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7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(489)</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Parent Company net investment</w:t>
            </w:r>
          </w:p>
        </w:tc>
        <w:tc>
          <w:tcPr>
            <w:tcW w:w="1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(869)</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0"/>
        </w:trPr>
        <w:tc>
          <w:tcPr>
            <w:tcW w:w="7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(869)</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480" w:type="dxa"/>
            <w:vAlign w:val="bottom"/>
          </w:tcPr>
          <w:p>
            <w:pPr>
              <w:spacing w:after="0"/>
              <w:rPr>
                <w:sz w:val="18"/>
                <w:szCs w:val="18"/>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25"/>
        </w:trPr>
        <w:tc>
          <w:tcPr>
            <w:tcW w:w="71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F-5</w:t>
            </w: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Combined Statement of Changes in Parent Company Net Investment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920" w:type="dxa"/>
            <w:vAlign w:val="bottom"/>
            <w:gridSpan w:val="2"/>
          </w:tcPr>
          <w:p>
            <w:pPr>
              <w:ind w:left="5840"/>
              <w:spacing w:after="0"/>
              <w:rPr>
                <w:sz w:val="20"/>
                <w:szCs w:val="20"/>
                <w:color w:val="auto"/>
              </w:rPr>
            </w:pPr>
            <w:r>
              <w:rPr>
                <w:rFonts w:ascii="Times New Roman" w:cs="Times New Roman" w:eastAsia="Times New Roman" w:hAnsi="Times New Roman"/>
                <w:sz w:val="14"/>
                <w:szCs w:val="14"/>
                <w:color w:val="auto"/>
              </w:rPr>
              <w:t>Parent Company</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vMerge w:val="continue"/>
          </w:tcPr>
          <w:p>
            <w:pPr>
              <w:spacing w:after="0"/>
              <w:rPr>
                <w:sz w:val="14"/>
                <w:szCs w:val="14"/>
                <w:color w:val="auto"/>
              </w:rPr>
            </w:pPr>
          </w:p>
        </w:tc>
        <w:tc>
          <w:tcPr>
            <w:tcW w:w="69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Net Investment</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6160" w:type="dxa"/>
            <w:vAlign w:val="bottom"/>
            <w:shd w:val="clear" w:color="auto" w:fill="CCEEFF"/>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6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6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6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6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6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Parent Company, net</w:t>
            </w:r>
          </w:p>
        </w:tc>
        <w:tc>
          <w:tcPr>
            <w:tcW w:w="6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650</w:t>
            </w:r>
          </w:p>
        </w:tc>
        <w:tc>
          <w:tcPr>
            <w:tcW w:w="0" w:type="dxa"/>
            <w:vAlign w:val="bottom"/>
          </w:tcPr>
          <w:p>
            <w:pPr>
              <w:spacing w:after="0"/>
              <w:rPr>
                <w:sz w:val="1"/>
                <w:szCs w:val="1"/>
                <w:color w:val="auto"/>
              </w:rPr>
            </w:pPr>
          </w:p>
        </w:tc>
      </w:tr>
      <w:tr>
        <w:trPr>
          <w:trHeight w:val="21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6160" w:type="dxa"/>
            <w:vAlign w:val="bottom"/>
            <w:tcBorders>
              <w:bottom w:val="single" w:sz="8" w:color="auto"/>
            </w:tcBorders>
          </w:tcPr>
          <w:p>
            <w:pPr>
              <w:ind w:left="58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5,660</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combined financial statements.</w:t>
            </w:r>
          </w:p>
        </w:tc>
        <w:tc>
          <w:tcPr>
            <w:tcW w:w="6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500" w:type="dxa"/>
            <w:vAlign w:val="bottom"/>
          </w:tcPr>
          <w:p>
            <w:pPr>
              <w:spacing w:after="0"/>
              <w:rPr>
                <w:sz w:val="24"/>
                <w:szCs w:val="24"/>
                <w:color w:val="auto"/>
              </w:rPr>
            </w:pPr>
          </w:p>
        </w:tc>
        <w:tc>
          <w:tcPr>
            <w:tcW w:w="61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Systems to be Contributed to Midwest Cable,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to Combined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25, 2014, Comcast Corporation (“Comcast”) entered into an agreement with Charter Communications, Inc. (“Charter”) to satisfy its undertaking in the merger agreement with Time Warner Cable, Inc. (“TWC”) with respect to the divestiture of subscribers. Among other things, the agreement contemplates a spin-off of cable systems serving approximately 2.5 million existing Comcast video subscribers into Midwest Cable, Inc., a newly formed entity and currently a wholly owned subsidiary of Comcast (“Midwest Cable,” “SpinCo,” “we,” “us,” “our”). Midwest Cable was formed in the state of Delaware as a limited liability company in May 2014 and converted to a corporation in Delaware in September 2014. Upon consummation of the SpinCo merger (as defined below), it is expected that Midwest Cable will change its legal name to GreatLand Connections Inc.</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Following the closing date of the Comcast/TWC merger, Comcast will distribute all of the shares of Midwest Cable’s common stock on a pro rata basis to holders of Comcast Class A common stock, Class A Special common stock and Class B common stock (“Comcast common stock”) as of the record date (the “spin-off”). Immediately prior to the spin-off, Comcast will contribute to Midwest Cable systems currently owned by Comcast serving approximately</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2.5 million video subscribers in the Midwestern and Southeastern United States (the “SpinCo systems”), together with the related subscribers, the assets and liabilities primarily related to the SpinCo systems and certain other assets and liabilities, including certain bank debt and/or term loans that will exist at the date of the spin-off, a portion of the proceeds of which will have been distributed to Comcast prior to such contribution. In connection with such contribution and prior to the spin-off, Midwest Cable will issue notes and stock to Comcast. The consummation of the spin-off is subject to a number of closing conditions, including, among others, completion of the Comcast/TWC merger, the receipt of certain regulatory approvals, approval by Charter’s stockholders in connection with the SpinCo merger (as defined below) and certain conditions relating to the financing for the spin-off. On March 17, 2015, the stockholders of Charter approved the issuance of common stock of New Charter to shareholders of SpinCo in connection with the SpinCo merger.</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spin-off, Charter will reorganize such that a new publicly traded entity, New Charter, will become the parent of Charter. Another newly formed, wholly owned subsidiary of New Charter will merge with and into Midwest Cable, with Midwest Cable being the surviving entity (the “SpinCo merger”). It is intended that the spin-off, together with the related transactions described in the preceding paragraph, will qualify as a tax-free reorganization and a tax-free distribution and that the SpinCo merger will qualify as a tax-free transaction. Following consummation of the SpinCo merger, holders of Comcast common stock as of the record date will own approximately 67% of Midwest Cable’s common stock, New Charter will own the remaining approximately 33% and Comcast will have no remaining interest in Midwest Cable.</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offer a variety of video, high-speed Internet and voice services (“cable services”) over our geographically-aligned cable distribution system to residential and commercial customers located in the Midwestern and Southeastern United States. As of December 31, 2014, we served 2.5 million video customers, 2.4 million high-speed Internet customers and 1.2 million voice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currently part of Comcast’s Cable Communications (“Comcast Cable”) reportable segment, and our assets and liabilities consist of those that Comcast considers to be primarily related to the cable systems that comprise our operations. Comcast may also transfer certain other assets or liabilities in connection with the closing of the transactions that are not primarily related to our operations, which are not reflected in our combined balance sheet. Our operations are conducted by various indirect subsidiaries of Comcast. The accompanying combined financial statements have been derived from Comcast’s historical accounting records.</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combined statement of income includes all revenue and expenses directly attributable to our business. Expenses include costs for facilities, functions and services that we use at shared sites and costs for certain functions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57" w:right="23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services performed by centralized Comcast operations and directly charged to us based on usage. The combined statement of income also includes allocations of costs for administrative functions and services performed on our behalf by other centralized functions within Comcast. These costs were primarily allocated based on the relative proportion of our video customer relationships to total Comcast Cable video customer relationships. All of the allocations and estimates reflected in the combined financial statements are based on assumptions that management believes are reasonable. However, these allocations and estimates are not necessarily indicative of the costs and expenses that would have resulted if we had been operated as a separate entity. Following the spin-off, we will incur costs to replace Comcast support and to allow us to function as an independent, publicly traded company. In particular, we will be required to obtain new programming arrangements, primarily through Charter, as well as through some direct relationships with programmers. See Note 3 for additional information on our allocations.</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management has historically evaluated our performance and allocated resources on a combined basis as a part of Comcast Cable.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combined financial statements are prepared in accordance with generally accepted accounting principles in the United States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All transactions, accounts and profits between individual cable systems that comprise us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judgments and related estimates for the following item are critical in the preparation of the combined financial statements:</w:t>
      </w:r>
    </w:p>
    <w:p>
      <w:pPr>
        <w:spacing w:after="0" w:line="131" w:lineRule="exact"/>
        <w:rPr>
          <w:sz w:val="20"/>
          <w:szCs w:val="20"/>
          <w:color w:val="auto"/>
        </w:rPr>
      </w:pPr>
    </w:p>
    <w:p>
      <w:pPr>
        <w:ind w:left="46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valuation and impairment testing of cable franchise rights (see Note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accounting policies are specific to the industry in which we operate:</w:t>
      </w:r>
    </w:p>
    <w:p>
      <w:pPr>
        <w:spacing w:after="0" w:line="131" w:lineRule="exact"/>
        <w:rPr>
          <w:sz w:val="20"/>
          <w:szCs w:val="20"/>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installation revenue (see Revenue Recognition below)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installation costs (see Note 4)</w:t>
      </w:r>
    </w:p>
    <w:p>
      <w:pPr>
        <w:spacing w:after="0" w:line="225"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Information on other accounting policies or methods related to the combined financial statements is included, where applicable, in their respective footnotes that follow. Below is a discussion of accounting policies and methods used in the combined financial statements that are not presented within other footnotes.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generate revenue primarily from subscriptions to cable services and from the sale of advertising. We recognize revenue from cable services as each service is provided. Customers are typically billed in advance on a monthly basis based on the services and features they receive and the type of equipment they use.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the cable systems is less than related direct selling costs, we recognize revenue as connections are completed.</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part of Comcast’s distribution agreements with cable networks, we generally receive an allocation of scheduled advertising time that is sold to local, regional and national advertisers. We recognize advertising revenue when the advertising is aired. In most cases, the available advertising units are sold by Comcast’s sales force. In some cases, Comcast works with representation firms as an extension of its sales force to sell a portion of the allocated advertising units allocated to us. Comcast also represents the advertising sales efforts of other multichannel video providers in some markets. Since Comcast is acting as the principal in these arrangements, we report the advertising that is sold as revenue and the fees paid to representation firms and multichannel video providers as other operating and administrative expenses.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270" w:right="25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earned from other sources is recognized when services are provided or events occur. Under the terms of our cable franchise agreements, we are generally required to pay to the cable franchising authority an amount based on our gross video revenue. The fees are normally passed through to the cable customers, and we classify the fees as a component of revenue with the corresponding costs included in other operating and administrative expenses. The fees recognized in revenue for 2014, 2013 and 2012 were $135 million, $139 million and $134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 Expenses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Programming expenses are the fees paid to license the programming that is distributed to video customers. Programming is acquired for distribution to our video customers, generally under multiyear agreements that Comcast has with distributors, with rates typically based on the number of customers that receive the programming,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programming expenses recorded during these interim arrangements is based on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collected by Comcast daily, and Comcast funds our operating and investing activities as needed. Cash transfers to and from Comcast’s cash management process are reflected as a component of Parent Company net investment in the combined balance sheet. Accordingly, no cash and cash equivalents are reflected in the combined balance sheet for any of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an impairment charge is considered material and presented separately, we recognize it as a component of amortization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the combined financial statements. We do not have any significant liabilities related to asset retirements recorded in the combined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 Net Investment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Parent Company net investment in the combined balance sheet represents Comcast’s historical investment in our business, our accumulated net earnings after taxes, and the net effect of transactions with and allocations from Comcast. See Note 3 for additional information on our allocations.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270"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of Financial Instruments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primarily of accounts receivable and accounts payable. The carrying values of accounts receivable and accounts payable approximate their respective fair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provides companies with alternative methods of adoption. We are currently in the process of determining the impact that the updated accounting guidance will have on our combined financial statements and our method of adoption.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 Asset Usage Charge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share certain operating and administrative sites with Comcast, such as its national backbone. These shared assets are not included in the combined balance sheet; however, the shared asset usage charge represents the depreciation of these sites that has been allocated to us based on our relative usage of the respective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Shared Services and Other Allocated Costs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(including expenses primarily related to personnel, logistics, advertising and marketing, other overhead functions, IT support, and network communications support) and certain corporate administrative services (including charges for services such as accounting matters, investor relations, tax, treasury and cash management, insurance, legal, and risk management) that were provided to us by Comcast. These allocated costs are included in other operating and administrative expenses and advertising, marketing and promotion costs in the combined statement of income, and are presented in the combined balance sheet as a component of Parent Company net investment. These costs were primarily allocated based on the relative proportion of our video customer relationships to those of Comcast Cable and represent management’s reasonable estimate of the costs incurred. However, these amounts are not necessarily representative of the costs required for us to operate as an independent, publicly traded company.</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Amounts recorded in other operating and administrative expenses for these services in 2014, 2013, and 2012 were $242 million, $176 million and $168 million, respectively. The 2014 amounts include $52 million of transaction related costs. Amounts recorded in advertising, marketing and promotion costs for these services in 2014, 2013, and 2012 were $108 million, $99 million and $92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NBCUniversal and Other Affiliates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enter into transactions in the ordinary course of our operations, including purchases of programming and purchases and sales of advertising, with NBCUniversal Media, LLC (“NBCUniversal”), a consolidated subsidiary of Comcast, and other affiliates of Comcast. The following tables present transactions with NBCUniversal and its consolidated subsidiaries and other affiliates of Comcast that are included in the combined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December 31 (in millions)</w:t>
            </w:r>
          </w:p>
        </w:tc>
        <w:tc>
          <w:tcPr>
            <w:tcW w:w="5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2013</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5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26</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26</w:t>
            </w:r>
          </w:p>
        </w:tc>
      </w:tr>
      <w:tr>
        <w:trPr>
          <w:trHeight w:val="21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5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25</w:t>
            </w: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r>
      <w:tr>
        <w:trPr>
          <w:trHeight w:val="358"/>
        </w:trPr>
        <w:tc>
          <w:tcPr>
            <w:tcW w:w="5120" w:type="dxa"/>
            <w:vAlign w:val="bottom"/>
          </w:tcPr>
          <w:p>
            <w:pPr>
              <w:spacing w:after="0"/>
              <w:rPr>
                <w:sz w:val="24"/>
                <w:szCs w:val="24"/>
                <w:color w:val="auto"/>
              </w:rPr>
            </w:pPr>
          </w:p>
        </w:tc>
        <w:tc>
          <w:tcPr>
            <w:tcW w:w="5600" w:type="dxa"/>
            <w:vAlign w:val="bottom"/>
          </w:tcPr>
          <w:p>
            <w:pPr>
              <w:jc w:val="right"/>
              <w:ind w:right="4754"/>
              <w:spacing w:after="0"/>
              <w:rPr>
                <w:sz w:val="20"/>
                <w:szCs w:val="20"/>
                <w:color w:val="auto"/>
              </w:rPr>
            </w:pPr>
            <w:r>
              <w:rPr>
                <w:rFonts w:ascii="Times New Roman" w:cs="Times New Roman" w:eastAsia="Times New Roman" w:hAnsi="Times New Roman"/>
                <w:sz w:val="18"/>
                <w:szCs w:val="18"/>
                <w:color w:val="auto"/>
              </w:rPr>
              <w:t>F-10</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Statement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Year Ended December 31 (in millions)</w:t>
            </w:r>
          </w:p>
        </w:tc>
        <w:tc>
          <w:tcPr>
            <w:tcW w:w="28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4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2012</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86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w:t>
            </w:r>
          </w:p>
        </w:tc>
        <w:tc>
          <w:tcPr>
            <w:tcW w:w="28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132</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8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2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7</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84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Weighted-Average</w:t>
            </w: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5000" w:type="dxa"/>
            <w:vAlign w:val="bottom"/>
          </w:tcPr>
          <w:p>
            <w:pPr>
              <w:spacing w:after="0"/>
              <w:rPr>
                <w:sz w:val="12"/>
                <w:szCs w:val="12"/>
                <w:color w:val="auto"/>
              </w:rPr>
            </w:pPr>
          </w:p>
        </w:tc>
        <w:tc>
          <w:tcPr>
            <w:tcW w:w="384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color w:val="auto"/>
              </w:rPr>
              <w:t>Original Useful Life as</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5"/>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3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of December 31, 2014</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2013</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Cable distribution system</w:t>
            </w:r>
          </w:p>
        </w:tc>
        <w:tc>
          <w:tcPr>
            <w:tcW w:w="3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11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3,236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Customer premise equipment</w:t>
            </w:r>
          </w:p>
        </w:tc>
        <w:tc>
          <w:tcPr>
            <w:tcW w:w="38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6 years</w:t>
            </w:r>
          </w:p>
        </w:tc>
        <w:tc>
          <w:tcPr>
            <w:tcW w:w="500" w:type="dxa"/>
            <w:vAlign w:val="bottom"/>
          </w:tcPr>
          <w:p>
            <w:pPr>
              <w:spacing w:after="0"/>
              <w:rPr>
                <w:sz w:val="18"/>
                <w:szCs w:val="18"/>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2,778</w:t>
            </w:r>
          </w:p>
        </w:tc>
        <w:tc>
          <w:tcPr>
            <w:tcW w:w="4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2,738</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3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5 years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8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18 years</w:t>
            </w:r>
          </w:p>
        </w:tc>
        <w:tc>
          <w:tcPr>
            <w:tcW w:w="500" w:type="dxa"/>
            <w:vAlign w:val="bottom"/>
          </w:tcPr>
          <w:p>
            <w:pPr>
              <w:spacing w:after="0"/>
              <w:rPr>
                <w:sz w:val="18"/>
                <w:szCs w:val="18"/>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154</w:t>
            </w:r>
          </w:p>
        </w:tc>
        <w:tc>
          <w:tcPr>
            <w:tcW w:w="4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8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16</w:t>
            </w: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6,385</w:t>
            </w:r>
          </w:p>
        </w:tc>
        <w:tc>
          <w:tcPr>
            <w:tcW w:w="4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6,275</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(4,441)</w:t>
            </w: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17"/>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1,944</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1,944</w:t>
            </w: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considered material and presented separately, we recognize it as a component of depreciation expense.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 As a result of Comcast’s centralized operations, certain property and equipment, such as cable distribution system infrastructure, has been included in the combined financial statements based on allocations from Comcast using certain proportionate estimates, including plant miles.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an impairment charge is considered material and presented separately, we recognize it as a component of depreciation expense. We have not recognized any impairment charges for 2014, 2013 and 2012.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94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color w:val="auto"/>
              </w:rPr>
              <w:t>Weighted-Average</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2013</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98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9"/>
                <w:szCs w:val="9"/>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w:t>
            </w:r>
          </w:p>
        </w:tc>
        <w:tc>
          <w:tcPr>
            <w:tcW w:w="14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47"/>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31 (in millions)</w:t>
            </w:r>
          </w:p>
        </w:tc>
        <w:tc>
          <w:tcPr>
            <w:tcW w:w="1940" w:type="dxa"/>
            <w:vAlign w:val="bottom"/>
          </w:tcPr>
          <w:p>
            <w:pPr>
              <w:jc w:val="right"/>
              <w:ind w:right="197"/>
              <w:spacing w:after="0" w:line="147" w:lineRule="exact"/>
              <w:rPr>
                <w:sz w:val="20"/>
                <w:szCs w:val="20"/>
                <w:color w:val="auto"/>
              </w:rPr>
            </w:pPr>
            <w:r>
              <w:rPr>
                <w:rFonts w:ascii="Times New Roman" w:cs="Times New Roman" w:eastAsia="Times New Roman" w:hAnsi="Times New Roman"/>
                <w:sz w:val="14"/>
                <w:szCs w:val="14"/>
                <w:color w:val="auto"/>
              </w:rPr>
              <w:t>Original Useful Life as</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8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of December 31, 2014</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Amount</w:t>
            </w:r>
          </w:p>
        </w:tc>
        <w:tc>
          <w:tcPr>
            <w:tcW w:w="14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Franchise rights</w:t>
            </w:r>
          </w:p>
        </w:tc>
        <w:tc>
          <w:tcPr>
            <w:tcW w:w="19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Cable franchise renewal costs and contractual</w:t>
            </w: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rights</w:t>
            </w:r>
          </w:p>
        </w:tc>
        <w:tc>
          <w:tcPr>
            <w:tcW w:w="19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10 years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w:t>
            </w:r>
          </w:p>
        </w:tc>
        <w:tc>
          <w:tcPr>
            <w:tcW w:w="19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5 years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9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7 years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agreements and rights</w:t>
            </w:r>
          </w:p>
        </w:tc>
        <w:tc>
          <w:tcPr>
            <w:tcW w:w="19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10 years</w:t>
            </w: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5,761</w:t>
            </w: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w:t>
            </w:r>
          </w:p>
        </w:tc>
        <w:tc>
          <w:tcPr>
            <w:tcW w:w="3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assess the recoverability of our cable franchise rights annually, or more frequently whenever events or substantive changes in circumstances indicate that the assets might be impaired.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were less than the carrying amount, we would recognize an impairment charge for the difference between the estimated fair value and the carrying value of the assets. Unless presented separately, the impairment charge is included as a component of amortization expense. We have not recognized any impairment charges for 2014, 2013 and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Amortization Expense of Finite-Lived Intangibles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520" w:type="dxa"/>
            <w:vAlign w:val="bottom"/>
            <w:tcBorders>
              <w:top w:val="single" w:sz="8" w:color="auto"/>
            </w:tcBorders>
            <w:shd w:val="clear" w:color="auto" w:fill="CCEEFF"/>
          </w:tcPr>
          <w:p>
            <w:pPr>
              <w:jc w:val="right"/>
              <w:ind w:right="5070"/>
              <w:spacing w:after="0"/>
              <w:rPr>
                <w:sz w:val="20"/>
                <w:szCs w:val="20"/>
                <w:color w:val="auto"/>
              </w:rPr>
            </w:pPr>
            <w:r>
              <w:rPr>
                <w:rFonts w:ascii="Times New Roman" w:cs="Times New Roman" w:eastAsia="Times New Roman" w:hAnsi="Times New Roman"/>
                <w:sz w:val="18"/>
                <w:szCs w:val="18"/>
                <w:color w:val="auto"/>
                <w:w w:val="94"/>
              </w:rPr>
              <w:t>2015</w:t>
            </w:r>
          </w:p>
        </w:tc>
        <w:tc>
          <w:tcPr>
            <w:tcW w:w="54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2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w w:val="94"/>
              </w:rPr>
              <w:t>2016</w:t>
            </w:r>
          </w:p>
        </w:tc>
        <w:tc>
          <w:tcPr>
            <w:tcW w:w="5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520" w:type="dxa"/>
            <w:vAlign w:val="bottom"/>
            <w:shd w:val="clear" w:color="auto" w:fill="CCEEFF"/>
          </w:tcPr>
          <w:p>
            <w:pPr>
              <w:jc w:val="right"/>
              <w:ind w:right="5070"/>
              <w:spacing w:after="0"/>
              <w:rPr>
                <w:sz w:val="20"/>
                <w:szCs w:val="20"/>
                <w:color w:val="auto"/>
              </w:rPr>
            </w:pPr>
            <w:r>
              <w:rPr>
                <w:rFonts w:ascii="Times New Roman" w:cs="Times New Roman" w:eastAsia="Times New Roman" w:hAnsi="Times New Roman"/>
                <w:sz w:val="18"/>
                <w:szCs w:val="18"/>
                <w:color w:val="auto"/>
                <w:w w:val="94"/>
              </w:rPr>
              <w:t>2017</w:t>
            </w:r>
          </w:p>
        </w:tc>
        <w:tc>
          <w:tcPr>
            <w:tcW w:w="5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52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w w:val="94"/>
              </w:rPr>
              <w:t>2018</w:t>
            </w:r>
          </w:p>
        </w:tc>
        <w:tc>
          <w:tcPr>
            <w:tcW w:w="5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520" w:type="dxa"/>
            <w:vAlign w:val="bottom"/>
            <w:tcBorders>
              <w:bottom w:val="single" w:sz="8" w:color="auto"/>
            </w:tcBorders>
            <w:shd w:val="clear" w:color="auto" w:fill="CCEEFF"/>
          </w:tcPr>
          <w:p>
            <w:pPr>
              <w:jc w:val="right"/>
              <w:ind w:right="5070"/>
              <w:spacing w:after="0"/>
              <w:rPr>
                <w:sz w:val="20"/>
                <w:szCs w:val="20"/>
                <w:color w:val="auto"/>
              </w:rPr>
            </w:pPr>
            <w:r>
              <w:rPr>
                <w:rFonts w:ascii="Times New Roman" w:cs="Times New Roman" w:eastAsia="Times New Roman" w:hAnsi="Times New Roman"/>
                <w:sz w:val="18"/>
                <w:szCs w:val="18"/>
                <w:color w:val="auto"/>
                <w:w w:val="94"/>
              </w:rPr>
              <w:t>2019</w:t>
            </w:r>
          </w:p>
        </w:tc>
        <w:tc>
          <w:tcPr>
            <w:tcW w:w="5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cable franchise renewal costs and software. Our finite-lived intangible assets are amortized primarily on a straight-line basis over their estimated useful life or the term of the respective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257" w:right="2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 We have not recognized any impairment charges for 2014, 2013 and 2012.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Employee Compensation and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of our employees have historically participated in the Comcast Postretirement Healthcare Stipend Program (the “stipend plan”). The stipend plan is an unfunded postretirement plan that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expense reflected in the combined statement of income related to our employees’ participation in the stipend plan is actuarially determined using certain Comcast-directed assumptions, including the discount rate. For 2014, 2013 and 2012, we recorded expenses of $3 million each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and 2013, our share of Comcast’s unfunded liability associated with the stipend plan was $39 million and $27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Comcast maintains unfunded, nonqualified deferred compensation plans for certain members of management (each, a “participant”). The amount of compensation deferred by each participant is based on participant elections. Participant accounts are credited with income primarily based on a fixed annual rate. The related expense was not material to the combined statement of income for all periods presented. Participants are eligible to receive distributions of the amounts credited to their account based on elected deferral periods that are consistent with the plans and applicable tax law.</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Certain of our employees have historically participated in the deferred compensation plans sponsored by Comcast. As of December 31, 2014 and 2013, our benefit obligation related to these plans was $4 million and $2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Investment Plans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Comcast sponsors several 401(k) defined contribution retirement plans that allow eligible employees to contribute a portion of their compensation through payroll deductions in accordance with specified plan guidelines. Comcast makes contributions to the plans that include matching a percentage of the employees’ contributions up to certain limits. Certain of our employees have historically participated in the plans. In 2014, 2013 and 2012, the combined statement of income included amounts charged for the defined contribution retirement plans totaling $18 million, $15 million and $14 million,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Comcast maintains various programs that allow for the grant of share-based compensation to Comcast’s officers, directors, and certain employees, including some of our employees. Comcast Class A common stock underlies all awards granted under these programs. Accordingly, the amounts presented are not necessarily indicative of our future performance and do not necessarily reflect the results that we would have experienced as an independent, publicly traded company for the periods presented.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270" w:right="239" w:bottom="1440" w:gutter="0" w:footer="0" w:header="0"/>
        </w:sectPr>
      </w:pPr>
    </w:p>
    <w:bookmarkStart w:id="17" w:name="page18"/>
    <w:bookmarkEnd w:id="17"/>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expense reflected in the combined statement of income related to share-based compensation is based on the estimated fair value of our employees’ awards at the date of grant and is recognized over the period in which any related services are provided. Amounts recognized for share-based compensation for 2014, 2013 and 2012 totaled $6 million, $6 million and $5 million, respectively.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operations have historically been included in Comcast’s U.S. federal and certain state tax returns. Income taxes as presented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publicly traded company for the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income tax expense is offset by a corresponding change in Parent Company net investment on the combined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Tax Expense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Year ended December 31 (in millions)</w:t>
            </w:r>
          </w:p>
        </w:tc>
        <w:tc>
          <w:tcPr>
            <w:tcW w:w="35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color w:val="auto"/>
              </w:rPr>
              <w:t>2012</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73</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56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417</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443</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52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6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7"/>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effective income tax rates in 2014, 2013 and 2012 were 39.1%, 39.3% and 39.3%, respectively. Our effective tax rate differs from the federal statutory amount primarily due to the impact of state income taxes, net of federal benefits received.</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and tax planning opportunities that would be available to us on a separate company basis in the jurisdictions in which we operate. We recognize deferred tax assets and liabilities when there are temporary differences between the financial reporting basis and tax basis of our assets and liabilities. When a change in the tax rate or tax law has an impact on deferred taxes, we apply the change based on the years in which the temporary differences are expected to reverse. We record the change in the combined financial statements in the period of enactment. As of December 31, 2014 and 2013, we had not recognized any loss carryforward or valuation allowances. The determination of the realization of future loss carryforwards would be dependent on our taxable income or loss, apportionment percentages, and state laws that can change from year to year and impact the amount of such carryforwards. We would recognize a valuation allowance if we were to determine it is more likely than not that some portion, or all, of a deferred tax asset will not be realized.</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deferred tax assets were not material. We have assessed the nature of the deferred tax assets and have determined that no valuation allowance is necessary. Our net deferred tax liability is primarily attributable to differences between our book and tax basis of property and equipment and intangible assets. As of December 31, 2014 and 2013, our net deferred tax liability for both periods included $2.2 billion related to cable franchise rights that will remain unchanged unless we recognize an impairment or dispose of a cable franchise, and approximately $600 million related to property and equipment.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Uncertain Tax Positions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not recorded any liabilities for uncertain tax positions. We determined that, after completion of the spin-off, Comcast would be considered the primary obligor of substantially all income tax deficiencies attributable to us for periods prior to the spin-off. In the event that, subsequent to the spin-off, an income tax deficiency is asserted against us attributable to a period prior to the spin-off, we would be indemnified under a tax matters agreement between us and Comcast.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minimum annual rental commitments for office space and equipment under operating leases.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 of December 31, 2014 (in millions)</w:t>
            </w:r>
          </w:p>
        </w:tc>
        <w:tc>
          <w:tcPr>
            <w:tcW w:w="2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2980" w:type="dxa"/>
            <w:vAlign w:val="bottom"/>
            <w:shd w:val="clear" w:color="auto" w:fill="CCEEFF"/>
          </w:tcPr>
          <w:p>
            <w:pPr>
              <w:spacing w:after="0"/>
              <w:rPr>
                <w:sz w:val="18"/>
                <w:szCs w:val="18"/>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98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980" w:type="dxa"/>
            <w:vAlign w:val="bottom"/>
            <w:shd w:val="clear" w:color="auto" w:fill="CCEEFF"/>
          </w:tcPr>
          <w:p>
            <w:pPr>
              <w:spacing w:after="0"/>
              <w:rPr>
                <w:sz w:val="18"/>
                <w:szCs w:val="18"/>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98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980" w:type="dxa"/>
            <w:vAlign w:val="bottom"/>
            <w:shd w:val="clear" w:color="auto" w:fill="CCEEFF"/>
          </w:tcPr>
          <w:p>
            <w:pPr>
              <w:spacing w:after="0"/>
              <w:rPr>
                <w:sz w:val="18"/>
                <w:szCs w:val="18"/>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42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rent expense charged to operations.</w:t>
            </w: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 ended December 31 (in millions)</w:t>
            </w:r>
          </w:p>
        </w:tc>
        <w:tc>
          <w:tcPr>
            <w:tcW w:w="2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2013</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2012</w:t>
            </w:r>
          </w:p>
        </w:tc>
      </w:tr>
      <w:tr>
        <w:trPr>
          <w:trHeight w:val="210"/>
        </w:trPr>
        <w:tc>
          <w:tcPr>
            <w:tcW w:w="7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2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  29</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26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June 2010, the City of Detroit (the “City”) initiated an action against us in the U.S. District Court for the Eastern District of Michigan in which the City sought a ruling that certain aspects of the Michigan Uniform Video Services Local Franchise Act were unlawful under the Federal Cable Communications Policy Act of 1984 and the Constitution of the State of Michigan. The City also sought declaratory relief as to our applicable cable franchise obligations and monetary relief for our alleged non-compliance. We appealed the U.S. District Court’s ruling on summary judgment in favor of the City to the U.S. Court of Appeals for the Sixth Circuit in July 2013, and in October 2014 we resolved this action through mediation with the City. As a result of the resolution of this action, we recorded $16 million in other operating and administrative expenses and $6 million in interest expense in 2014.</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26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2014, 2013 and 2012, our revenue was derived from the following sources: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2012</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2,203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2,137</w:t>
            </w: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High-speed Internet</w:t>
            </w:r>
          </w:p>
        </w:tc>
        <w:tc>
          <w:tcPr>
            <w:tcW w:w="35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1,212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1,125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Voice</w:t>
            </w:r>
          </w:p>
        </w:tc>
        <w:tc>
          <w:tcPr>
            <w:tcW w:w="358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375</w:t>
            </w:r>
          </w:p>
        </w:tc>
        <w:tc>
          <w:tcPr>
            <w:tcW w:w="3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w:t>
            </w:r>
          </w:p>
        </w:tc>
        <w:tc>
          <w:tcPr>
            <w:tcW w:w="35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58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265</w:t>
            </w:r>
          </w:p>
        </w:tc>
        <w:tc>
          <w:tcPr>
            <w:tcW w:w="3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199</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w:t>
            </w:r>
          </w:p>
        </w:tc>
      </w:tr>
      <w:tr>
        <w:trPr>
          <w:trHeight w:val="217"/>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4,641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4,470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April 6, 2015, which is the issue date of these combined financial statements, and concluded that no subsequent events have occurred that would require recognition in the combined financial statements or disclosure in the notes to the combined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2019-12-07T23:45:13Z</dcterms:created>
  <dcterms:modified xsi:type="dcterms:W3CDTF">2019-12-07T23:45:13Z</dcterms:modified>
</cp:coreProperties>
</file>