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140335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800" w:type="dxa"/>
        <w:tblCellMar>
          <w:top w:w="0" w:type="dxa"/>
          <w:left w:w="0" w:type="dxa"/>
          <w:bottom w:w="0" w:type="dxa"/>
          <w:right w:w="0" w:type="dxa"/>
        </w:tblCellMar>
      </w:tblPr>
      <w:tr>
        <w:trPr>
          <w:trHeight w:val="421"/>
        </w:trPr>
        <w:tc>
          <w:tcPr>
            <w:tcW w:w="2260" w:type="dxa"/>
            <w:vAlign w:val="bottom"/>
          </w:tcPr>
          <w:p>
            <w:pPr>
              <w:spacing w:after="0"/>
              <w:rPr>
                <w:sz w:val="24"/>
                <w:szCs w:val="24"/>
                <w:color w:val="auto"/>
              </w:rPr>
            </w:pPr>
          </w:p>
        </w:tc>
        <w:tc>
          <w:tcPr>
            <w:tcW w:w="7800" w:type="dxa"/>
            <w:vAlign w:val="bottom"/>
          </w:tcPr>
          <w:p>
            <w:pPr>
              <w:jc w:val="center"/>
              <w:ind w:right="2366"/>
              <w:spacing w:after="0"/>
              <w:rPr>
                <w:sz w:val="20"/>
                <w:szCs w:val="20"/>
                <w:color w:val="auto"/>
              </w:rPr>
            </w:pPr>
            <w:r>
              <w:rPr>
                <w:rFonts w:ascii="Arial" w:cs="Arial" w:eastAsia="Arial" w:hAnsi="Arial"/>
                <w:sz w:val="32"/>
                <w:szCs w:val="32"/>
                <w:b w:val="1"/>
                <w:bCs w:val="1"/>
                <w:color w:val="auto"/>
              </w:rPr>
              <w:t>FORM 8-K</w:t>
            </w:r>
          </w:p>
        </w:tc>
      </w:tr>
      <w:tr>
        <w:trPr>
          <w:trHeight w:val="475"/>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25"/>
                <w:szCs w:val="25"/>
                <w:b w:val="1"/>
                <w:bCs w:val="1"/>
                <w:color w:val="auto"/>
              </w:rPr>
              <w:t>CURRENT REPORT</w:t>
            </w:r>
          </w:p>
        </w:tc>
      </w:tr>
      <w:tr>
        <w:trPr>
          <w:trHeight w:val="297"/>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25"/>
                <w:szCs w:val="25"/>
                <w:b w:val="1"/>
                <w:bCs w:val="1"/>
                <w:color w:val="auto"/>
                <w:w w:val="90"/>
              </w:rPr>
              <w:t>Pursuant to Section 13 or 15(d) of</w:t>
            </w:r>
          </w:p>
        </w:tc>
      </w:tr>
      <w:tr>
        <w:trPr>
          <w:trHeight w:val="329"/>
        </w:trPr>
        <w:tc>
          <w:tcPr>
            <w:tcW w:w="2260" w:type="dxa"/>
            <w:vAlign w:val="bottom"/>
          </w:tcPr>
          <w:p>
            <w:pPr>
              <w:spacing w:after="0"/>
              <w:rPr>
                <w:sz w:val="24"/>
                <w:szCs w:val="24"/>
                <w:color w:val="auto"/>
              </w:rPr>
            </w:pPr>
          </w:p>
        </w:tc>
        <w:tc>
          <w:tcPr>
            <w:tcW w:w="7800" w:type="dxa"/>
            <w:vAlign w:val="bottom"/>
          </w:tcPr>
          <w:p>
            <w:pPr>
              <w:jc w:val="center"/>
              <w:ind w:right="2366"/>
              <w:spacing w:after="0"/>
              <w:rPr>
                <w:sz w:val="20"/>
                <w:szCs w:val="20"/>
                <w:color w:val="auto"/>
              </w:rPr>
            </w:pPr>
            <w:r>
              <w:rPr>
                <w:rFonts w:ascii="Arial" w:cs="Arial" w:eastAsia="Arial" w:hAnsi="Arial"/>
                <w:sz w:val="25"/>
                <w:szCs w:val="25"/>
                <w:b w:val="1"/>
                <w:bCs w:val="1"/>
                <w:color w:val="auto"/>
                <w:w w:val="89"/>
              </w:rPr>
              <w:t>The Securities Exchange Act of 1934</w:t>
            </w:r>
          </w:p>
        </w:tc>
      </w:tr>
      <w:tr>
        <w:trPr>
          <w:trHeight w:val="424"/>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18"/>
                <w:szCs w:val="18"/>
                <w:b w:val="1"/>
                <w:bCs w:val="1"/>
                <w:color w:val="auto"/>
                <w:w w:val="91"/>
              </w:rPr>
              <w:t>Date of report (Date of earliest event reported): October 1, 2018</w:t>
            </w:r>
          </w:p>
        </w:tc>
      </w:tr>
      <w:tr>
        <w:trPr>
          <w:trHeight w:val="697"/>
        </w:trPr>
        <w:tc>
          <w:tcPr>
            <w:tcW w:w="2260" w:type="dxa"/>
            <w:vAlign w:val="bottom"/>
          </w:tcPr>
          <w:p>
            <w:pPr>
              <w:spacing w:after="0"/>
              <w:rPr>
                <w:sz w:val="24"/>
                <w:szCs w:val="24"/>
                <w:color w:val="auto"/>
              </w:rPr>
            </w:pPr>
          </w:p>
        </w:tc>
        <w:tc>
          <w:tcPr>
            <w:tcW w:w="7800" w:type="dxa"/>
            <w:vAlign w:val="bottom"/>
          </w:tcPr>
          <w:p>
            <w:pPr>
              <w:jc w:val="center"/>
              <w:ind w:right="2386"/>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260" w:type="dxa"/>
            <w:vAlign w:val="bottom"/>
          </w:tcPr>
          <w:p>
            <w:pPr>
              <w:spacing w:after="0"/>
              <w:rPr>
                <w:sz w:val="20"/>
                <w:szCs w:val="20"/>
                <w:color w:val="auto"/>
              </w:rPr>
            </w:pPr>
          </w:p>
        </w:tc>
        <w:tc>
          <w:tcPr>
            <w:tcW w:w="7800" w:type="dxa"/>
            <w:vAlign w:val="bottom"/>
          </w:tcPr>
          <w:p>
            <w:pPr>
              <w:jc w:val="center"/>
              <w:ind w:right="2366"/>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414"/>
        </w:trPr>
        <w:tc>
          <w:tcPr>
            <w:tcW w:w="2260" w:type="dxa"/>
            <w:vAlign w:val="bottom"/>
          </w:tcPr>
          <w:p>
            <w:pPr>
              <w:spacing w:after="0"/>
              <w:rPr>
                <w:sz w:val="24"/>
                <w:szCs w:val="24"/>
                <w:color w:val="auto"/>
              </w:rPr>
            </w:pPr>
          </w:p>
        </w:tc>
        <w:tc>
          <w:tcPr>
            <w:tcW w:w="7800" w:type="dxa"/>
            <w:vAlign w:val="bottom"/>
          </w:tcPr>
          <w:p>
            <w:pPr>
              <w:jc w:val="center"/>
              <w:ind w:right="2466"/>
              <w:spacing w:after="0"/>
              <w:rPr>
                <w:sz w:val="20"/>
                <w:szCs w:val="20"/>
                <w:color w:val="auto"/>
              </w:rPr>
            </w:pPr>
            <w:r>
              <w:rPr>
                <w:rFonts w:ascii="Arial" w:cs="Arial" w:eastAsia="Arial" w:hAnsi="Arial"/>
                <w:sz w:val="18"/>
                <w:szCs w:val="18"/>
                <w:b w:val="1"/>
                <w:bCs w:val="1"/>
                <w:color w:val="auto"/>
                <w:w w:val="88"/>
              </w:rPr>
              <w:t>Pennsylvania</w:t>
            </w:r>
          </w:p>
        </w:tc>
      </w:tr>
      <w:tr>
        <w:trPr>
          <w:trHeight w:val="216"/>
        </w:trPr>
        <w:tc>
          <w:tcPr>
            <w:tcW w:w="2260" w:type="dxa"/>
            <w:vAlign w:val="bottom"/>
          </w:tcPr>
          <w:p>
            <w:pPr>
              <w:spacing w:after="0"/>
              <w:rPr>
                <w:sz w:val="18"/>
                <w:szCs w:val="18"/>
                <w:color w:val="auto"/>
              </w:rPr>
            </w:pPr>
          </w:p>
        </w:tc>
        <w:tc>
          <w:tcPr>
            <w:tcW w:w="7800" w:type="dxa"/>
            <w:vAlign w:val="bottom"/>
          </w:tcPr>
          <w:p>
            <w:pPr>
              <w:jc w:val="center"/>
              <w:ind w:right="2466"/>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216"/>
        </w:trPr>
        <w:tc>
          <w:tcPr>
            <w:tcW w:w="2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001-32871</w:t>
            </w:r>
          </w:p>
        </w:tc>
        <w:tc>
          <w:tcPr>
            <w:tcW w:w="7800" w:type="dxa"/>
            <w:vAlign w:val="bottom"/>
          </w:tcPr>
          <w:p>
            <w:pPr>
              <w:jc w:val="center"/>
              <w:ind w:left="5046"/>
              <w:spacing w:after="0"/>
              <w:rPr>
                <w:sz w:val="20"/>
                <w:szCs w:val="20"/>
                <w:color w:val="auto"/>
              </w:rPr>
            </w:pPr>
            <w:r>
              <w:rPr>
                <w:rFonts w:ascii="Arial" w:cs="Arial" w:eastAsia="Arial" w:hAnsi="Arial"/>
                <w:sz w:val="18"/>
                <w:szCs w:val="18"/>
                <w:b w:val="1"/>
                <w:bCs w:val="1"/>
                <w:color w:val="auto"/>
                <w:w w:val="91"/>
              </w:rPr>
              <w:t>27-0000798</w:t>
            </w:r>
          </w:p>
        </w:tc>
      </w:tr>
      <w:tr>
        <w:trPr>
          <w:trHeight w:val="234"/>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(Commission File Number)</w:t>
            </w:r>
          </w:p>
        </w:tc>
        <w:tc>
          <w:tcPr>
            <w:tcW w:w="7800" w:type="dxa"/>
            <w:vAlign w:val="bottom"/>
          </w:tcPr>
          <w:p>
            <w:pPr>
              <w:jc w:val="center"/>
              <w:ind w:left="5066"/>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30"/>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One Comcast Center</w:t>
            </w:r>
          </w:p>
        </w:tc>
        <w:tc>
          <w:tcPr>
            <w:tcW w:w="7800" w:type="dxa"/>
            <w:vAlign w:val="bottom"/>
          </w:tcPr>
          <w:p>
            <w:pPr>
              <w:jc w:val="center"/>
              <w:ind w:left="5046"/>
              <w:spacing w:after="0"/>
              <w:rPr>
                <w:sz w:val="20"/>
                <w:szCs w:val="20"/>
                <w:color w:val="auto"/>
              </w:rPr>
            </w:pPr>
            <w:r>
              <w:rPr>
                <w:rFonts w:ascii="Arial" w:cs="Arial" w:eastAsia="Arial" w:hAnsi="Arial"/>
                <w:sz w:val="18"/>
                <w:szCs w:val="18"/>
                <w:b w:val="1"/>
                <w:bCs w:val="1"/>
                <w:color w:val="auto"/>
                <w:w w:val="91"/>
              </w:rPr>
              <w:t>19103-2838</w:t>
            </w:r>
          </w:p>
        </w:tc>
      </w:tr>
      <w:tr>
        <w:trPr>
          <w:trHeight w:val="234"/>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Philadelphia, PA</w:t>
            </w:r>
          </w:p>
        </w:tc>
        <w:tc>
          <w:tcPr>
            <w:tcW w:w="7800" w:type="dxa"/>
            <w:vAlign w:val="bottom"/>
          </w:tcPr>
          <w:p>
            <w:pPr>
              <w:jc w:val="center"/>
              <w:ind w:left="5046"/>
              <w:spacing w:after="0"/>
              <w:rPr>
                <w:sz w:val="20"/>
                <w:szCs w:val="20"/>
                <w:color w:val="auto"/>
              </w:rPr>
            </w:pPr>
            <w:r>
              <w:rPr>
                <w:rFonts w:ascii="Arial" w:cs="Arial" w:eastAsia="Arial" w:hAnsi="Arial"/>
                <w:sz w:val="18"/>
                <w:szCs w:val="18"/>
                <w:b w:val="1"/>
                <w:bCs w:val="1"/>
                <w:color w:val="auto"/>
                <w:w w:val="94"/>
              </w:rPr>
              <w:t>(Zip Code)</w:t>
            </w:r>
          </w:p>
        </w:tc>
      </w:tr>
    </w:tbl>
    <w:p>
      <w:pPr>
        <w:ind w:left="3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206375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both"/>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18" w:lineRule="exact"/>
        <w:rPr>
          <w:sz w:val="24"/>
          <w:szCs w:val="24"/>
          <w:color w:val="auto"/>
        </w:rPr>
      </w:pPr>
    </w:p>
    <w:p>
      <w:pPr>
        <w:ind w:right="260"/>
        <w:spacing w:after="0" w:line="328"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8" w:right="299" w:bottom="1440"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connection with credit presentations and consistent with the recently reaffirmed A- ratings, Comcast Corporation (“Comcast”) is announcing its intention to pause its common stock repurchase program in 2019 to accelerate the reduction of indebtedness it will incur in connection with its acquisition of Sky plc. Comcast expects to complete $5.0 billion of repurchases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3"/>
          </w:tcPr>
          <w:p>
            <w:pPr>
              <w:ind w:left="188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October 1, 2018</w:t>
            </w:r>
          </w:p>
        </w:tc>
        <w:tc>
          <w:tcPr>
            <w:tcW w:w="7680" w:type="dxa"/>
            <w:vAlign w:val="bottom"/>
            <w:gridSpan w:val="3"/>
          </w:tcPr>
          <w:p>
            <w:pPr>
              <w:ind w:left="1880"/>
              <w:spacing w:after="0"/>
              <w:rPr>
                <w:sz w:val="20"/>
                <w:szCs w:val="20"/>
                <w:color w:val="auto"/>
              </w:rPr>
            </w:pPr>
            <w:r>
              <w:rPr>
                <w:rFonts w:ascii="Arial" w:cs="Arial" w:eastAsia="Arial" w:hAnsi="Arial"/>
                <w:sz w:val="18"/>
                <w:szCs w:val="18"/>
                <w:color w:val="auto"/>
              </w:rPr>
              <w:t>By:    /s/ Arthur R. Block</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w w:val="98"/>
              </w:rPr>
              <w:t>Executive Vice President, General Counsel and Secretary</w:t>
            </w:r>
          </w:p>
        </w:tc>
      </w:tr>
      <w:tr>
        <w:trPr>
          <w:trHeight w:val="837"/>
        </w:trPr>
        <w:tc>
          <w:tcPr>
            <w:tcW w:w="37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2019-12-06T19:34:25Z</dcterms:created>
  <dcterms:modified xsi:type="dcterms:W3CDTF">2019-12-06T19:34:25Z</dcterms:modified>
</cp:coreProperties>
</file>