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2"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SECURITIES AND EXCHANGE COMMISSION</w:t>
      </w:r>
    </w:p>
    <w:p>
      <w:pPr>
        <w:jc w:val="center"/>
        <w:ind w:right="-279"/>
        <w:spacing w:after="0"/>
        <w:rPr>
          <w:sz w:val="20"/>
          <w:szCs w:val="20"/>
          <w:color w:val="auto"/>
        </w:rPr>
      </w:pPr>
      <w:r>
        <w:rPr>
          <w:rFonts w:ascii="Arial" w:cs="Arial" w:eastAsia="Arial" w:hAnsi="Arial"/>
          <w:sz w:val="18"/>
          <w:szCs w:val="18"/>
          <w:color w:val="auto"/>
        </w:rPr>
        <w:t>Washington, D.C. 20549</w:t>
      </w:r>
    </w:p>
    <w:p>
      <w:pPr>
        <w:spacing w:after="0" w:line="194"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SCHEDULE 14A</w:t>
      </w:r>
    </w:p>
    <w:p>
      <w:pPr>
        <w:spacing w:after="0" w:line="212"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14"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Securities Exchange Act of 1934 (Amendment No. )</w:t>
      </w:r>
    </w:p>
    <w:p>
      <w:pPr>
        <w:spacing w:after="0" w:line="137" w:lineRule="exact"/>
        <w:rPr>
          <w:sz w:val="24"/>
          <w:szCs w:val="24"/>
          <w:color w:val="auto"/>
        </w:rPr>
      </w:pPr>
    </w:p>
    <w:p>
      <w:pPr>
        <w:spacing w:after="0" w:line="242" w:lineRule="exact"/>
        <w:tabs>
          <w:tab w:leader="none" w:pos="734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8"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60" w:lineRule="exact"/>
        <w:rPr>
          <w:rFonts w:ascii="MS PGothic" w:cs="MS PGothic" w:eastAsia="MS PGothic" w:hAnsi="MS PGothic"/>
          <w:sz w:val="22"/>
          <w:szCs w:val="22"/>
          <w:color w:val="auto"/>
        </w:rPr>
      </w:pPr>
    </w:p>
    <w:p>
      <w:pPr>
        <w:ind w:left="80" w:right="4060"/>
        <w:spacing w:after="0" w:line="270"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22"/>
          <w:szCs w:val="22"/>
          <w:color w:val="auto"/>
        </w:rPr>
      </w:pPr>
    </w:p>
    <w:p>
      <w:pPr>
        <w:ind w:left="540" w:hanging="460"/>
        <w:spacing w:after="0" w:line="233"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9" w:lineRule="exact"/>
        <w:rPr>
          <w:rFonts w:ascii="MS PGothic" w:cs="MS PGothic" w:eastAsia="MS PGothic" w:hAnsi="MS PGothic"/>
          <w:sz w:val="22"/>
          <w:szCs w:val="22"/>
          <w:color w:val="auto"/>
        </w:rPr>
      </w:pPr>
    </w:p>
    <w:p>
      <w:pPr>
        <w:ind w:left="540" w:hanging="460"/>
        <w:spacing w:after="0" w:line="233"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-842010</wp:posOffset>
            </wp:positionV>
            <wp:extent cx="7132320" cy="1551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5519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Comcast Corporation</w:t>
      </w:r>
    </w:p>
    <w:p>
      <w:pPr>
        <w:spacing w:after="0" w:line="222" w:lineRule="exact"/>
        <w:rPr>
          <w:sz w:val="24"/>
          <w:szCs w:val="24"/>
          <w:color w:val="auto"/>
        </w:rPr>
      </w:pPr>
    </w:p>
    <w:p>
      <w:pPr>
        <w:jc w:val="center"/>
        <w:ind w:right="-279"/>
        <w:spacing w:after="0"/>
        <w:rPr>
          <w:sz w:val="20"/>
          <w:szCs w:val="20"/>
          <w:color w:val="auto"/>
        </w:rPr>
      </w:pPr>
      <w:r>
        <w:rPr>
          <w:rFonts w:ascii="Arial" w:cs="Arial" w:eastAsia="Arial" w:hAnsi="Arial"/>
          <w:sz w:val="13"/>
          <w:szCs w:val="13"/>
          <w:color w:val="auto"/>
        </w:rPr>
        <w:t>(Name of Registrant as Specified In Its Charter)</w:t>
      </w:r>
    </w:p>
    <w:p>
      <w:pPr>
        <w:spacing w:after="0" w:line="11" w:lineRule="exact"/>
        <w:rPr>
          <w:sz w:val="24"/>
          <w:szCs w:val="24"/>
          <w:color w:val="auto"/>
        </w:rPr>
      </w:pPr>
    </w:p>
    <w:p>
      <w:pPr>
        <w:jc w:val="center"/>
        <w:ind w:right="-279"/>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10"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ALL BOXES THAT APPLY):</w:t>
      </w:r>
    </w:p>
    <w:p>
      <w:pPr>
        <w:spacing w:after="0" w:line="6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3"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60" w:lineRule="exact"/>
        <w:rPr>
          <w:rFonts w:ascii="MS PGothic" w:cs="MS PGothic" w:eastAsia="MS PGothic" w:hAnsi="MS PGothic"/>
          <w:sz w:val="22"/>
          <w:szCs w:val="22"/>
          <w:color w:val="auto"/>
        </w:rPr>
      </w:pPr>
    </w:p>
    <w:p>
      <w:pPr>
        <w:ind w:left="540" w:hanging="460"/>
        <w:spacing w:after="0" w:line="233"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60"/>
          </w:cols>
          <w:pgMar w:left="320" w:top="229" w:right="61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03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0356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FFFFFF"/>
        </w:rPr>
        <w:t>2023 Company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4843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843145"/>
                    </a:xfrm>
                    <a:prstGeom prst="rect">
                      <a:avLst/>
                    </a:prstGeom>
                    <a:noFill/>
                  </pic:spPr>
                </pic:pic>
              </a:graphicData>
            </a:graphic>
          </wp:anchor>
        </w:drawing>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00A0DD"/>
        </w:rPr>
        <w:t>Strong Execution on Key Strategic Priorities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40"/>
        <w:spacing w:after="0" w:line="281" w:lineRule="auto"/>
        <w:rPr>
          <w:sz w:val="20"/>
          <w:szCs w:val="20"/>
          <w:color w:val="auto"/>
        </w:rPr>
      </w:pPr>
      <w:r>
        <w:rPr>
          <w:rFonts w:ascii="Arial" w:cs="Arial" w:eastAsia="Arial" w:hAnsi="Arial"/>
          <w:sz w:val="18"/>
          <w:szCs w:val="18"/>
          <w:b w:val="1"/>
          <w:bCs w:val="1"/>
          <w:color w:val="00A0DD"/>
        </w:rPr>
        <w:t>Connectivity &amp; Platforms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right="340"/>
        <w:spacing w:after="0" w:line="284" w:lineRule="auto"/>
        <w:rPr>
          <w:sz w:val="20"/>
          <w:szCs w:val="20"/>
          <w:color w:val="auto"/>
        </w:rPr>
      </w:pPr>
      <w:r>
        <w:rPr>
          <w:rFonts w:ascii="Arial" w:cs="Arial" w:eastAsia="Arial" w:hAnsi="Arial"/>
          <w:sz w:val="13"/>
          <w:szCs w:val="13"/>
          <w:b w:val="1"/>
          <w:bCs w:val="1"/>
          <w:color w:val="00A0DD"/>
        </w:rPr>
        <w:t xml:space="preserve">Over 52 million customer relationships </w:t>
      </w:r>
      <w:r>
        <w:rPr>
          <w:rFonts w:ascii="Arial" w:cs="Arial" w:eastAsia="Arial" w:hAnsi="Arial"/>
          <w:sz w:val="13"/>
          <w:szCs w:val="13"/>
          <w:color w:val="000000"/>
        </w:rPr>
        <w:t>at year end, contributing more than $50 per month on average in Adjusted EBITDA per customer</w:t>
      </w:r>
      <w:r>
        <w:rPr>
          <w:rFonts w:ascii="Arial" w:cs="Arial" w:eastAsia="Arial" w:hAnsi="Arial"/>
          <w:sz w:val="13"/>
          <w:szCs w:val="13"/>
          <w:b w:val="1"/>
          <w:bCs w:val="1"/>
          <w:color w:val="00A0DD"/>
        </w:rPr>
        <w:t xml:space="preserve"> </w:t>
      </w:r>
      <w:r>
        <w:rPr>
          <w:rFonts w:ascii="Arial" w:cs="Arial" w:eastAsia="Arial" w:hAnsi="Arial"/>
          <w:sz w:val="13"/>
          <w:szCs w:val="13"/>
          <w:color w:val="000000"/>
        </w:rPr>
        <w:t>relationship in 2023</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00A0DD"/>
        </w:rPr>
        <w:t>Largest internet service provider in the U.S</w:t>
      </w:r>
      <w:r>
        <w:rPr>
          <w:rFonts w:ascii="Arial" w:cs="Arial" w:eastAsia="Arial" w:hAnsi="Arial"/>
          <w:sz w:val="13"/>
          <w:szCs w:val="13"/>
          <w:color w:val="000000"/>
        </w:rPr>
        <w:t>. and second-largest provider in the U.K.</w:t>
      </w:r>
    </w:p>
    <w:p>
      <w:pPr>
        <w:spacing w:after="0" w:line="107" w:lineRule="exact"/>
        <w:rPr>
          <w:sz w:val="20"/>
          <w:szCs w:val="20"/>
          <w:color w:val="auto"/>
        </w:rPr>
      </w:pPr>
    </w:p>
    <w:p>
      <w:pPr>
        <w:ind w:right="320"/>
        <w:spacing w:after="0" w:line="284" w:lineRule="auto"/>
        <w:rPr>
          <w:sz w:val="20"/>
          <w:szCs w:val="20"/>
          <w:color w:val="auto"/>
        </w:rPr>
      </w:pPr>
      <w:r>
        <w:rPr>
          <w:rFonts w:ascii="Arial" w:cs="Arial" w:eastAsia="Arial" w:hAnsi="Arial"/>
          <w:sz w:val="13"/>
          <w:szCs w:val="13"/>
          <w:b w:val="1"/>
          <w:bCs w:val="1"/>
          <w:color w:val="00A0DD"/>
        </w:rPr>
        <w:t xml:space="preserve">Began rolling out multi-gigabit symmetrical broadband speeds </w:t>
      </w:r>
      <w:r>
        <w:rPr>
          <w:rFonts w:ascii="Arial" w:cs="Arial" w:eastAsia="Arial" w:hAnsi="Arial"/>
          <w:sz w:val="13"/>
          <w:szCs w:val="13"/>
          <w:color w:val="000000"/>
        </w:rPr>
        <w:t>powered by DOCSIS 4.0 technology; started in select U.S. markets and</w:t>
      </w:r>
      <w:r>
        <w:rPr>
          <w:rFonts w:ascii="Arial" w:cs="Arial" w:eastAsia="Arial" w:hAnsi="Arial"/>
          <w:sz w:val="13"/>
          <w:szCs w:val="13"/>
          <w:b w:val="1"/>
          <w:bCs w:val="1"/>
          <w:color w:val="00A0DD"/>
        </w:rPr>
        <w:t xml:space="preserve"> </w:t>
      </w:r>
      <w:r>
        <w:rPr>
          <w:rFonts w:ascii="Arial" w:cs="Arial" w:eastAsia="Arial" w:hAnsi="Arial"/>
          <w:sz w:val="13"/>
          <w:szCs w:val="13"/>
          <w:color w:val="000000"/>
        </w:rPr>
        <w:t>announced plans to offer these speeds and other advanced capabilities across our entire U.S. footprint</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00A0DD"/>
        </w:rPr>
        <w:t>Business Services Connectivity approached $10 billion in annual revenue</w:t>
      </w:r>
      <w:r>
        <w:rPr>
          <w:rFonts w:ascii="Arial" w:cs="Arial" w:eastAsia="Arial" w:hAnsi="Arial"/>
          <w:sz w:val="13"/>
          <w:szCs w:val="13"/>
          <w:color w:val="000000"/>
        </w:rPr>
        <w:t>, continuing to serve as a high margin growth engine</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00A0DD"/>
        </w:rPr>
        <w:t xml:space="preserve">Increased wireless customer lines in the U.S. </w:t>
      </w:r>
      <w:r>
        <w:rPr>
          <w:rFonts w:ascii="Arial" w:cs="Arial" w:eastAsia="Arial" w:hAnsi="Arial"/>
          <w:sz w:val="13"/>
          <w:szCs w:val="13"/>
          <w:color w:val="000000"/>
        </w:rPr>
        <w:t>by 24% to 6.6 million in 2023 and increased domestic wireless revenue by 19%</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00A0DD"/>
        </w:rPr>
        <w:t xml:space="preserve">Grew International Connectivity revenue </w:t>
      </w:r>
      <w:r>
        <w:rPr>
          <w:rFonts w:ascii="Arial" w:cs="Arial" w:eastAsia="Arial" w:hAnsi="Arial"/>
          <w:sz w:val="13"/>
          <w:szCs w:val="13"/>
          <w:color w:val="000000"/>
        </w:rPr>
        <w:t>by 23% in 2023</w:t>
      </w:r>
    </w:p>
    <w:p>
      <w:pPr>
        <w:spacing w:after="0" w:line="200" w:lineRule="exact"/>
        <w:rPr>
          <w:sz w:val="20"/>
          <w:szCs w:val="20"/>
          <w:color w:val="auto"/>
        </w:rPr>
      </w:pPr>
    </w:p>
    <w:p>
      <w:pPr>
        <w:sectPr>
          <w:pgSz w:w="11900" w:h="16838" w:orient="portrait"/>
          <w:cols w:equalWidth="0" w:num="2">
            <w:col w:w="2300" w:space="280"/>
            <w:col w:w="8640"/>
          </w:cols>
          <w:pgMar w:left="320" w:top="121" w:right="359" w:bottom="1440" w:gutter="0" w:footer="0" w:header="0"/>
          <w:type w:val="continuous"/>
        </w:sectPr>
      </w:pPr>
    </w:p>
    <w:p>
      <w:pPr>
        <w:spacing w:after="0" w:line="200" w:lineRule="exact"/>
        <w:rPr>
          <w:sz w:val="20"/>
          <w:szCs w:val="20"/>
          <w:color w:val="auto"/>
        </w:rPr>
      </w:pPr>
    </w:p>
    <w:p>
      <w:pPr>
        <w:spacing w:after="0" w:line="337" w:lineRule="exact"/>
        <w:rPr>
          <w:sz w:val="20"/>
          <w:szCs w:val="20"/>
          <w:color w:val="auto"/>
        </w:rPr>
      </w:pPr>
    </w:p>
    <w:p>
      <w:pPr>
        <w:ind w:left="1040"/>
        <w:spacing w:after="0" w:line="311" w:lineRule="auto"/>
        <w:rPr>
          <w:sz w:val="20"/>
          <w:szCs w:val="20"/>
          <w:color w:val="auto"/>
        </w:rPr>
      </w:pPr>
      <w:r>
        <w:rPr>
          <w:rFonts w:ascii="Arial" w:cs="Arial" w:eastAsia="Arial" w:hAnsi="Arial"/>
          <w:sz w:val="17"/>
          <w:szCs w:val="17"/>
          <w:b w:val="1"/>
          <w:bCs w:val="1"/>
          <w:color w:val="00A0DD"/>
        </w:rPr>
        <w:t>Content &amp; Experiences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00A0DD"/>
        </w:rPr>
        <w:t xml:space="preserve">Theme Parks increased revenue </w:t>
      </w:r>
      <w:r>
        <w:rPr>
          <w:rFonts w:ascii="Arial" w:cs="Arial" w:eastAsia="Arial" w:hAnsi="Arial"/>
          <w:sz w:val="13"/>
          <w:szCs w:val="13"/>
          <w:color w:val="000000"/>
        </w:rPr>
        <w:t>by 19% to $8.9 billion and Adjusted EBITDA by 25% to $3.3 billion in 2023</w:t>
      </w:r>
    </w:p>
    <w:p>
      <w:pPr>
        <w:spacing w:after="0" w:line="107" w:lineRule="exact"/>
        <w:rPr>
          <w:sz w:val="20"/>
          <w:szCs w:val="20"/>
          <w:color w:val="auto"/>
        </w:rPr>
      </w:pPr>
    </w:p>
    <w:p>
      <w:pPr>
        <w:ind w:right="380"/>
        <w:spacing w:after="0" w:line="284" w:lineRule="auto"/>
        <w:rPr>
          <w:sz w:val="20"/>
          <w:szCs w:val="20"/>
          <w:color w:val="auto"/>
        </w:rPr>
      </w:pPr>
      <w:r>
        <w:rPr>
          <w:rFonts w:ascii="Arial" w:cs="Arial" w:eastAsia="Arial" w:hAnsi="Arial"/>
          <w:sz w:val="13"/>
          <w:szCs w:val="13"/>
          <w:b w:val="1"/>
          <w:bCs w:val="1"/>
          <w:color w:val="00A0DD"/>
        </w:rPr>
        <w:t xml:space="preserve">Peacock remained the fastest growing streaming service </w:t>
      </w:r>
      <w:r>
        <w:rPr>
          <w:rFonts w:ascii="Arial" w:cs="Arial" w:eastAsia="Arial" w:hAnsi="Arial"/>
          <w:sz w:val="13"/>
          <w:szCs w:val="13"/>
          <w:color w:val="000000"/>
        </w:rPr>
        <w:t>in the U.S. in 2023; Peacock paid subscribers increased by nearly 50% to 31</w:t>
      </w:r>
      <w:r>
        <w:rPr>
          <w:rFonts w:ascii="Arial" w:cs="Arial" w:eastAsia="Arial" w:hAnsi="Arial"/>
          <w:sz w:val="13"/>
          <w:szCs w:val="13"/>
          <w:b w:val="1"/>
          <w:bCs w:val="1"/>
          <w:color w:val="00A0DD"/>
        </w:rPr>
        <w:t xml:space="preserve"> </w:t>
      </w:r>
      <w:r>
        <w:rPr>
          <w:rFonts w:ascii="Arial" w:cs="Arial" w:eastAsia="Arial" w:hAnsi="Arial"/>
          <w:sz w:val="13"/>
          <w:szCs w:val="13"/>
          <w:color w:val="000000"/>
        </w:rPr>
        <w:t>million and Peacock revenue increased by 62% to $3.4 billion from 2022 to 2023</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00A0DD"/>
        </w:rPr>
        <w:t xml:space="preserve">Ranked #1 film studio in worldwide box office </w:t>
      </w:r>
      <w:r>
        <w:rPr>
          <w:rFonts w:ascii="Arial" w:cs="Arial" w:eastAsia="Arial" w:hAnsi="Arial"/>
          <w:sz w:val="13"/>
          <w:szCs w:val="13"/>
          <w:color w:val="000000"/>
        </w:rPr>
        <w:t>in 2023, including 3 of the top 5 films:</w:t>
      </w:r>
      <w:r>
        <w:rPr>
          <w:rFonts w:ascii="Arial" w:cs="Arial" w:eastAsia="Arial" w:hAnsi="Arial"/>
          <w:sz w:val="13"/>
          <w:szCs w:val="13"/>
          <w:b w:val="1"/>
          <w:bCs w:val="1"/>
          <w:color w:val="00A0DD"/>
        </w:rPr>
        <w:t xml:space="preserve"> </w:t>
      </w:r>
      <w:r>
        <w:rPr>
          <w:rFonts w:ascii="Arial" w:cs="Arial" w:eastAsia="Arial" w:hAnsi="Arial"/>
          <w:sz w:val="13"/>
          <w:szCs w:val="13"/>
          <w:i w:val="1"/>
          <w:iCs w:val="1"/>
          <w:color w:val="000000"/>
        </w:rPr>
        <w:t>Super Mario Bros. Movie, Oppenheimer</w:t>
      </w:r>
      <w:r>
        <w:rPr>
          <w:rFonts w:ascii="Arial" w:cs="Arial" w:eastAsia="Arial" w:hAnsi="Arial"/>
          <w:sz w:val="13"/>
          <w:szCs w:val="13"/>
          <w:b w:val="1"/>
          <w:bCs w:val="1"/>
          <w:color w:val="00A0DD"/>
        </w:rPr>
        <w:t xml:space="preserve"> </w:t>
      </w:r>
      <w:r>
        <w:rPr>
          <w:rFonts w:ascii="Arial" w:cs="Arial" w:eastAsia="Arial" w:hAnsi="Arial"/>
          <w:sz w:val="13"/>
          <w:szCs w:val="13"/>
          <w:color w:val="000000"/>
        </w:rPr>
        <w:t>and</w:t>
      </w:r>
      <w:r>
        <w:rPr>
          <w:rFonts w:ascii="Arial" w:cs="Arial" w:eastAsia="Arial" w:hAnsi="Arial"/>
          <w:sz w:val="13"/>
          <w:szCs w:val="13"/>
          <w:b w:val="1"/>
          <w:bCs w:val="1"/>
          <w:color w:val="00A0DD"/>
        </w:rPr>
        <w:t xml:space="preserve"> </w:t>
      </w:r>
      <w:r>
        <w:rPr>
          <w:rFonts w:ascii="Arial" w:cs="Arial" w:eastAsia="Arial" w:hAnsi="Arial"/>
          <w:sz w:val="13"/>
          <w:szCs w:val="13"/>
          <w:i w:val="1"/>
          <w:iCs w:val="1"/>
          <w:color w:val="000000"/>
        </w:rPr>
        <w:t>Fast X</w:t>
      </w:r>
    </w:p>
    <w:p>
      <w:pPr>
        <w:spacing w:after="0" w:line="107" w:lineRule="exact"/>
        <w:rPr>
          <w:sz w:val="20"/>
          <w:szCs w:val="20"/>
          <w:color w:val="auto"/>
        </w:rPr>
      </w:pPr>
    </w:p>
    <w:p>
      <w:pPr>
        <w:ind w:right="400"/>
        <w:spacing w:after="0" w:line="284" w:lineRule="auto"/>
        <w:rPr>
          <w:sz w:val="20"/>
          <w:szCs w:val="20"/>
          <w:color w:val="auto"/>
        </w:rPr>
      </w:pPr>
      <w:r>
        <w:rPr>
          <w:rFonts w:ascii="Arial" w:cs="Arial" w:eastAsia="Arial" w:hAnsi="Arial"/>
          <w:sz w:val="13"/>
          <w:szCs w:val="13"/>
          <w:b w:val="1"/>
          <w:bCs w:val="1"/>
          <w:color w:val="00A0DD"/>
        </w:rPr>
        <w:t>Sky Sports remained a premier service for U.K. sports fans</w:t>
      </w:r>
      <w:r>
        <w:rPr>
          <w:rFonts w:ascii="Arial" w:cs="Arial" w:eastAsia="Arial" w:hAnsi="Arial"/>
          <w:sz w:val="13"/>
          <w:szCs w:val="13"/>
          <w:color w:val="000000"/>
        </w:rPr>
        <w:t>, extending its Formula 1 partnership and inking a new deal for rights to the</w:t>
      </w:r>
      <w:r>
        <w:rPr>
          <w:rFonts w:ascii="Arial" w:cs="Arial" w:eastAsia="Arial" w:hAnsi="Arial"/>
          <w:sz w:val="13"/>
          <w:szCs w:val="13"/>
          <w:b w:val="1"/>
          <w:bCs w:val="1"/>
          <w:color w:val="00A0DD"/>
        </w:rPr>
        <w:t xml:space="preserve"> </w:t>
      </w:r>
      <w:r>
        <w:rPr>
          <w:rFonts w:ascii="Arial" w:cs="Arial" w:eastAsia="Arial" w:hAnsi="Arial"/>
          <w:sz w:val="13"/>
          <w:szCs w:val="13"/>
          <w:color w:val="000000"/>
        </w:rPr>
        <w:t>Premier League</w:t>
      </w:r>
    </w:p>
    <w:p>
      <w:pPr>
        <w:spacing w:after="0" w:line="267" w:lineRule="exact"/>
        <w:rPr>
          <w:sz w:val="20"/>
          <w:szCs w:val="20"/>
          <w:color w:val="auto"/>
        </w:rPr>
      </w:pPr>
    </w:p>
    <w:p>
      <w:pPr>
        <w:ind w:left="1540"/>
        <w:spacing w:after="0"/>
        <w:rPr>
          <w:sz w:val="20"/>
          <w:szCs w:val="20"/>
          <w:color w:val="auto"/>
        </w:rPr>
      </w:pPr>
      <w:r>
        <w:rPr>
          <w:rFonts w:ascii="Arial" w:cs="Arial" w:eastAsia="Arial" w:hAnsi="Arial"/>
          <w:sz w:val="22"/>
          <w:szCs w:val="22"/>
          <w:b w:val="1"/>
          <w:bCs w:val="1"/>
          <w:color w:val="00A0DD"/>
        </w:rPr>
        <w:t>Corporate Responsibility Initiatives</w:t>
      </w:r>
    </w:p>
    <w:p>
      <w:pPr>
        <w:spacing w:after="0" w:line="200" w:lineRule="exact"/>
        <w:rPr>
          <w:sz w:val="20"/>
          <w:szCs w:val="20"/>
          <w:color w:val="auto"/>
        </w:rPr>
      </w:pPr>
    </w:p>
    <w:p>
      <w:pPr>
        <w:sectPr>
          <w:pgSz w:w="11900" w:h="16838" w:orient="portrait"/>
          <w:cols w:equalWidth="0" w:num="2">
            <w:col w:w="2100" w:space="480"/>
            <w:col w:w="8640"/>
          </w:cols>
          <w:pgMar w:left="320" w:top="121" w:right="359" w:bottom="1440" w:gutter="0" w:footer="0" w:header="0"/>
          <w:type w:val="continuous"/>
        </w:sectPr>
      </w:pPr>
    </w:p>
    <w:p>
      <w:pPr>
        <w:spacing w:after="0" w:line="326"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00A0DD"/>
        </w:rPr>
        <w:t>Digital Equity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00A0DD"/>
        </w:rPr>
        <w:t xml:space="preserve">Over a decade </w:t>
      </w:r>
      <w:r>
        <w:rPr>
          <w:rFonts w:ascii="Arial" w:cs="Arial" w:eastAsia="Arial" w:hAnsi="Arial"/>
          <w:sz w:val="13"/>
          <w:szCs w:val="13"/>
          <w:color w:val="000000"/>
        </w:rPr>
        <w:t>of commitment to using our platforms and reach to help advance digital equity</w:t>
      </w:r>
    </w:p>
    <w:p>
      <w:pPr>
        <w:spacing w:after="0" w:line="107" w:lineRule="exact"/>
        <w:rPr>
          <w:sz w:val="20"/>
          <w:szCs w:val="20"/>
          <w:color w:val="auto"/>
        </w:rPr>
      </w:pPr>
    </w:p>
    <w:p>
      <w:pPr>
        <w:ind w:right="260"/>
        <w:spacing w:after="0" w:line="284" w:lineRule="auto"/>
        <w:rPr>
          <w:sz w:val="20"/>
          <w:szCs w:val="20"/>
          <w:color w:val="auto"/>
        </w:rPr>
      </w:pPr>
      <w:r>
        <w:rPr>
          <w:rFonts w:ascii="Arial" w:cs="Arial" w:eastAsia="Arial" w:hAnsi="Arial"/>
          <w:sz w:val="13"/>
          <w:szCs w:val="13"/>
          <w:b w:val="1"/>
          <w:bCs w:val="1"/>
          <w:color w:val="00A0DD"/>
        </w:rPr>
        <w:t xml:space="preserve">Empowering thousands of Digital Navigators </w:t>
      </w:r>
      <w:r>
        <w:rPr>
          <w:rFonts w:ascii="Arial" w:cs="Arial" w:eastAsia="Arial" w:hAnsi="Arial"/>
          <w:sz w:val="13"/>
          <w:szCs w:val="13"/>
          <w:color w:val="000000"/>
        </w:rPr>
        <w:t>to help more people connect to the internet, get devices and access skills training and other</w:t>
      </w:r>
      <w:r>
        <w:rPr>
          <w:rFonts w:ascii="Arial" w:cs="Arial" w:eastAsia="Arial" w:hAnsi="Arial"/>
          <w:sz w:val="13"/>
          <w:szCs w:val="13"/>
          <w:b w:val="1"/>
          <w:bCs w:val="1"/>
          <w:color w:val="00A0DD"/>
        </w:rPr>
        <w:t xml:space="preserve"> </w:t>
      </w:r>
      <w:r>
        <w:rPr>
          <w:rFonts w:ascii="Arial" w:cs="Arial" w:eastAsia="Arial" w:hAnsi="Arial"/>
          <w:sz w:val="13"/>
          <w:szCs w:val="13"/>
          <w:color w:val="000000"/>
        </w:rPr>
        <w:t>digital literacy resources</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Participating in federal, state and local programs designed to fund expansion of broadband to </w:t>
      </w:r>
      <w:r>
        <w:rPr>
          <w:rFonts w:ascii="Arial" w:cs="Arial" w:eastAsia="Arial" w:hAnsi="Arial"/>
          <w:sz w:val="13"/>
          <w:szCs w:val="13"/>
          <w:b w:val="1"/>
          <w:bCs w:val="1"/>
          <w:color w:val="00A0DD"/>
        </w:rPr>
        <w:t>unserved and underserved Americans</w:t>
      </w:r>
    </w:p>
    <w:p>
      <w:pPr>
        <w:spacing w:after="0" w:line="200" w:lineRule="exact"/>
        <w:rPr>
          <w:sz w:val="20"/>
          <w:szCs w:val="20"/>
          <w:color w:val="auto"/>
        </w:rPr>
      </w:pPr>
    </w:p>
    <w:p>
      <w:pPr>
        <w:sectPr>
          <w:pgSz w:w="11900" w:h="16838" w:orient="portrait"/>
          <w:cols w:equalWidth="0" w:num="2">
            <w:col w:w="2200" w:space="380"/>
            <w:col w:w="8640"/>
          </w:cols>
          <w:pgMar w:left="320" w:top="121" w:right="359" w:bottom="1440" w:gutter="0" w:footer="0" w:header="0"/>
          <w:type w:val="continuous"/>
        </w:sectPr>
      </w:pPr>
    </w:p>
    <w:p>
      <w:pPr>
        <w:spacing w:after="0" w:line="11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00A0DD"/>
        </w:rPr>
        <w:t>Diversity,</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00A0DD"/>
        </w:rPr>
        <w:t>Equity</w:t>
      </w:r>
    </w:p>
    <w:p>
      <w:pPr>
        <w:ind w:left="1040"/>
        <w:spacing w:after="0"/>
        <w:rPr>
          <w:sz w:val="20"/>
          <w:szCs w:val="20"/>
          <w:color w:val="auto"/>
        </w:rPr>
      </w:pPr>
      <w:r>
        <w:rPr>
          <w:rFonts w:ascii="Arial" w:cs="Arial" w:eastAsia="Arial" w:hAnsi="Arial"/>
          <w:sz w:val="18"/>
          <w:szCs w:val="18"/>
          <w:b w:val="1"/>
          <w:bCs w:val="1"/>
          <w:color w:val="00A0DD"/>
        </w:rPr>
        <w:t>&amp; Inclusion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340"/>
        <w:spacing w:after="0" w:line="327" w:lineRule="auto"/>
        <w:rPr>
          <w:sz w:val="20"/>
          <w:szCs w:val="20"/>
          <w:color w:val="auto"/>
        </w:rPr>
      </w:pPr>
      <w:r>
        <w:rPr>
          <w:rFonts w:ascii="Arial" w:cs="Arial" w:eastAsia="Arial" w:hAnsi="Arial"/>
          <w:sz w:val="13"/>
          <w:szCs w:val="13"/>
          <w:b w:val="1"/>
          <w:bCs w:val="1"/>
          <w:color w:val="00A0DD"/>
        </w:rPr>
        <w:t xml:space="preserve">Nine employee resource groups </w:t>
      </w:r>
      <w:r>
        <w:rPr>
          <w:rFonts w:ascii="Arial" w:cs="Arial" w:eastAsia="Arial" w:hAnsi="Arial"/>
          <w:sz w:val="13"/>
          <w:szCs w:val="13"/>
          <w:color w:val="000000"/>
        </w:rPr>
        <w:t>open to all with approximately</w:t>
      </w:r>
      <w:r>
        <w:rPr>
          <w:rFonts w:ascii="Arial" w:cs="Arial" w:eastAsia="Arial" w:hAnsi="Arial"/>
          <w:sz w:val="13"/>
          <w:szCs w:val="13"/>
          <w:b w:val="1"/>
          <w:bCs w:val="1"/>
          <w:color w:val="00A0DD"/>
        </w:rPr>
        <w:t xml:space="preserve"> 36,000 members </w:t>
      </w:r>
      <w:r>
        <w:rPr>
          <w:rFonts w:ascii="Arial" w:cs="Arial" w:eastAsia="Arial" w:hAnsi="Arial"/>
          <w:sz w:val="13"/>
          <w:szCs w:val="13"/>
          <w:color w:val="000000"/>
        </w:rPr>
        <w:t>in</w:t>
      </w:r>
      <w:r>
        <w:rPr>
          <w:rFonts w:ascii="Arial" w:cs="Arial" w:eastAsia="Arial" w:hAnsi="Arial"/>
          <w:sz w:val="13"/>
          <w:szCs w:val="13"/>
          <w:b w:val="1"/>
          <w:bCs w:val="1"/>
          <w:color w:val="00A0DD"/>
        </w:rPr>
        <w:t xml:space="preserve"> 250 chapters </w:t>
      </w:r>
      <w:r>
        <w:rPr>
          <w:rFonts w:ascii="Arial" w:cs="Arial" w:eastAsia="Arial" w:hAnsi="Arial"/>
          <w:sz w:val="13"/>
          <w:szCs w:val="13"/>
          <w:color w:val="000000"/>
        </w:rPr>
        <w:t>dedicated to developing the careers of</w:t>
      </w:r>
      <w:r>
        <w:rPr>
          <w:rFonts w:ascii="Arial" w:cs="Arial" w:eastAsia="Arial" w:hAnsi="Arial"/>
          <w:sz w:val="13"/>
          <w:szCs w:val="13"/>
          <w:b w:val="1"/>
          <w:bCs w:val="1"/>
          <w:color w:val="00A0DD"/>
        </w:rPr>
        <w:t xml:space="preserve"> </w:t>
      </w:r>
      <w:r>
        <w:rPr>
          <w:rFonts w:ascii="Arial" w:cs="Arial" w:eastAsia="Arial" w:hAnsi="Arial"/>
          <w:sz w:val="13"/>
          <w:szCs w:val="13"/>
          <w:color w:val="000000"/>
        </w:rPr>
        <w:t>our employees, contributing to community service and building on an inclusive and collaborative workplace and culture</w:t>
      </w:r>
    </w:p>
    <w:p>
      <w:pPr>
        <w:spacing w:after="0" w:line="25" w:lineRule="exact"/>
        <w:rPr>
          <w:sz w:val="20"/>
          <w:szCs w:val="20"/>
          <w:color w:val="auto"/>
        </w:rPr>
      </w:pPr>
    </w:p>
    <w:p>
      <w:pPr>
        <w:ind w:right="640"/>
        <w:spacing w:after="0" w:line="284" w:lineRule="auto"/>
        <w:rPr>
          <w:sz w:val="20"/>
          <w:szCs w:val="20"/>
          <w:color w:val="auto"/>
        </w:rPr>
      </w:pPr>
      <w:r>
        <w:rPr>
          <w:rFonts w:ascii="Arial" w:cs="Arial" w:eastAsia="Arial" w:hAnsi="Arial"/>
          <w:sz w:val="13"/>
          <w:szCs w:val="13"/>
          <w:color w:val="auto"/>
        </w:rPr>
        <w:t xml:space="preserve">Supported </w:t>
      </w:r>
      <w:r>
        <w:rPr>
          <w:rFonts w:ascii="Arial" w:cs="Arial" w:eastAsia="Arial" w:hAnsi="Arial"/>
          <w:sz w:val="13"/>
          <w:szCs w:val="13"/>
          <w:b w:val="1"/>
          <w:bCs w:val="1"/>
          <w:color w:val="00A0DD"/>
        </w:rPr>
        <w:t>13,500 small businesses</w:t>
      </w:r>
      <w:r>
        <w:rPr>
          <w:rFonts w:ascii="Arial" w:cs="Arial" w:eastAsia="Arial" w:hAnsi="Arial"/>
          <w:sz w:val="13"/>
          <w:szCs w:val="13"/>
          <w:color w:val="auto"/>
        </w:rPr>
        <w:t xml:space="preserve"> through Comcast RISE to date, including </w:t>
      </w:r>
      <w:r>
        <w:rPr>
          <w:rFonts w:ascii="Arial" w:cs="Arial" w:eastAsia="Arial" w:hAnsi="Arial"/>
          <w:sz w:val="13"/>
          <w:szCs w:val="13"/>
          <w:b w:val="1"/>
          <w:bCs w:val="1"/>
          <w:color w:val="00A0DD"/>
        </w:rPr>
        <w:t>500 recipients</w:t>
      </w:r>
      <w:r>
        <w:rPr>
          <w:rFonts w:ascii="Arial" w:cs="Arial" w:eastAsia="Arial" w:hAnsi="Arial"/>
          <w:sz w:val="13"/>
          <w:szCs w:val="13"/>
          <w:color w:val="auto"/>
        </w:rPr>
        <w:t xml:space="preserve"> of monetary, marketing and technology grants in 2023</w:t>
      </w:r>
    </w:p>
    <w:p>
      <w:pPr>
        <w:spacing w:after="0" w:line="164" w:lineRule="exact"/>
        <w:rPr>
          <w:sz w:val="20"/>
          <w:szCs w:val="20"/>
          <w:color w:val="auto"/>
        </w:rPr>
      </w:pPr>
    </w:p>
    <w:p>
      <w:pPr>
        <w:sectPr>
          <w:pgSz w:w="11900" w:h="16838" w:orient="portrait"/>
          <w:cols w:equalWidth="0" w:num="2">
            <w:col w:w="2020" w:space="560"/>
            <w:col w:w="8640"/>
          </w:cols>
          <w:pgMar w:left="320" w:top="121" w:right="359" w:bottom="1440" w:gutter="0" w:footer="0" w:header="0"/>
          <w:type w:val="continuous"/>
        </w:sectPr>
      </w:pPr>
    </w:p>
    <w:tbl>
      <w:tblPr>
        <w:tblLayout w:type="fixed"/>
        <w:tblInd w:w="160" w:type="dxa"/>
        <w:tblCellMar>
          <w:top w:w="0" w:type="dxa"/>
          <w:left w:w="0" w:type="dxa"/>
          <w:bottom w:w="0" w:type="dxa"/>
          <w:right w:w="0" w:type="dxa"/>
        </w:tblCellMar>
      </w:tblPr>
      <w:tr>
        <w:trPr>
          <w:trHeight w:val="207"/>
        </w:trPr>
        <w:tc>
          <w:tcPr>
            <w:tcW w:w="2280" w:type="dxa"/>
            <w:vAlign w:val="bottom"/>
          </w:tcPr>
          <w:p>
            <w:pPr>
              <w:ind w:left="880"/>
              <w:spacing w:after="0"/>
              <w:rPr>
                <w:sz w:val="20"/>
                <w:szCs w:val="20"/>
                <w:color w:val="auto"/>
              </w:rPr>
            </w:pPr>
            <w:r>
              <w:rPr>
                <w:rFonts w:ascii="Arial" w:cs="Arial" w:eastAsia="Arial" w:hAnsi="Arial"/>
                <w:sz w:val="18"/>
                <w:szCs w:val="18"/>
                <w:b w:val="1"/>
                <w:bCs w:val="1"/>
                <w:color w:val="00A0DD"/>
              </w:rPr>
              <w:t>Environmental</w:t>
            </w:r>
          </w:p>
        </w:tc>
        <w:tc>
          <w:tcPr>
            <w:tcW w:w="8660" w:type="dxa"/>
            <w:vAlign w:val="bottom"/>
          </w:tcPr>
          <w:p>
            <w:pPr>
              <w:ind w:left="140"/>
              <w:spacing w:after="0"/>
              <w:rPr>
                <w:sz w:val="20"/>
                <w:szCs w:val="20"/>
                <w:color w:val="auto"/>
              </w:rPr>
            </w:pPr>
            <w:r>
              <w:rPr>
                <w:rFonts w:ascii="Arial" w:cs="Arial" w:eastAsia="Arial" w:hAnsi="Arial"/>
                <w:sz w:val="13"/>
                <w:szCs w:val="13"/>
                <w:color w:val="auto"/>
              </w:rPr>
              <w:t xml:space="preserve">Working toward </w:t>
            </w:r>
            <w:r>
              <w:rPr>
                <w:rFonts w:ascii="Arial" w:cs="Arial" w:eastAsia="Arial" w:hAnsi="Arial"/>
                <w:sz w:val="13"/>
                <w:szCs w:val="13"/>
                <w:b w:val="1"/>
                <w:bCs w:val="1"/>
                <w:color w:val="00A0DD"/>
              </w:rPr>
              <w:t>2035 carbon neutral goal</w:t>
            </w:r>
          </w:p>
        </w:tc>
      </w:tr>
      <w:tr>
        <w:trPr>
          <w:trHeight w:val="247"/>
        </w:trPr>
        <w:tc>
          <w:tcPr>
            <w:tcW w:w="2280" w:type="dxa"/>
            <w:vAlign w:val="bottom"/>
          </w:tcPr>
          <w:p>
            <w:pPr>
              <w:ind w:left="880"/>
              <w:spacing w:after="0"/>
              <w:rPr>
                <w:sz w:val="20"/>
                <w:szCs w:val="20"/>
                <w:color w:val="auto"/>
              </w:rPr>
            </w:pPr>
            <w:r>
              <w:rPr>
                <w:rFonts w:ascii="Arial" w:cs="Arial" w:eastAsia="Arial" w:hAnsi="Arial"/>
                <w:sz w:val="18"/>
                <w:szCs w:val="18"/>
                <w:b w:val="1"/>
                <w:bCs w:val="1"/>
                <w:color w:val="00A0DD"/>
              </w:rPr>
              <w:t>Sustainability</w:t>
            </w:r>
          </w:p>
        </w:tc>
        <w:tc>
          <w:tcPr>
            <w:tcW w:w="8660" w:type="dxa"/>
            <w:vAlign w:val="bottom"/>
          </w:tcPr>
          <w:p>
            <w:pPr>
              <w:ind w:left="140"/>
              <w:spacing w:after="0"/>
              <w:rPr>
                <w:sz w:val="20"/>
                <w:szCs w:val="20"/>
                <w:color w:val="auto"/>
              </w:rPr>
            </w:pPr>
            <w:r>
              <w:rPr>
                <w:rFonts w:ascii="Arial" w:cs="Arial" w:eastAsia="Arial" w:hAnsi="Arial"/>
                <w:sz w:val="13"/>
                <w:szCs w:val="13"/>
                <w:b w:val="1"/>
                <w:bCs w:val="1"/>
                <w:color w:val="00A0DD"/>
              </w:rPr>
              <w:t xml:space="preserve">Over 30% reduction in Scope 1 and 2 emissions </w:t>
            </w:r>
            <w:r>
              <w:rPr>
                <w:rFonts w:ascii="Arial" w:cs="Arial" w:eastAsia="Arial" w:hAnsi="Arial"/>
                <w:sz w:val="13"/>
                <w:szCs w:val="13"/>
                <w:color w:val="000000"/>
              </w:rPr>
              <w:t>between our 2019 base year and 2022</w:t>
            </w:r>
          </w:p>
        </w:tc>
      </w:tr>
      <w:tr>
        <w:trPr>
          <w:trHeight w:val="83"/>
        </w:trPr>
        <w:tc>
          <w:tcPr>
            <w:tcW w:w="2280" w:type="dxa"/>
            <w:vAlign w:val="bottom"/>
          </w:tcPr>
          <w:p>
            <w:pPr>
              <w:spacing w:after="0"/>
              <w:rPr>
                <w:sz w:val="7"/>
                <w:szCs w:val="7"/>
                <w:color w:val="auto"/>
              </w:rPr>
            </w:pPr>
          </w:p>
        </w:tc>
        <w:tc>
          <w:tcPr>
            <w:tcW w:w="8660" w:type="dxa"/>
            <w:vAlign w:val="bottom"/>
          </w:tcPr>
          <w:p>
            <w:pPr>
              <w:spacing w:after="0"/>
              <w:rPr>
                <w:sz w:val="7"/>
                <w:szCs w:val="7"/>
                <w:color w:val="auto"/>
              </w:rPr>
            </w:pPr>
          </w:p>
        </w:tc>
      </w:tr>
      <w:tr>
        <w:trPr>
          <w:trHeight w:val="216"/>
        </w:trPr>
        <w:tc>
          <w:tcPr>
            <w:tcW w:w="2280" w:type="dxa"/>
            <w:vAlign w:val="bottom"/>
            <w:shd w:val="clear" w:color="auto" w:fill="D8EDF7"/>
          </w:tcPr>
          <w:p>
            <w:pPr>
              <w:spacing w:after="0"/>
              <w:rPr>
                <w:sz w:val="18"/>
                <w:szCs w:val="18"/>
                <w:color w:val="auto"/>
              </w:rPr>
            </w:pPr>
          </w:p>
        </w:tc>
        <w:tc>
          <w:tcPr>
            <w:tcW w:w="8660" w:type="dxa"/>
            <w:vAlign w:val="bottom"/>
            <w:shd w:val="clear" w:color="auto" w:fill="D8EDF7"/>
          </w:tcPr>
          <w:p>
            <w:pPr>
              <w:spacing w:after="0"/>
              <w:rPr>
                <w:sz w:val="18"/>
                <w:szCs w:val="18"/>
                <w:color w:val="auto"/>
              </w:rPr>
            </w:pPr>
          </w:p>
        </w:tc>
      </w:tr>
    </w:tbl>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 ABOUT FORWARD-LOOKING STATEMENTS AND WEBSITE REFERENCES</w:t>
      </w:r>
    </w:p>
    <w:p>
      <w:pPr>
        <w:spacing w:after="0" w:line="217"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This proxy statement includes statements that may constitute “forward-looking statements” within the meaning of the Private Securities Litigation Reform Act of 1995, Section 27A of the Securities Act of 1933 and Section 21E of the Securities Exchange Act of 1934 (the “Exchange Act”).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and statements regarding environmental, social and governance-related plans and goals, which are based on current expectations and assumptions that are subject to risks and uncertainties that may cause actual results to differ materially. These forward-looking statements generally are identified by the words “believe,” “project,” “expect,” “anticipate,” “estimate,” “intend,” “potential,” “strategy,” “future,” “opportunity,” “commit,” “plan,” “goal,” “may,” “should,” “could,” “will,” “would,” “will be,” “will continue,” “will likely result” and similar expressions. Factors that could cause our actual results to differ materially from these forward-looking statements include changes in and/or risks associated with: the competitive environment; consumer behavior; the advertising market; consumer acceptance of our content; programming costs;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labor disputes; laws and regulations; adverse decisions in litigation or governmental investigations; and other risks described from time to time in reports and other documents we file with the Securities and Exchange Commission (“SEC”). There are also certain risks and challenges we may face in meeting our environmental goals that are beyond our control, including political, economic, regulatory and geopolitical conditions, supply chain and labor issues, supplier emissions reductions, the evolution of carbon offset markets and innovations in technology and infrastructure.</w:t>
      </w:r>
    </w:p>
    <w:p>
      <w:pPr>
        <w:spacing w:after="0" w:line="193" w:lineRule="exact"/>
        <w:rPr>
          <w:sz w:val="20"/>
          <w:szCs w:val="20"/>
          <w:color w:val="auto"/>
        </w:rPr>
      </w:pPr>
    </w:p>
    <w:p>
      <w:pPr>
        <w:spacing w:after="0" w:line="244" w:lineRule="auto"/>
        <w:rPr>
          <w:sz w:val="20"/>
          <w:szCs w:val="20"/>
          <w:color w:val="auto"/>
        </w:rPr>
      </w:pPr>
      <w:r>
        <w:rPr>
          <w:rFonts w:ascii="Arial" w:cs="Arial" w:eastAsia="Arial" w:hAnsi="Arial"/>
          <w:sz w:val="13"/>
          <w:szCs w:val="13"/>
          <w:color w:val="auto"/>
        </w:rPr>
        <w:t>In evaluating these statements, you should consider various factors, including the risks and uncertainties we describe in the “Risk Factors” sections of our most recent Annual Report on Form 10-K, our most recent Quarterly Report on Form 10-Q and other reports filed with the SEC. The inclusion of forward-looking and other statements in this proxy statement or on our website that may address our corporate responsibility initiatives, progress, plans and goals is not an indication that they are necessarily material to investors or required to be disclosed in our filings with the SEC. Such statements may contain estimates, make assumptions based on developing standards that may change and provide aspirational goals and commitments that are not intended to be promises or guarantees. Readers are cautioned not to place undue reliance on forward-looking statements and such other statements, which speak only as of the date they are made. We undertake no obligation to update or revise publicly any forward-looking or such other statements, whether because of new information, future events or otherwise. Additionally, none of the statements, reports, policies or other content on our website, or any other websites or reports referenced or discussed in this proxy statement, are deemed to be part of, or incorporated by reference into, this proxy statement.</w:t>
      </w:r>
    </w:p>
    <w:p>
      <w:pPr>
        <w:spacing w:after="0" w:line="18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2" w:lineRule="exact"/>
        <w:rPr>
          <w:sz w:val="20"/>
          <w:szCs w:val="20"/>
          <w:color w:val="auto"/>
        </w:rPr>
      </w:pPr>
    </w:p>
    <w:p>
      <w:pPr>
        <w:ind w:right="2280"/>
        <w:spacing w:after="0" w:line="290" w:lineRule="auto"/>
        <w:rPr>
          <w:sz w:val="20"/>
          <w:szCs w:val="20"/>
          <w:color w:val="auto"/>
        </w:rPr>
      </w:pPr>
      <w:r>
        <w:rPr>
          <w:rFonts w:ascii="Arial" w:cs="Arial" w:eastAsia="Arial" w:hAnsi="Arial"/>
          <w:sz w:val="36"/>
          <w:szCs w:val="36"/>
          <w:b w:val="1"/>
          <w:bCs w:val="1"/>
          <w:color w:val="auto"/>
        </w:rPr>
        <w:t>Message from Our Chairman and CEO and Our Lead Independent Director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Shareholders,</w:t>
      </w:r>
    </w:p>
    <w:p>
      <w:pPr>
        <w:spacing w:after="0" w:line="212" w:lineRule="exact"/>
        <w:rPr>
          <w:sz w:val="20"/>
          <w:szCs w:val="20"/>
          <w:color w:val="auto"/>
        </w:rPr>
      </w:pPr>
    </w:p>
    <w:p>
      <w:pPr>
        <w:ind w:right="100"/>
        <w:spacing w:after="0" w:line="288" w:lineRule="auto"/>
        <w:rPr>
          <w:sz w:val="20"/>
          <w:szCs w:val="20"/>
          <w:color w:val="auto"/>
        </w:rPr>
      </w:pPr>
      <w:r>
        <w:rPr>
          <w:rFonts w:ascii="Arial" w:cs="Arial" w:eastAsia="Arial" w:hAnsi="Arial"/>
          <w:sz w:val="18"/>
          <w:szCs w:val="18"/>
          <w:color w:val="auto"/>
        </w:rPr>
        <w:t>We are pleased to report that 2023 was another record year for Comcast. We delivered some of our best financial results in history, returned $16 billion of capital to shareholders and raised our dividend for the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consecutive time.</w:t>
      </w:r>
    </w:p>
    <w:p>
      <w:pPr>
        <w:spacing w:after="0" w:line="13"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Our strong performance was fueled by meaningful investments and execution across our six key growth areas – residential broadband, mobile, business services, theme parks, studios and streaming. In broadband, we continue to provide unmatched products and expand our fiber rich network. With connected devices and high-bandwidth consumption constantly increasing, we continued to enhance capacity, reliability and speed to ensure we’re ready to outpace demand today and in the future. Comcast Business is generating nearly $10 billion in revenue with very healthy margins, and Xfinity Mobile is seeing consistent and healthy subscriber growth, with significant runway still ahead.</w:t>
      </w:r>
    </w:p>
    <w:p>
      <w:pPr>
        <w:spacing w:after="0" w:line="176" w:lineRule="exact"/>
        <w:rPr>
          <w:sz w:val="20"/>
          <w:szCs w:val="20"/>
          <w:color w:val="auto"/>
        </w:rPr>
      </w:pPr>
    </w:p>
    <w:p>
      <w:pPr>
        <w:ind w:right="300"/>
        <w:spacing w:after="0" w:line="244" w:lineRule="auto"/>
        <w:rPr>
          <w:sz w:val="20"/>
          <w:szCs w:val="20"/>
          <w:color w:val="auto"/>
        </w:rPr>
      </w:pPr>
      <w:r>
        <w:rPr>
          <w:rFonts w:ascii="Arial" w:cs="Arial" w:eastAsia="Arial" w:hAnsi="Arial"/>
          <w:sz w:val="18"/>
          <w:szCs w:val="18"/>
          <w:color w:val="auto"/>
        </w:rPr>
        <w:t xml:space="preserve">At the same time, we’re creating unparalleled entertainment experiences that delight viewers and guests. Our film business ranked #1 by worldwide box office in 2023, buoyed by blockbuster hits such as </w:t>
      </w:r>
      <w:r>
        <w:rPr>
          <w:rFonts w:ascii="Arial" w:cs="Arial" w:eastAsia="Arial" w:hAnsi="Arial"/>
          <w:sz w:val="18"/>
          <w:szCs w:val="18"/>
          <w:i w:val="1"/>
          <w:iCs w:val="1"/>
          <w:color w:val="auto"/>
        </w:rPr>
        <w:t>Oppenheimer</w:t>
      </w:r>
      <w:r>
        <w:rPr>
          <w:rFonts w:ascii="Arial" w:cs="Arial" w:eastAsia="Arial" w:hAnsi="Arial"/>
          <w:sz w:val="18"/>
          <w:szCs w:val="18"/>
          <w:color w:val="auto"/>
        </w:rPr>
        <w:t>, which earned seven Academy Awards, including Best Picture. Peacock remained the fastest growing streaming service in America in 2023, increasing paid subscribers by nearly 50% to 31 million. And, at Theme Parks, we achieved record-high revenue and Adjusted EBITDA and have a pipeline of exciting new attractions and experiences coming soon, including the much-anticipated opening of Epic Universe in 2025.</w:t>
      </w:r>
    </w:p>
    <w:p>
      <w:pPr>
        <w:spacing w:after="0" w:line="176"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2023, we welcomed Tom Baltimore, Chairman, President and Chief Executive Officer of Park Hotels &amp; Resorts, Inc., and Louise Brady, Co-Founder and Managing Partner of Piedmont Capital, to our Board, and in 2024, Wonya Lucas, former Chief Executive Officer of Hallmark Media, joined our Board. They are all impressive leaders, and we look forward to their contributions in the coming years. We’d also like to thank Gerald Hassell and Maritza Montiel, who have reached our director retirement age, for their invaluable insight and leadership during their tenure.</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enter 2024 with momentum and confidence in our long-term strategy to drive innovation, growth and shareholder value. We remain committed to delivering world-class connectivity, content and experiences to millions worldwide while also leveraging our unique resources to make a positive impact on our communities and the planet.</w:t>
      </w:r>
    </w:p>
    <w:p>
      <w:pPr>
        <w:spacing w:after="0" w:line="1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As always, we extend our heartfelt appreciation to our Board and management team, and the 186,000 passionate employees who propel our company forward every day. We are also grateful for the continued trust and support of our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4680585" cy="1174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80585" cy="11747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Brian L. Roberts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Edward D. Breen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w:t>
      </w:r>
    </w:p>
    <w:p>
      <w:pPr>
        <w:spacing w:after="0" w:line="200" w:lineRule="exact"/>
        <w:rPr>
          <w:sz w:val="20"/>
          <w:szCs w:val="20"/>
          <w:color w:val="auto"/>
        </w:rPr>
      </w:pPr>
    </w:p>
    <w:p>
      <w:pPr>
        <w:sectPr>
          <w:pgSz w:w="11900" w:h="16838" w:orient="portrait"/>
          <w:cols w:equalWidth="0" w:num="2">
            <w:col w:w="5020" w:space="720"/>
            <w:col w:w="5500"/>
          </w:cols>
          <w:pgMar w:left="320" w:top="122"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2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2</w:t>
            </w:r>
          </w:p>
        </w:tc>
      </w:tr>
      <w:tr>
        <w:trPr>
          <w:trHeight w:val="362"/>
        </w:trPr>
        <w:tc>
          <w:tcPr>
            <w:tcW w:w="11020" w:type="dxa"/>
            <w:vAlign w:val="bottom"/>
            <w:tcBorders>
              <w:bottom w:val="single" w:sz="8" w:color="A1A1A1"/>
            </w:tcBorders>
          </w:tcPr>
          <w:p>
            <w:pPr>
              <w:spacing w:after="0"/>
              <w:rPr>
                <w:sz w:val="24"/>
                <w:szCs w:val="24"/>
                <w:color w:val="auto"/>
              </w:rPr>
            </w:pPr>
          </w:p>
        </w:tc>
        <w:tc>
          <w:tcPr>
            <w:tcW w:w="22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2" w:lineRule="exact"/>
        <w:rPr>
          <w:sz w:val="20"/>
          <w:szCs w:val="20"/>
          <w:color w:val="auto"/>
        </w:rPr>
      </w:pPr>
    </w:p>
    <w:p>
      <w:pPr>
        <w:ind w:right="2740"/>
        <w:spacing w:after="0" w:line="290" w:lineRule="auto"/>
        <w:rPr>
          <w:sz w:val="20"/>
          <w:szCs w:val="20"/>
          <w:color w:val="auto"/>
        </w:rPr>
      </w:pPr>
      <w:r>
        <w:rPr>
          <w:rFonts w:ascii="Arial" w:cs="Arial" w:eastAsia="Arial" w:hAnsi="Arial"/>
          <w:sz w:val="36"/>
          <w:szCs w:val="36"/>
          <w:b w:val="1"/>
          <w:bCs w:val="1"/>
          <w:color w:val="auto"/>
        </w:rPr>
        <w:t>Notice of 2024 Annual Meeting of Shareholders of Comcast Corporation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36"/>
        </w:trPr>
        <w:tc>
          <w:tcPr>
            <w:tcW w:w="1960" w:type="dxa"/>
            <w:vAlign w:val="bottom"/>
            <w:shd w:val="clear" w:color="auto" w:fill="D8EDF7"/>
          </w:tcPr>
          <w:p>
            <w:pPr>
              <w:ind w:left="120"/>
              <w:spacing w:after="0"/>
              <w:rPr>
                <w:sz w:val="20"/>
                <w:szCs w:val="20"/>
                <w:color w:val="auto"/>
              </w:rPr>
            </w:pPr>
            <w:r>
              <w:rPr>
                <w:rFonts w:ascii="Arial" w:cs="Arial" w:eastAsia="Arial" w:hAnsi="Arial"/>
                <w:sz w:val="18"/>
                <w:szCs w:val="18"/>
                <w:b w:val="1"/>
                <w:bCs w:val="1"/>
                <w:color w:val="00A0DD"/>
              </w:rPr>
              <w:t>Date</w:t>
            </w:r>
          </w:p>
        </w:tc>
        <w:tc>
          <w:tcPr>
            <w:tcW w:w="3200" w:type="dxa"/>
            <w:vAlign w:val="bottom"/>
            <w:shd w:val="clear" w:color="auto" w:fill="D8EDF7"/>
          </w:tcPr>
          <w:p>
            <w:pPr>
              <w:ind w:left="260"/>
              <w:spacing w:after="0"/>
              <w:rPr>
                <w:sz w:val="20"/>
                <w:szCs w:val="20"/>
                <w:color w:val="auto"/>
              </w:rPr>
            </w:pPr>
            <w:r>
              <w:rPr>
                <w:rFonts w:ascii="Arial" w:cs="Arial" w:eastAsia="Arial" w:hAnsi="Arial"/>
                <w:sz w:val="18"/>
                <w:szCs w:val="18"/>
                <w:b w:val="1"/>
                <w:bCs w:val="1"/>
                <w:color w:val="00A0DD"/>
              </w:rPr>
              <w:t>Time</w:t>
            </w:r>
          </w:p>
        </w:tc>
        <w:tc>
          <w:tcPr>
            <w:tcW w:w="3500" w:type="dxa"/>
            <w:vAlign w:val="bottom"/>
            <w:shd w:val="clear" w:color="auto" w:fill="D8EDF7"/>
          </w:tcPr>
          <w:p>
            <w:pPr>
              <w:ind w:left="180"/>
              <w:spacing w:after="0"/>
              <w:rPr>
                <w:sz w:val="20"/>
                <w:szCs w:val="20"/>
                <w:color w:val="auto"/>
              </w:rPr>
            </w:pPr>
            <w:r>
              <w:rPr>
                <w:rFonts w:ascii="Arial" w:cs="Arial" w:eastAsia="Arial" w:hAnsi="Arial"/>
                <w:sz w:val="18"/>
                <w:szCs w:val="18"/>
                <w:b w:val="1"/>
                <w:bCs w:val="1"/>
                <w:color w:val="00A0DD"/>
              </w:rPr>
              <w:t>Place</w:t>
            </w:r>
          </w:p>
        </w:tc>
        <w:tc>
          <w:tcPr>
            <w:tcW w:w="2580" w:type="dxa"/>
            <w:vAlign w:val="bottom"/>
            <w:shd w:val="clear" w:color="auto" w:fill="D8EDF7"/>
          </w:tcPr>
          <w:p>
            <w:pPr>
              <w:ind w:left="120"/>
              <w:spacing w:after="0"/>
              <w:rPr>
                <w:sz w:val="20"/>
                <w:szCs w:val="20"/>
                <w:color w:val="auto"/>
              </w:rPr>
            </w:pPr>
            <w:r>
              <w:rPr>
                <w:rFonts w:ascii="Arial" w:cs="Arial" w:eastAsia="Arial" w:hAnsi="Arial"/>
                <w:sz w:val="18"/>
                <w:szCs w:val="18"/>
                <w:b w:val="1"/>
                <w:bCs w:val="1"/>
                <w:color w:val="00A0DD"/>
              </w:rPr>
              <w:t>Who Can Vote</w:t>
            </w:r>
          </w:p>
        </w:tc>
      </w:tr>
      <w:tr>
        <w:trPr>
          <w:trHeight w:val="266"/>
        </w:trPr>
        <w:tc>
          <w:tcPr>
            <w:tcW w:w="1960" w:type="dxa"/>
            <w:vAlign w:val="bottom"/>
            <w:shd w:val="clear" w:color="auto" w:fill="D8EDF7"/>
          </w:tcPr>
          <w:p>
            <w:pPr>
              <w:ind w:left="120"/>
              <w:spacing w:after="0"/>
              <w:rPr>
                <w:sz w:val="20"/>
                <w:szCs w:val="20"/>
                <w:color w:val="auto"/>
              </w:rPr>
            </w:pPr>
            <w:r>
              <w:rPr>
                <w:rFonts w:ascii="Arial" w:cs="Arial" w:eastAsia="Arial" w:hAnsi="Arial"/>
                <w:sz w:val="18"/>
                <w:szCs w:val="18"/>
                <w:color w:val="auto"/>
              </w:rPr>
              <w:t>June 10, 2024</w:t>
            </w:r>
          </w:p>
        </w:tc>
        <w:tc>
          <w:tcPr>
            <w:tcW w:w="3200" w:type="dxa"/>
            <w:vAlign w:val="bottom"/>
            <w:shd w:val="clear" w:color="auto" w:fill="D8EDF7"/>
          </w:tcPr>
          <w:p>
            <w:pPr>
              <w:ind w:left="260"/>
              <w:spacing w:after="0"/>
              <w:rPr>
                <w:sz w:val="20"/>
                <w:szCs w:val="20"/>
                <w:color w:val="auto"/>
              </w:rPr>
            </w:pPr>
            <w:r>
              <w:rPr>
                <w:rFonts w:ascii="Arial" w:cs="Arial" w:eastAsia="Arial" w:hAnsi="Arial"/>
                <w:sz w:val="18"/>
                <w:szCs w:val="18"/>
                <w:color w:val="auto"/>
              </w:rPr>
              <w:t>Online check-in opens: 8:45 a.m.</w:t>
            </w:r>
          </w:p>
        </w:tc>
        <w:tc>
          <w:tcPr>
            <w:tcW w:w="3500" w:type="dxa"/>
            <w:vAlign w:val="bottom"/>
            <w:shd w:val="clear" w:color="auto" w:fill="D8EDF7"/>
          </w:tcPr>
          <w:p>
            <w:pPr>
              <w:ind w:left="180"/>
              <w:spacing w:after="0"/>
              <w:rPr>
                <w:sz w:val="20"/>
                <w:szCs w:val="20"/>
                <w:color w:val="auto"/>
              </w:rPr>
            </w:pPr>
            <w:r>
              <w:rPr>
                <w:rFonts w:ascii="Arial" w:cs="Arial" w:eastAsia="Arial" w:hAnsi="Arial"/>
                <w:sz w:val="18"/>
                <w:szCs w:val="18"/>
                <w:color w:val="auto"/>
              </w:rPr>
              <w:t>Meeting live via the internet:</w:t>
            </w:r>
          </w:p>
        </w:tc>
        <w:tc>
          <w:tcPr>
            <w:tcW w:w="2580" w:type="dxa"/>
            <w:vAlign w:val="bottom"/>
            <w:shd w:val="clear" w:color="auto" w:fill="D8EDF7"/>
          </w:tcPr>
          <w:p>
            <w:pPr>
              <w:ind w:left="120"/>
              <w:spacing w:after="0"/>
              <w:rPr>
                <w:sz w:val="20"/>
                <w:szCs w:val="20"/>
                <w:color w:val="auto"/>
              </w:rPr>
            </w:pPr>
            <w:r>
              <w:rPr>
                <w:rFonts w:ascii="Arial" w:cs="Arial" w:eastAsia="Arial" w:hAnsi="Arial"/>
                <w:sz w:val="18"/>
                <w:szCs w:val="18"/>
                <w:color w:val="auto"/>
              </w:rPr>
              <w:t>Shareholders of record on</w:t>
            </w:r>
          </w:p>
        </w:tc>
      </w:tr>
      <w:tr>
        <w:trPr>
          <w:trHeight w:val="239"/>
        </w:trPr>
        <w:tc>
          <w:tcPr>
            <w:tcW w:w="1960" w:type="dxa"/>
            <w:vAlign w:val="bottom"/>
            <w:shd w:val="clear" w:color="auto" w:fill="D8EDF7"/>
          </w:tcPr>
          <w:p>
            <w:pPr>
              <w:spacing w:after="0"/>
              <w:rPr>
                <w:sz w:val="20"/>
                <w:szCs w:val="20"/>
                <w:color w:val="auto"/>
              </w:rPr>
            </w:pPr>
          </w:p>
        </w:tc>
        <w:tc>
          <w:tcPr>
            <w:tcW w:w="3200" w:type="dxa"/>
            <w:vAlign w:val="bottom"/>
            <w:shd w:val="clear" w:color="auto" w:fill="D8EDF7"/>
          </w:tcPr>
          <w:p>
            <w:pPr>
              <w:ind w:left="260"/>
              <w:spacing w:after="0"/>
              <w:rPr>
                <w:sz w:val="20"/>
                <w:szCs w:val="20"/>
                <w:color w:val="auto"/>
              </w:rPr>
            </w:pPr>
            <w:r>
              <w:rPr>
                <w:rFonts w:ascii="Arial" w:cs="Arial" w:eastAsia="Arial" w:hAnsi="Arial"/>
                <w:sz w:val="18"/>
                <w:szCs w:val="18"/>
                <w:color w:val="auto"/>
              </w:rPr>
              <w:t>Eastern Time</w:t>
            </w:r>
          </w:p>
        </w:tc>
        <w:tc>
          <w:tcPr>
            <w:tcW w:w="3500" w:type="dxa"/>
            <w:vAlign w:val="bottom"/>
            <w:shd w:val="clear" w:color="auto" w:fill="D8EDF7"/>
          </w:tcPr>
          <w:p>
            <w:pPr>
              <w:ind w:left="180"/>
              <w:spacing w:after="0"/>
              <w:rPr>
                <w:sz w:val="20"/>
                <w:szCs w:val="20"/>
                <w:color w:val="auto"/>
              </w:rPr>
            </w:pPr>
            <w:r>
              <w:rPr>
                <w:rFonts w:ascii="Arial" w:cs="Arial" w:eastAsia="Arial" w:hAnsi="Arial"/>
                <w:sz w:val="18"/>
                <w:szCs w:val="18"/>
                <w:color w:val="auto"/>
              </w:rPr>
              <w:t>comcast.onlineshareholdermeeting.com</w:t>
            </w:r>
          </w:p>
        </w:tc>
        <w:tc>
          <w:tcPr>
            <w:tcW w:w="2580" w:type="dxa"/>
            <w:vAlign w:val="bottom"/>
            <w:shd w:val="clear" w:color="auto" w:fill="D8EDF7"/>
          </w:tcPr>
          <w:p>
            <w:pPr>
              <w:ind w:left="120"/>
              <w:spacing w:after="0"/>
              <w:rPr>
                <w:sz w:val="20"/>
                <w:szCs w:val="20"/>
                <w:color w:val="auto"/>
              </w:rPr>
            </w:pPr>
            <w:r>
              <w:rPr>
                <w:rFonts w:ascii="Arial" w:cs="Arial" w:eastAsia="Arial" w:hAnsi="Arial"/>
                <w:sz w:val="18"/>
                <w:szCs w:val="18"/>
                <w:color w:val="auto"/>
              </w:rPr>
              <w:t>April 1, 2024</w:t>
            </w:r>
          </w:p>
        </w:tc>
      </w:tr>
      <w:tr>
        <w:trPr>
          <w:trHeight w:val="274"/>
        </w:trPr>
        <w:tc>
          <w:tcPr>
            <w:tcW w:w="1960" w:type="dxa"/>
            <w:vAlign w:val="bottom"/>
            <w:shd w:val="clear" w:color="auto" w:fill="D8EDF7"/>
          </w:tcPr>
          <w:p>
            <w:pPr>
              <w:spacing w:after="0"/>
              <w:rPr>
                <w:sz w:val="23"/>
                <w:szCs w:val="23"/>
                <w:color w:val="auto"/>
              </w:rPr>
            </w:pPr>
          </w:p>
        </w:tc>
        <w:tc>
          <w:tcPr>
            <w:tcW w:w="3200" w:type="dxa"/>
            <w:vAlign w:val="bottom"/>
            <w:shd w:val="clear" w:color="auto" w:fill="D8EDF7"/>
          </w:tcPr>
          <w:p>
            <w:pPr>
              <w:ind w:left="260"/>
              <w:spacing w:after="0"/>
              <w:rPr>
                <w:sz w:val="20"/>
                <w:szCs w:val="20"/>
                <w:color w:val="auto"/>
              </w:rPr>
            </w:pPr>
            <w:r>
              <w:rPr>
                <w:rFonts w:ascii="Arial" w:cs="Arial" w:eastAsia="Arial" w:hAnsi="Arial"/>
                <w:sz w:val="18"/>
                <w:szCs w:val="18"/>
                <w:color w:val="auto"/>
              </w:rPr>
              <w:t>Meeting begins: 9:00 a.m. Eastern</w:t>
            </w:r>
          </w:p>
        </w:tc>
        <w:tc>
          <w:tcPr>
            <w:tcW w:w="3500" w:type="dxa"/>
            <w:vAlign w:val="bottom"/>
            <w:shd w:val="clear" w:color="auto" w:fill="D8EDF7"/>
          </w:tcPr>
          <w:p>
            <w:pPr>
              <w:spacing w:after="0"/>
              <w:rPr>
                <w:sz w:val="23"/>
                <w:szCs w:val="23"/>
                <w:color w:val="auto"/>
              </w:rPr>
            </w:pPr>
          </w:p>
        </w:tc>
        <w:tc>
          <w:tcPr>
            <w:tcW w:w="2580" w:type="dxa"/>
            <w:vAlign w:val="bottom"/>
            <w:shd w:val="clear" w:color="auto" w:fill="D8EDF7"/>
          </w:tcPr>
          <w:p>
            <w:pPr>
              <w:spacing w:after="0"/>
              <w:rPr>
                <w:sz w:val="23"/>
                <w:szCs w:val="23"/>
                <w:color w:val="auto"/>
              </w:rPr>
            </w:pPr>
          </w:p>
        </w:tc>
      </w:tr>
      <w:tr>
        <w:trPr>
          <w:trHeight w:val="239"/>
        </w:trPr>
        <w:tc>
          <w:tcPr>
            <w:tcW w:w="1960" w:type="dxa"/>
            <w:vAlign w:val="bottom"/>
            <w:shd w:val="clear" w:color="auto" w:fill="D8EDF7"/>
          </w:tcPr>
          <w:p>
            <w:pPr>
              <w:spacing w:after="0"/>
              <w:rPr>
                <w:sz w:val="20"/>
                <w:szCs w:val="20"/>
                <w:color w:val="auto"/>
              </w:rPr>
            </w:pPr>
          </w:p>
        </w:tc>
        <w:tc>
          <w:tcPr>
            <w:tcW w:w="3200" w:type="dxa"/>
            <w:vAlign w:val="bottom"/>
            <w:shd w:val="clear" w:color="auto" w:fill="D8EDF7"/>
          </w:tcPr>
          <w:p>
            <w:pPr>
              <w:ind w:left="260"/>
              <w:spacing w:after="0"/>
              <w:rPr>
                <w:sz w:val="20"/>
                <w:szCs w:val="20"/>
                <w:color w:val="auto"/>
              </w:rPr>
            </w:pPr>
            <w:r>
              <w:rPr>
                <w:rFonts w:ascii="Arial" w:cs="Arial" w:eastAsia="Arial" w:hAnsi="Arial"/>
                <w:sz w:val="18"/>
                <w:szCs w:val="18"/>
                <w:color w:val="auto"/>
              </w:rPr>
              <w:t>Time</w:t>
            </w:r>
          </w:p>
        </w:tc>
        <w:tc>
          <w:tcPr>
            <w:tcW w:w="3500" w:type="dxa"/>
            <w:vAlign w:val="bottom"/>
            <w:shd w:val="clear" w:color="auto" w:fill="D8EDF7"/>
          </w:tcPr>
          <w:p>
            <w:pPr>
              <w:spacing w:after="0"/>
              <w:rPr>
                <w:sz w:val="20"/>
                <w:szCs w:val="20"/>
                <w:color w:val="auto"/>
              </w:rPr>
            </w:pPr>
          </w:p>
        </w:tc>
        <w:tc>
          <w:tcPr>
            <w:tcW w:w="2580" w:type="dxa"/>
            <w:vAlign w:val="bottom"/>
            <w:shd w:val="clear" w:color="auto" w:fill="D8EDF7"/>
          </w:tcPr>
          <w:p>
            <w:pPr>
              <w:spacing w:after="0"/>
              <w:rPr>
                <w:sz w:val="20"/>
                <w:szCs w:val="20"/>
                <w:color w:val="auto"/>
              </w:rPr>
            </w:pPr>
          </w:p>
        </w:tc>
      </w:tr>
      <w:tr>
        <w:trPr>
          <w:trHeight w:val="90"/>
        </w:trPr>
        <w:tc>
          <w:tcPr>
            <w:tcW w:w="1960" w:type="dxa"/>
            <w:vAlign w:val="bottom"/>
            <w:shd w:val="clear" w:color="auto" w:fill="D8EDF7"/>
          </w:tcPr>
          <w:p>
            <w:pPr>
              <w:spacing w:after="0"/>
              <w:rPr>
                <w:sz w:val="7"/>
                <w:szCs w:val="7"/>
                <w:color w:val="auto"/>
              </w:rPr>
            </w:pPr>
          </w:p>
        </w:tc>
        <w:tc>
          <w:tcPr>
            <w:tcW w:w="3200" w:type="dxa"/>
            <w:vAlign w:val="bottom"/>
            <w:shd w:val="clear" w:color="auto" w:fill="D8EDF7"/>
          </w:tcPr>
          <w:p>
            <w:pPr>
              <w:spacing w:after="0"/>
              <w:rPr>
                <w:sz w:val="7"/>
                <w:szCs w:val="7"/>
                <w:color w:val="auto"/>
              </w:rPr>
            </w:pPr>
          </w:p>
        </w:tc>
        <w:tc>
          <w:tcPr>
            <w:tcW w:w="3500" w:type="dxa"/>
            <w:vAlign w:val="bottom"/>
            <w:shd w:val="clear" w:color="auto" w:fill="D8EDF7"/>
          </w:tcPr>
          <w:p>
            <w:pPr>
              <w:spacing w:after="0"/>
              <w:rPr>
                <w:sz w:val="7"/>
                <w:szCs w:val="7"/>
                <w:color w:val="auto"/>
              </w:rPr>
            </w:pPr>
          </w:p>
        </w:tc>
        <w:tc>
          <w:tcPr>
            <w:tcW w:w="2580" w:type="dxa"/>
            <w:vAlign w:val="bottom"/>
            <w:shd w:val="clear" w:color="auto" w:fill="D8EDF7"/>
          </w:tcPr>
          <w:p>
            <w:pPr>
              <w:spacing w:after="0"/>
              <w:rPr>
                <w:sz w:val="7"/>
                <w:szCs w:val="7"/>
                <w:color w:val="auto"/>
              </w:rPr>
            </w:pPr>
          </w:p>
        </w:tc>
      </w:tr>
    </w:tbl>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540" w:type="dxa"/>
            <w:vAlign w:val="bottom"/>
          </w:tcPr>
          <w:p>
            <w:pPr>
              <w:ind w:left="80"/>
              <w:spacing w:after="0"/>
              <w:rPr>
                <w:sz w:val="20"/>
                <w:szCs w:val="20"/>
                <w:color w:val="auto"/>
              </w:rPr>
            </w:pPr>
            <w:r>
              <w:rPr>
                <w:rFonts w:ascii="Arial" w:cs="Arial" w:eastAsia="Arial" w:hAnsi="Arial"/>
                <w:sz w:val="18"/>
                <w:szCs w:val="18"/>
                <w:b w:val="1"/>
                <w:bCs w:val="1"/>
                <w:color w:val="auto"/>
              </w:rPr>
              <w:t>Voting Items</w:t>
            </w:r>
          </w:p>
        </w:tc>
        <w:tc>
          <w:tcPr>
            <w:tcW w:w="470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Board Voting Recommendation</w:t>
            </w:r>
          </w:p>
        </w:tc>
      </w:tr>
      <w:tr>
        <w:trPr>
          <w:trHeight w:val="298"/>
        </w:trPr>
        <w:tc>
          <w:tcPr>
            <w:tcW w:w="654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00A0DD"/>
              </w:rPr>
              <w:t xml:space="preserve">PROPOSAL 1: </w:t>
            </w:r>
            <w:r>
              <w:rPr>
                <w:rFonts w:ascii="Arial" w:cs="Arial" w:eastAsia="Arial" w:hAnsi="Arial"/>
                <w:sz w:val="18"/>
                <w:szCs w:val="18"/>
                <w:color w:val="000000"/>
              </w:rPr>
              <w:t>Elect Directors</w:t>
            </w:r>
          </w:p>
        </w:tc>
        <w:tc>
          <w:tcPr>
            <w:tcW w:w="4700" w:type="dxa"/>
            <w:vAlign w:val="bottom"/>
            <w:tcBorders>
              <w:bottom w:val="single" w:sz="8" w:color="DCDDDE"/>
            </w:tcBorders>
          </w:tcPr>
          <w:p>
            <w:pPr>
              <w:jc w:val="center"/>
              <w:ind w:left="170"/>
              <w:spacing w:after="0"/>
              <w:rPr>
                <w:sz w:val="20"/>
                <w:szCs w:val="20"/>
                <w:color w:val="auto"/>
              </w:rPr>
            </w:pPr>
            <w:r>
              <w:rPr>
                <w:rFonts w:ascii="Arial" w:cs="Arial" w:eastAsia="Arial" w:hAnsi="Arial"/>
                <w:sz w:val="18"/>
                <w:szCs w:val="18"/>
                <w:b w:val="1"/>
                <w:bCs w:val="1"/>
                <w:color w:val="00A0DD"/>
                <w:w w:val="99"/>
              </w:rPr>
              <w:t xml:space="preserve">FOR </w:t>
            </w:r>
            <w:r>
              <w:rPr>
                <w:rFonts w:ascii="Arial" w:cs="Arial" w:eastAsia="Arial" w:hAnsi="Arial"/>
                <w:sz w:val="18"/>
                <w:szCs w:val="18"/>
                <w:color w:val="000000"/>
                <w:w w:val="99"/>
              </w:rPr>
              <w:t>each nominee</w:t>
            </w:r>
          </w:p>
        </w:tc>
      </w:tr>
      <w:tr>
        <w:trPr>
          <w:trHeight w:val="291"/>
        </w:trPr>
        <w:tc>
          <w:tcPr>
            <w:tcW w:w="654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00A0DD"/>
              </w:rPr>
              <w:t xml:space="preserve">PROPOSAL 2: </w:t>
            </w:r>
            <w:r>
              <w:rPr>
                <w:rFonts w:ascii="Arial" w:cs="Arial" w:eastAsia="Arial" w:hAnsi="Arial"/>
                <w:sz w:val="18"/>
                <w:szCs w:val="18"/>
                <w:color w:val="000000"/>
              </w:rPr>
              <w:t>Ratify appointment of independent auditors</w:t>
            </w:r>
          </w:p>
        </w:tc>
        <w:tc>
          <w:tcPr>
            <w:tcW w:w="4700" w:type="dxa"/>
            <w:vAlign w:val="bottom"/>
            <w:tcBorders>
              <w:bottom w:val="single" w:sz="8" w:color="DCDDDE"/>
            </w:tcBorders>
          </w:tcPr>
          <w:p>
            <w:pPr>
              <w:jc w:val="center"/>
              <w:ind w:left="150"/>
              <w:spacing w:after="0"/>
              <w:rPr>
                <w:sz w:val="20"/>
                <w:szCs w:val="20"/>
                <w:color w:val="auto"/>
              </w:rPr>
            </w:pPr>
            <w:r>
              <w:rPr>
                <w:rFonts w:ascii="Arial" w:cs="Arial" w:eastAsia="Arial" w:hAnsi="Arial"/>
                <w:sz w:val="18"/>
                <w:szCs w:val="18"/>
                <w:b w:val="1"/>
                <w:bCs w:val="1"/>
                <w:color w:val="00A0DD"/>
                <w:w w:val="99"/>
              </w:rPr>
              <w:t>FOR</w:t>
            </w:r>
          </w:p>
        </w:tc>
      </w:tr>
      <w:tr>
        <w:trPr>
          <w:trHeight w:val="290"/>
        </w:trPr>
        <w:tc>
          <w:tcPr>
            <w:tcW w:w="654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00A0DD"/>
              </w:rPr>
              <w:t xml:space="preserve">PROPOSAL 3: </w:t>
            </w:r>
            <w:r>
              <w:rPr>
                <w:rFonts w:ascii="Arial" w:cs="Arial" w:eastAsia="Arial" w:hAnsi="Arial"/>
                <w:sz w:val="18"/>
                <w:szCs w:val="18"/>
                <w:color w:val="000000"/>
              </w:rPr>
              <w:t>Advisory vote to approve executive compensation</w:t>
            </w:r>
          </w:p>
        </w:tc>
        <w:tc>
          <w:tcPr>
            <w:tcW w:w="4700" w:type="dxa"/>
            <w:vAlign w:val="bottom"/>
            <w:tcBorders>
              <w:bottom w:val="single" w:sz="8" w:color="DCDDDE"/>
            </w:tcBorders>
          </w:tcPr>
          <w:p>
            <w:pPr>
              <w:jc w:val="center"/>
              <w:ind w:left="150"/>
              <w:spacing w:after="0"/>
              <w:rPr>
                <w:sz w:val="20"/>
                <w:szCs w:val="20"/>
                <w:color w:val="auto"/>
              </w:rPr>
            </w:pPr>
            <w:r>
              <w:rPr>
                <w:rFonts w:ascii="Arial" w:cs="Arial" w:eastAsia="Arial" w:hAnsi="Arial"/>
                <w:sz w:val="18"/>
                <w:szCs w:val="18"/>
                <w:b w:val="1"/>
                <w:bCs w:val="1"/>
                <w:color w:val="00A0DD"/>
                <w:w w:val="99"/>
              </w:rPr>
              <w:t>FOR</w:t>
            </w:r>
          </w:p>
        </w:tc>
      </w:tr>
      <w:tr>
        <w:trPr>
          <w:trHeight w:val="291"/>
        </w:trPr>
        <w:tc>
          <w:tcPr>
            <w:tcW w:w="654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808080"/>
              </w:rPr>
              <w:t xml:space="preserve">PROPOSAL 4: </w:t>
            </w:r>
            <w:r>
              <w:rPr>
                <w:rFonts w:ascii="Arial" w:cs="Arial" w:eastAsia="Arial" w:hAnsi="Arial"/>
                <w:sz w:val="18"/>
                <w:szCs w:val="18"/>
                <w:color w:val="000000"/>
              </w:rPr>
              <w:t>Vote on shareholder proposal if properly presented</w:t>
            </w:r>
          </w:p>
        </w:tc>
        <w:tc>
          <w:tcPr>
            <w:tcW w:w="4700" w:type="dxa"/>
            <w:vAlign w:val="bottom"/>
            <w:tcBorders>
              <w:bottom w:val="single" w:sz="8" w:color="DCDDDE"/>
            </w:tcBorders>
          </w:tcPr>
          <w:p>
            <w:pPr>
              <w:jc w:val="center"/>
              <w:ind w:left="150"/>
              <w:spacing w:after="0"/>
              <w:rPr>
                <w:sz w:val="20"/>
                <w:szCs w:val="20"/>
                <w:color w:val="auto"/>
              </w:rPr>
            </w:pPr>
            <w:r>
              <w:rPr>
                <w:rFonts w:ascii="Arial" w:cs="Arial" w:eastAsia="Arial" w:hAnsi="Arial"/>
                <w:sz w:val="18"/>
                <w:szCs w:val="18"/>
                <w:b w:val="1"/>
                <w:bCs w:val="1"/>
                <w:color w:val="6D6E71"/>
              </w:rPr>
              <w:t>AGAINST</w:t>
            </w:r>
          </w:p>
        </w:tc>
      </w:tr>
    </w:tbl>
    <w:p>
      <w:pPr>
        <w:spacing w:after="0" w:line="197"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Only shareholders of record on April 1, 2024 may vote and participate during the meeting. If the meeting is adjourned because a quorum is not present, then shareholders who attend the reconvened meeting will constitute a quorum for the purpose of acting upon the matters presented at that meeting pursuant to the rules described in “Information about Stock Ownership – Outstanding Shares and Voting Rights” in the attached proxy statement.</w:t>
      </w:r>
    </w:p>
    <w:p>
      <w:pPr>
        <w:spacing w:after="0" w:line="174"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Notice of Internet Availability of Proxy Materials is being mailed, and the attached proxy statement is being made available, to our shareholders beginning on or about April 26, 2024.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 Please vote your shares promptly. To vote your shares, you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197485</wp:posOffset>
            </wp:positionV>
            <wp:extent cx="394335"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4335" cy="40322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206375</wp:posOffset>
            </wp:positionV>
            <wp:extent cx="282575"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39433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206375</wp:posOffset>
            </wp:positionV>
            <wp:extent cx="42037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0370" cy="39433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Use the internet, as described in the Notice of Internet Availability of Proxy Materials and on your proxy card.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April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303020" cy="231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020" cy="2311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Thomas J. Reid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Call the toll-free telephone number set forth in the attached proxy statement and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1003935</wp:posOffset>
            </wp:positionV>
            <wp:extent cx="7132320" cy="608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b w:val="1"/>
          <w:bCs w:val="1"/>
          <w:color w:val="auto"/>
        </w:rPr>
        <w:t>Complete, sign and date your proxy card and return your proxy card by mail.</w:t>
      </w:r>
    </w:p>
    <w:p>
      <w:pPr>
        <w:spacing w:after="0" w:line="1749" w:lineRule="exact"/>
        <w:rPr>
          <w:sz w:val="20"/>
          <w:szCs w:val="20"/>
          <w:color w:val="auto"/>
        </w:rPr>
      </w:pPr>
    </w:p>
    <w:p>
      <w:pPr>
        <w:sectPr>
          <w:pgSz w:w="11900" w:h="16838" w:orient="portrait"/>
          <w:cols w:equalWidth="0" w:num="3">
            <w:col w:w="3260" w:space="600"/>
            <w:col w:w="3280" w:space="600"/>
            <w:col w:w="3500"/>
          </w:cols>
          <w:pgMar w:left="320" w:top="122" w:right="339" w:bottom="1440" w:gutter="0" w:footer="0" w:header="0"/>
          <w:type w:val="continuous"/>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Important Notice Regarding the Availability of Proxy Materials for the Annual Meeting of Shareholders to Be Held on June 10, 2024: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Our proxy statement and our Annual Report on Form 10-K for the fiscal year ended December 31, 2023</w:t>
      </w:r>
    </w:p>
    <w:p>
      <w:pPr>
        <w:jc w:val="center"/>
        <w:spacing w:after="0"/>
        <w:rPr>
          <w:sz w:val="20"/>
          <w:szCs w:val="20"/>
          <w:color w:val="auto"/>
        </w:rPr>
      </w:pPr>
      <w:r>
        <w:rPr>
          <w:rFonts w:ascii="Arial" w:cs="Arial" w:eastAsia="Arial" w:hAnsi="Arial"/>
          <w:sz w:val="18"/>
          <w:szCs w:val="18"/>
          <w:color w:val="auto"/>
        </w:rPr>
        <w:t xml:space="preserve">are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color w:val="auto"/>
        </w:rPr>
        <w:t>.</w:t>
      </w:r>
    </w:p>
    <w:p>
      <w:pPr>
        <w:spacing w:after="0" w:line="40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ind w:left="80"/>
              <w:spacing w:after="0"/>
              <w:rPr>
                <w:sz w:val="20"/>
                <w:szCs w:val="20"/>
                <w:color w:val="auto"/>
              </w:rPr>
            </w:pPr>
            <w:r>
              <w:rPr>
                <w:rFonts w:ascii="Arial" w:cs="Arial" w:eastAsia="Arial" w:hAnsi="Arial"/>
                <w:sz w:val="18"/>
                <w:szCs w:val="18"/>
                <w:b w:val="1"/>
                <w:bCs w:val="1"/>
                <w:color w:val="auto"/>
              </w:rPr>
              <w:t>Message from Our Chairman and CEO and Our Lead</w:t>
            </w:r>
          </w:p>
        </w:tc>
        <w:tc>
          <w:tcPr>
            <w:tcW w:w="360" w:type="dxa"/>
            <w:vAlign w:val="bottom"/>
          </w:tcPr>
          <w:p>
            <w:pPr>
              <w:spacing w:after="0"/>
              <w:rPr>
                <w:sz w:val="17"/>
                <w:szCs w:val="17"/>
                <w:color w:val="auto"/>
              </w:rPr>
            </w:pPr>
          </w:p>
        </w:tc>
      </w:tr>
      <w:tr>
        <w:trPr>
          <w:trHeight w:val="248"/>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Independent Director</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r>
      <w:tr>
        <w:trPr>
          <w:trHeight w:val="245"/>
        </w:trPr>
        <w:tc>
          <w:tcPr>
            <w:tcW w:w="5040" w:type="dxa"/>
            <w:vAlign w:val="bottom"/>
          </w:tcPr>
          <w:p>
            <w:pPr>
              <w:ind w:left="80"/>
              <w:spacing w:after="0"/>
              <w:rPr>
                <w:sz w:val="20"/>
                <w:szCs w:val="20"/>
                <w:color w:val="auto"/>
              </w:rPr>
            </w:pPr>
            <w:r>
              <w:rPr>
                <w:rFonts w:ascii="Arial" w:cs="Arial" w:eastAsia="Arial" w:hAnsi="Arial"/>
                <w:sz w:val="18"/>
                <w:szCs w:val="18"/>
                <w:b w:val="1"/>
                <w:bCs w:val="1"/>
                <w:color w:val="auto"/>
              </w:rPr>
              <w:t>Notice of 2024 Annual Meeting of Shareholders of</w:t>
            </w:r>
          </w:p>
        </w:tc>
        <w:tc>
          <w:tcPr>
            <w:tcW w:w="360" w:type="dxa"/>
            <w:vAlign w:val="bottom"/>
          </w:tcPr>
          <w:p>
            <w:pPr>
              <w:spacing w:after="0"/>
              <w:rPr>
                <w:sz w:val="21"/>
                <w:szCs w:val="21"/>
                <w:color w:val="auto"/>
              </w:rPr>
            </w:pPr>
          </w:p>
        </w:tc>
      </w:tr>
      <w:tr>
        <w:trPr>
          <w:trHeight w:val="248"/>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Comcast Corporation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r>
      <w:tr>
        <w:trPr>
          <w:trHeight w:val="291"/>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About Comcast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r>
      <w:tr>
        <w:trPr>
          <w:trHeight w:val="291"/>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Spotlight on Our Corporate Responsibility Initiatives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r>
      <w:tr>
        <w:trPr>
          <w:trHeight w:val="291"/>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Corporate Governance and Board Matters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r>
      <w:tr>
        <w:trPr>
          <w:trHeight w:val="358"/>
        </w:trPr>
        <w:tc>
          <w:tcPr>
            <w:tcW w:w="5040" w:type="dxa"/>
            <w:vAlign w:val="bottom"/>
            <w:tcBorders>
              <w:bottom w:val="single" w:sz="8" w:color="00A1E0"/>
            </w:tcBorders>
          </w:tcPr>
          <w:p>
            <w:pPr>
              <w:ind w:left="80"/>
              <w:spacing w:after="0"/>
              <w:rPr>
                <w:sz w:val="20"/>
                <w:szCs w:val="20"/>
                <w:color w:val="auto"/>
              </w:rPr>
            </w:pPr>
            <w:r>
              <w:rPr>
                <w:rFonts w:ascii="Arial" w:cs="Arial" w:eastAsia="Arial" w:hAnsi="Arial"/>
                <w:sz w:val="18"/>
                <w:szCs w:val="18"/>
                <w:b w:val="1"/>
                <w:bCs w:val="1"/>
                <w:color w:val="00A1E0"/>
              </w:rPr>
              <w:t>PROPOSAL 1: Election of Directors</w:t>
            </w:r>
          </w:p>
        </w:tc>
        <w:tc>
          <w:tcPr>
            <w:tcW w:w="360" w:type="dxa"/>
            <w:vAlign w:val="bottom"/>
            <w:tcBorders>
              <w:bottom w:val="single" w:sz="8" w:color="00A1E0"/>
            </w:tcBorders>
          </w:tcPr>
          <w:p>
            <w:pPr>
              <w:spacing w:after="0"/>
              <w:rPr>
                <w:sz w:val="24"/>
                <w:szCs w:val="24"/>
                <w:color w:val="auto"/>
              </w:rPr>
            </w:pPr>
          </w:p>
        </w:tc>
      </w:tr>
      <w:tr>
        <w:trPr>
          <w:trHeight w:val="282"/>
        </w:trPr>
        <w:tc>
          <w:tcPr>
            <w:tcW w:w="5040" w:type="dxa"/>
            <w:vAlign w:val="bottom"/>
          </w:tcPr>
          <w:p>
            <w:pPr>
              <w:ind w:left="80"/>
              <w:spacing w:after="0"/>
              <w:rPr>
                <w:sz w:val="20"/>
                <w:szCs w:val="20"/>
                <w:color w:val="auto"/>
              </w:rPr>
            </w:pPr>
            <w:r>
              <w:rPr>
                <w:rFonts w:ascii="Arial" w:cs="Arial" w:eastAsia="Arial" w:hAnsi="Arial"/>
                <w:sz w:val="18"/>
                <w:szCs w:val="18"/>
                <w:color w:val="auto"/>
              </w:rPr>
              <w:t>Board of Directors Nominees</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5040" w:type="dxa"/>
            <w:vAlign w:val="bottom"/>
          </w:tcPr>
          <w:p>
            <w:pPr>
              <w:ind w:left="80"/>
              <w:spacing w:after="0"/>
              <w:rPr>
                <w:sz w:val="20"/>
                <w:szCs w:val="20"/>
                <w:color w:val="auto"/>
              </w:rPr>
            </w:pPr>
            <w:r>
              <w:rPr>
                <w:rFonts w:ascii="Arial" w:cs="Arial" w:eastAsia="Arial" w:hAnsi="Arial"/>
                <w:sz w:val="18"/>
                <w:szCs w:val="18"/>
                <w:color w:val="auto"/>
              </w:rPr>
              <w:t>Board Structure and Responsibilities</w:t>
            </w:r>
          </w:p>
        </w:tc>
        <w:tc>
          <w:tcPr>
            <w:tcW w:w="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5040" w:type="dxa"/>
            <w:vAlign w:val="bottom"/>
          </w:tcPr>
          <w:p>
            <w:pPr>
              <w:ind w:left="80"/>
              <w:spacing w:after="0"/>
              <w:rPr>
                <w:sz w:val="20"/>
                <w:szCs w:val="20"/>
                <w:color w:val="auto"/>
              </w:rPr>
            </w:pPr>
            <w:r>
              <w:rPr>
                <w:rFonts w:ascii="Arial" w:cs="Arial" w:eastAsia="Arial" w:hAnsi="Arial"/>
                <w:sz w:val="18"/>
                <w:szCs w:val="18"/>
                <w:color w:val="auto"/>
              </w:rPr>
              <w:t>Corporate Governance Practices, Policies and Processes</w:t>
            </w: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6"/>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Audit Committee Matters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r>
      <w:tr>
        <w:trPr>
          <w:trHeight w:val="245"/>
        </w:trPr>
        <w:tc>
          <w:tcPr>
            <w:tcW w:w="5040" w:type="dxa"/>
            <w:vAlign w:val="bottom"/>
          </w:tcPr>
          <w:p>
            <w:pPr>
              <w:ind w:left="80"/>
              <w:spacing w:after="0"/>
              <w:rPr>
                <w:sz w:val="20"/>
                <w:szCs w:val="20"/>
                <w:color w:val="auto"/>
              </w:rPr>
            </w:pPr>
            <w:r>
              <w:rPr>
                <w:rFonts w:ascii="Arial" w:cs="Arial" w:eastAsia="Arial" w:hAnsi="Arial"/>
                <w:sz w:val="18"/>
                <w:szCs w:val="18"/>
                <w:b w:val="1"/>
                <w:bCs w:val="1"/>
                <w:color w:val="00A1E0"/>
              </w:rPr>
              <w:t>PROPOSAL 2: Ratification of Appointment of</w:t>
            </w:r>
          </w:p>
        </w:tc>
        <w:tc>
          <w:tcPr>
            <w:tcW w:w="360" w:type="dxa"/>
            <w:vAlign w:val="bottom"/>
          </w:tcPr>
          <w:p>
            <w:pPr>
              <w:spacing w:after="0"/>
              <w:rPr>
                <w:sz w:val="21"/>
                <w:szCs w:val="21"/>
                <w:color w:val="auto"/>
              </w:rPr>
            </w:pPr>
          </w:p>
        </w:tc>
      </w:tr>
      <w:tr>
        <w:trPr>
          <w:trHeight w:val="248"/>
        </w:trPr>
        <w:tc>
          <w:tcPr>
            <w:tcW w:w="5040" w:type="dxa"/>
            <w:vAlign w:val="bottom"/>
            <w:tcBorders>
              <w:bottom w:val="single" w:sz="8" w:color="00A1E0"/>
            </w:tcBorders>
          </w:tcPr>
          <w:p>
            <w:pPr>
              <w:ind w:left="80"/>
              <w:spacing w:after="0"/>
              <w:rPr>
                <w:sz w:val="20"/>
                <w:szCs w:val="20"/>
                <w:color w:val="auto"/>
              </w:rPr>
            </w:pPr>
            <w:r>
              <w:rPr>
                <w:rFonts w:ascii="Arial" w:cs="Arial" w:eastAsia="Arial" w:hAnsi="Arial"/>
                <w:sz w:val="18"/>
                <w:szCs w:val="18"/>
                <w:b w:val="1"/>
                <w:bCs w:val="1"/>
                <w:color w:val="00A1E0"/>
              </w:rPr>
              <w:t>Independent Auditors</w:t>
            </w:r>
          </w:p>
        </w:tc>
        <w:tc>
          <w:tcPr>
            <w:tcW w:w="360" w:type="dxa"/>
            <w:vAlign w:val="bottom"/>
            <w:tcBorders>
              <w:bottom w:val="single" w:sz="8" w:color="00A1E0"/>
            </w:tcBorders>
          </w:tcPr>
          <w:p>
            <w:pPr>
              <w:spacing w:after="0"/>
              <w:rPr>
                <w:sz w:val="21"/>
                <w:szCs w:val="21"/>
                <w:color w:val="auto"/>
              </w:rPr>
            </w:pPr>
          </w:p>
        </w:tc>
      </w:tr>
      <w:tr>
        <w:trPr>
          <w:trHeight w:val="282"/>
        </w:trPr>
        <w:tc>
          <w:tcPr>
            <w:tcW w:w="5040" w:type="dxa"/>
            <w:vAlign w:val="bottom"/>
          </w:tcPr>
          <w:p>
            <w:pPr>
              <w:ind w:left="80"/>
              <w:spacing w:after="0"/>
              <w:rPr>
                <w:sz w:val="20"/>
                <w:szCs w:val="20"/>
                <w:color w:val="auto"/>
              </w:rPr>
            </w:pPr>
            <w:r>
              <w:rPr>
                <w:rFonts w:ascii="Arial" w:cs="Arial" w:eastAsia="Arial" w:hAnsi="Arial"/>
                <w:sz w:val="18"/>
                <w:szCs w:val="18"/>
                <w:color w:val="auto"/>
              </w:rPr>
              <w:t>Report of the Audit Committee</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6"/>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Executive Compensation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r>
      <w:tr>
        <w:trPr>
          <w:trHeight w:val="245"/>
        </w:trPr>
        <w:tc>
          <w:tcPr>
            <w:tcW w:w="5040" w:type="dxa"/>
            <w:vAlign w:val="bottom"/>
          </w:tcPr>
          <w:p>
            <w:pPr>
              <w:ind w:left="80"/>
              <w:spacing w:after="0"/>
              <w:rPr>
                <w:sz w:val="20"/>
                <w:szCs w:val="20"/>
                <w:color w:val="auto"/>
              </w:rPr>
            </w:pPr>
            <w:r>
              <w:rPr>
                <w:rFonts w:ascii="Arial" w:cs="Arial" w:eastAsia="Arial" w:hAnsi="Arial"/>
                <w:sz w:val="18"/>
                <w:szCs w:val="18"/>
                <w:b w:val="1"/>
                <w:bCs w:val="1"/>
                <w:color w:val="00A1E0"/>
              </w:rPr>
              <w:t>PROPOSAL 3: Advisory Vote to Approve Executive</w:t>
            </w:r>
          </w:p>
        </w:tc>
        <w:tc>
          <w:tcPr>
            <w:tcW w:w="360" w:type="dxa"/>
            <w:vAlign w:val="bottom"/>
          </w:tcPr>
          <w:p>
            <w:pPr>
              <w:spacing w:after="0"/>
              <w:rPr>
                <w:sz w:val="21"/>
                <w:szCs w:val="21"/>
                <w:color w:val="auto"/>
              </w:rPr>
            </w:pPr>
          </w:p>
        </w:tc>
      </w:tr>
      <w:tr>
        <w:trPr>
          <w:trHeight w:val="248"/>
        </w:trPr>
        <w:tc>
          <w:tcPr>
            <w:tcW w:w="5040" w:type="dxa"/>
            <w:vAlign w:val="bottom"/>
            <w:tcBorders>
              <w:bottom w:val="single" w:sz="8" w:color="00A1E0"/>
            </w:tcBorders>
          </w:tcPr>
          <w:p>
            <w:pPr>
              <w:ind w:left="80"/>
              <w:spacing w:after="0"/>
              <w:rPr>
                <w:sz w:val="20"/>
                <w:szCs w:val="20"/>
                <w:color w:val="auto"/>
              </w:rPr>
            </w:pPr>
            <w:r>
              <w:rPr>
                <w:rFonts w:ascii="Arial" w:cs="Arial" w:eastAsia="Arial" w:hAnsi="Arial"/>
                <w:sz w:val="18"/>
                <w:szCs w:val="18"/>
                <w:b w:val="1"/>
                <w:bCs w:val="1"/>
                <w:color w:val="00A1E0"/>
              </w:rPr>
              <w:t>Compensation</w:t>
            </w:r>
          </w:p>
        </w:tc>
        <w:tc>
          <w:tcPr>
            <w:tcW w:w="360" w:type="dxa"/>
            <w:vAlign w:val="bottom"/>
            <w:tcBorders>
              <w:bottom w:val="single" w:sz="8" w:color="00A1E0"/>
            </w:tcBorders>
          </w:tcPr>
          <w:p>
            <w:pPr>
              <w:spacing w:after="0"/>
              <w:rPr>
                <w:sz w:val="21"/>
                <w:szCs w:val="21"/>
                <w:color w:val="auto"/>
              </w:rPr>
            </w:pPr>
          </w:p>
        </w:tc>
      </w:tr>
      <w:tr>
        <w:trPr>
          <w:trHeight w:val="282"/>
        </w:trPr>
        <w:tc>
          <w:tcPr>
            <w:tcW w:w="5040" w:type="dxa"/>
            <w:vAlign w:val="bottom"/>
          </w:tcPr>
          <w:p>
            <w:pPr>
              <w:ind w:left="80"/>
              <w:spacing w:after="0"/>
              <w:rPr>
                <w:sz w:val="20"/>
                <w:szCs w:val="20"/>
                <w:color w:val="auto"/>
              </w:rPr>
            </w:pPr>
            <w:r>
              <w:rPr>
                <w:rFonts w:ascii="Arial" w:cs="Arial" w:eastAsia="Arial" w:hAnsi="Arial"/>
                <w:sz w:val="18"/>
                <w:szCs w:val="18"/>
                <w:color w:val="auto"/>
              </w:rPr>
              <w:t>Compensation Discussion and Analysis</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5040" w:type="dxa"/>
            <w:vAlign w:val="bottom"/>
          </w:tcPr>
          <w:p>
            <w:pPr>
              <w:ind w:left="80"/>
              <w:spacing w:after="0"/>
              <w:rPr>
                <w:sz w:val="20"/>
                <w:szCs w:val="20"/>
                <w:color w:val="auto"/>
              </w:rPr>
            </w:pPr>
            <w:r>
              <w:rPr>
                <w:rFonts w:ascii="Arial" w:cs="Arial" w:eastAsia="Arial" w:hAnsi="Arial"/>
                <w:sz w:val="18"/>
                <w:szCs w:val="18"/>
                <w:color w:val="auto"/>
              </w:rPr>
              <w:t>Compensation and Human Capital Committee Report</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5040" w:type="dxa"/>
            <w:vAlign w:val="bottom"/>
          </w:tcPr>
          <w:p>
            <w:pPr>
              <w:ind w:left="80"/>
              <w:spacing w:after="0"/>
              <w:rPr>
                <w:sz w:val="20"/>
                <w:szCs w:val="20"/>
                <w:color w:val="auto"/>
              </w:rPr>
            </w:pPr>
            <w:r>
              <w:rPr>
                <w:rFonts w:ascii="Arial" w:cs="Arial" w:eastAsia="Arial" w:hAnsi="Arial"/>
                <w:sz w:val="18"/>
                <w:szCs w:val="18"/>
                <w:color w:val="auto"/>
              </w:rPr>
              <w:t>Executive Compensation Tables</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5040" w:type="dxa"/>
            <w:vAlign w:val="bottom"/>
          </w:tcPr>
          <w:p>
            <w:pPr>
              <w:ind w:left="260"/>
              <w:spacing w:after="0"/>
              <w:rPr>
                <w:sz w:val="20"/>
                <w:szCs w:val="20"/>
                <w:color w:val="auto"/>
              </w:rPr>
            </w:pPr>
            <w:r>
              <w:rPr>
                <w:rFonts w:ascii="Arial" w:cs="Arial" w:eastAsia="Arial" w:hAnsi="Arial"/>
                <w:sz w:val="18"/>
                <w:szCs w:val="18"/>
                <w:color w:val="auto"/>
              </w:rPr>
              <w:t>Summary Compensation Table</w:t>
            </w: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5040" w:type="dxa"/>
            <w:vAlign w:val="bottom"/>
          </w:tcPr>
          <w:p>
            <w:pPr>
              <w:ind w:left="260"/>
              <w:spacing w:after="0"/>
              <w:rPr>
                <w:sz w:val="20"/>
                <w:szCs w:val="20"/>
                <w:color w:val="auto"/>
              </w:rPr>
            </w:pPr>
            <w:r>
              <w:rPr>
                <w:rFonts w:ascii="Arial" w:cs="Arial" w:eastAsia="Arial" w:hAnsi="Arial"/>
                <w:sz w:val="18"/>
                <w:szCs w:val="18"/>
                <w:color w:val="auto"/>
              </w:rPr>
              <w:t>Grants of Plan-Based Awards</w:t>
            </w: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5040" w:type="dxa"/>
            <w:vAlign w:val="bottom"/>
          </w:tcPr>
          <w:p>
            <w:pPr>
              <w:ind w:left="260"/>
              <w:spacing w:after="0"/>
              <w:rPr>
                <w:sz w:val="20"/>
                <w:szCs w:val="20"/>
                <w:color w:val="auto"/>
              </w:rPr>
            </w:pPr>
            <w:r>
              <w:rPr>
                <w:rFonts w:ascii="Arial" w:cs="Arial" w:eastAsia="Arial" w:hAnsi="Arial"/>
                <w:sz w:val="18"/>
                <w:szCs w:val="18"/>
                <w:color w:val="auto"/>
              </w:rPr>
              <w:t>Outstanding Equity Awards at Fiscal Year-End</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5040" w:type="dxa"/>
            <w:vAlign w:val="bottom"/>
          </w:tcPr>
          <w:p>
            <w:pPr>
              <w:ind w:left="260"/>
              <w:spacing w:after="0"/>
              <w:rPr>
                <w:sz w:val="20"/>
                <w:szCs w:val="20"/>
                <w:color w:val="auto"/>
              </w:rPr>
            </w:pPr>
            <w:r>
              <w:rPr>
                <w:rFonts w:ascii="Arial" w:cs="Arial" w:eastAsia="Arial" w:hAnsi="Arial"/>
                <w:sz w:val="18"/>
                <w:szCs w:val="18"/>
                <w:color w:val="auto"/>
              </w:rPr>
              <w:t>Option Exercises and Stock Vested</w:t>
            </w: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61"/>
        </w:trPr>
        <w:tc>
          <w:tcPr>
            <w:tcW w:w="5040" w:type="dxa"/>
            <w:vAlign w:val="bottom"/>
          </w:tcPr>
          <w:p>
            <w:pPr>
              <w:ind w:left="260"/>
              <w:spacing w:after="0"/>
              <w:rPr>
                <w:sz w:val="20"/>
                <w:szCs w:val="20"/>
                <w:color w:val="auto"/>
              </w:rPr>
            </w:pPr>
            <w:r>
              <w:rPr>
                <w:rFonts w:ascii="Arial" w:cs="Arial" w:eastAsia="Arial" w:hAnsi="Arial"/>
                <w:sz w:val="18"/>
                <w:szCs w:val="18"/>
                <w:color w:val="auto"/>
              </w:rPr>
              <w:t>Nonqualified Deferred Compensation in and as of Fiscal</w:t>
            </w:r>
          </w:p>
        </w:tc>
        <w:tc>
          <w:tcPr>
            <w:tcW w:w="360" w:type="dxa"/>
            <w:vAlign w:val="bottom"/>
          </w:tcPr>
          <w:p>
            <w:pPr>
              <w:spacing w:after="0"/>
              <w:rPr>
                <w:sz w:val="22"/>
                <w:szCs w:val="22"/>
                <w:color w:val="auto"/>
              </w:rPr>
            </w:pPr>
          </w:p>
        </w:tc>
      </w:tr>
      <w:tr>
        <w:trPr>
          <w:trHeight w:val="239"/>
        </w:trPr>
        <w:tc>
          <w:tcPr>
            <w:tcW w:w="5040" w:type="dxa"/>
            <w:vAlign w:val="bottom"/>
          </w:tcPr>
          <w:p>
            <w:pPr>
              <w:ind w:left="260"/>
              <w:spacing w:after="0"/>
              <w:rPr>
                <w:sz w:val="20"/>
                <w:szCs w:val="20"/>
                <w:color w:val="auto"/>
              </w:rPr>
            </w:pPr>
            <w:r>
              <w:rPr>
                <w:rFonts w:ascii="Arial" w:cs="Arial" w:eastAsia="Arial" w:hAnsi="Arial"/>
                <w:sz w:val="18"/>
                <w:szCs w:val="18"/>
                <w:color w:val="auto"/>
              </w:rPr>
              <w:t>Year-End</w:t>
            </w: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97"/>
        </w:trPr>
        <w:tc>
          <w:tcPr>
            <w:tcW w:w="5040" w:type="dxa"/>
            <w:vAlign w:val="bottom"/>
          </w:tcPr>
          <w:p>
            <w:pPr>
              <w:ind w:left="260"/>
              <w:spacing w:after="0"/>
              <w:rPr>
                <w:sz w:val="20"/>
                <w:szCs w:val="20"/>
                <w:color w:val="auto"/>
              </w:rPr>
            </w:pPr>
            <w:r>
              <w:rPr>
                <w:rFonts w:ascii="Arial" w:cs="Arial" w:eastAsia="Arial" w:hAnsi="Arial"/>
                <w:sz w:val="18"/>
                <w:szCs w:val="18"/>
                <w:color w:val="auto"/>
              </w:rPr>
              <w:t>Agreements with Our Named Executive Officers</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7"/>
        </w:trPr>
        <w:tc>
          <w:tcPr>
            <w:tcW w:w="5040" w:type="dxa"/>
            <w:vAlign w:val="bottom"/>
          </w:tcPr>
          <w:p>
            <w:pPr>
              <w:ind w:left="260"/>
              <w:spacing w:after="0"/>
              <w:rPr>
                <w:sz w:val="20"/>
                <w:szCs w:val="20"/>
                <w:color w:val="auto"/>
              </w:rPr>
            </w:pPr>
            <w:r>
              <w:rPr>
                <w:rFonts w:ascii="Arial" w:cs="Arial" w:eastAsia="Arial" w:hAnsi="Arial"/>
                <w:sz w:val="18"/>
                <w:szCs w:val="18"/>
                <w:color w:val="auto"/>
              </w:rPr>
              <w:t>Potential Payments upon Termination or Change in Control</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97"/>
        </w:trPr>
        <w:tc>
          <w:tcPr>
            <w:tcW w:w="5040" w:type="dxa"/>
            <w:vAlign w:val="bottom"/>
          </w:tcPr>
          <w:p>
            <w:pPr>
              <w:ind w:left="260"/>
              <w:spacing w:after="0"/>
              <w:rPr>
                <w:sz w:val="20"/>
                <w:szCs w:val="20"/>
                <w:color w:val="auto"/>
              </w:rPr>
            </w:pPr>
            <w:r>
              <w:rPr>
                <w:rFonts w:ascii="Arial" w:cs="Arial" w:eastAsia="Arial" w:hAnsi="Arial"/>
                <w:sz w:val="18"/>
                <w:szCs w:val="18"/>
                <w:color w:val="auto"/>
              </w:rPr>
              <w:t>Equity Compensation Plan Information</w:t>
            </w: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5040" w:type="dxa"/>
            <w:vAlign w:val="bottom"/>
          </w:tcPr>
          <w:p>
            <w:pPr>
              <w:ind w:left="260"/>
              <w:spacing w:after="0"/>
              <w:rPr>
                <w:sz w:val="20"/>
                <w:szCs w:val="20"/>
                <w:color w:val="auto"/>
              </w:rPr>
            </w:pPr>
            <w:r>
              <w:rPr>
                <w:rFonts w:ascii="Arial" w:cs="Arial" w:eastAsia="Arial" w:hAnsi="Arial"/>
                <w:sz w:val="18"/>
                <w:szCs w:val="18"/>
                <w:color w:val="auto"/>
              </w:rPr>
              <w:t>CEO Pay Ratio</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5040" w:type="dxa"/>
            <w:vAlign w:val="bottom"/>
          </w:tcPr>
          <w:p>
            <w:pPr>
              <w:ind w:left="260"/>
              <w:spacing w:after="0"/>
              <w:rPr>
                <w:sz w:val="20"/>
                <w:szCs w:val="20"/>
                <w:color w:val="auto"/>
              </w:rPr>
            </w:pPr>
            <w:r>
              <w:rPr>
                <w:rFonts w:ascii="Arial" w:cs="Arial" w:eastAsia="Arial" w:hAnsi="Arial"/>
                <w:sz w:val="18"/>
                <w:szCs w:val="18"/>
                <w:color w:val="auto"/>
              </w:rPr>
              <w:t>Pay Versus Performance</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-4571365</wp:posOffset>
            </wp:positionV>
            <wp:extent cx="17145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-3482340</wp:posOffset>
            </wp:positionV>
            <wp:extent cx="17145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-2771140</wp:posOffset>
            </wp:positionV>
            <wp:extent cx="1714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Shareholder Proposal</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r>
      <w:tr>
        <w:trPr>
          <w:trHeight w:val="366"/>
        </w:trPr>
        <w:tc>
          <w:tcPr>
            <w:tcW w:w="4780" w:type="dxa"/>
            <w:vAlign w:val="bottom"/>
            <w:tcBorders>
              <w:bottom w:val="single" w:sz="8" w:color="C2C2C2"/>
            </w:tcBorders>
          </w:tcPr>
          <w:p>
            <w:pPr>
              <w:ind w:left="60"/>
              <w:spacing w:after="0"/>
              <w:rPr>
                <w:sz w:val="20"/>
                <w:szCs w:val="20"/>
                <w:color w:val="auto"/>
              </w:rPr>
            </w:pPr>
            <w:r>
              <w:rPr>
                <w:rFonts w:ascii="Arial" w:cs="Arial" w:eastAsia="Arial" w:hAnsi="Arial"/>
                <w:sz w:val="18"/>
                <w:szCs w:val="18"/>
                <w:b w:val="1"/>
                <w:bCs w:val="1"/>
                <w:color w:val="404040"/>
              </w:rPr>
              <w:t>PROPOSAL 4: Shareholder Proposal</w:t>
            </w:r>
          </w:p>
        </w:tc>
        <w:tc>
          <w:tcPr>
            <w:tcW w:w="600" w:type="dxa"/>
            <w:vAlign w:val="bottom"/>
            <w:tcBorders>
              <w:bottom w:val="single" w:sz="8" w:color="C2C2C2"/>
            </w:tcBorders>
          </w:tcPr>
          <w:p>
            <w:pPr>
              <w:spacing w:after="0"/>
              <w:rPr>
                <w:sz w:val="24"/>
                <w:szCs w:val="24"/>
                <w:color w:val="auto"/>
              </w:rPr>
            </w:pPr>
          </w:p>
        </w:tc>
      </w:tr>
      <w:tr>
        <w:trPr>
          <w:trHeight w:val="296"/>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Information about Stock Ownership</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r>
      <w:tr>
        <w:trPr>
          <w:trHeight w:val="290"/>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Compensation of Directors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r>
      <w:tr>
        <w:trPr>
          <w:trHeight w:val="245"/>
        </w:trPr>
        <w:tc>
          <w:tcPr>
            <w:tcW w:w="4780" w:type="dxa"/>
            <w:vAlign w:val="bottom"/>
          </w:tcPr>
          <w:p>
            <w:pPr>
              <w:ind w:left="60"/>
              <w:spacing w:after="0"/>
              <w:rPr>
                <w:sz w:val="20"/>
                <w:szCs w:val="20"/>
                <w:color w:val="auto"/>
              </w:rPr>
            </w:pPr>
            <w:r>
              <w:rPr>
                <w:rFonts w:ascii="Arial" w:cs="Arial" w:eastAsia="Arial" w:hAnsi="Arial"/>
                <w:sz w:val="18"/>
                <w:szCs w:val="18"/>
                <w:b w:val="1"/>
                <w:bCs w:val="1"/>
                <w:color w:val="auto"/>
              </w:rPr>
              <w:t>Related Party Transactions Policy and</w:t>
            </w:r>
          </w:p>
        </w:tc>
        <w:tc>
          <w:tcPr>
            <w:tcW w:w="600" w:type="dxa"/>
            <w:vAlign w:val="bottom"/>
          </w:tcPr>
          <w:p>
            <w:pPr>
              <w:spacing w:after="0"/>
              <w:rPr>
                <w:sz w:val="21"/>
                <w:szCs w:val="21"/>
                <w:color w:val="auto"/>
              </w:rPr>
            </w:pPr>
          </w:p>
        </w:tc>
      </w:tr>
      <w:tr>
        <w:trPr>
          <w:trHeight w:val="248"/>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Certain Transactions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r>
      <w:tr>
        <w:trPr>
          <w:trHeight w:val="291"/>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Other Information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r>
      <w:tr>
        <w:trPr>
          <w:trHeight w:val="245"/>
        </w:trPr>
        <w:tc>
          <w:tcPr>
            <w:tcW w:w="4780" w:type="dxa"/>
            <w:vAlign w:val="bottom"/>
          </w:tcPr>
          <w:p>
            <w:pPr>
              <w:ind w:left="60"/>
              <w:spacing w:after="0"/>
              <w:rPr>
                <w:sz w:val="20"/>
                <w:szCs w:val="20"/>
                <w:color w:val="auto"/>
              </w:rPr>
            </w:pPr>
            <w:r>
              <w:rPr>
                <w:rFonts w:ascii="Arial" w:cs="Arial" w:eastAsia="Arial" w:hAnsi="Arial"/>
                <w:sz w:val="18"/>
                <w:szCs w:val="18"/>
                <w:b w:val="1"/>
                <w:bCs w:val="1"/>
                <w:color w:val="auto"/>
              </w:rPr>
              <w:t>Appendix A: Reconciliations of Non-GAAP Financial</w:t>
            </w:r>
          </w:p>
        </w:tc>
        <w:tc>
          <w:tcPr>
            <w:tcW w:w="600" w:type="dxa"/>
            <w:vAlign w:val="bottom"/>
          </w:tcPr>
          <w:p>
            <w:pPr>
              <w:spacing w:after="0"/>
              <w:rPr>
                <w:sz w:val="21"/>
                <w:szCs w:val="21"/>
                <w:color w:val="auto"/>
              </w:rPr>
            </w:pPr>
          </w:p>
        </w:tc>
      </w:tr>
      <w:tr>
        <w:trPr>
          <w:trHeight w:val="248"/>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Measures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A-1</w:t>
            </w:r>
          </w:p>
        </w:tc>
      </w:tr>
      <w:tr>
        <w:trPr>
          <w:trHeight w:val="290"/>
        </w:trPr>
        <w:tc>
          <w:tcPr>
            <w:tcW w:w="4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Appendix B: Nasdaq Board Diversity Matrix</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B-1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3193415</wp:posOffset>
            </wp:positionH>
            <wp:positionV relativeFrom="paragraph">
              <wp:posOffset>-1645285</wp:posOffset>
            </wp:positionV>
            <wp:extent cx="1714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660" w:type="dxa"/>
        <w:tblCellMar>
          <w:top w:w="0" w:type="dxa"/>
          <w:left w:w="0" w:type="dxa"/>
          <w:bottom w:w="0" w:type="dxa"/>
          <w:right w:w="0" w:type="dxa"/>
        </w:tblCellMar>
      </w:tblPr>
      <w:tr>
        <w:trPr>
          <w:trHeight w:val="186"/>
        </w:trPr>
        <w:tc>
          <w:tcPr>
            <w:tcW w:w="1500" w:type="dxa"/>
            <w:vAlign w:val="bottom"/>
          </w:tcPr>
          <w:p>
            <w:pPr>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4</w:t>
            </w:r>
          </w:p>
        </w:tc>
      </w:tr>
    </w:tbl>
    <w:p>
      <w:pPr>
        <w:sectPr>
          <w:pgSz w:w="11900" w:h="16838" w:orient="portrait"/>
          <w:cols w:equalWidth="0" w:num="2">
            <w:col w:w="5400" w:space="460"/>
            <w:col w:w="538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Comcast</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Our Company</w:t>
      </w:r>
    </w:p>
    <w:p>
      <w:pPr>
        <w:spacing w:after="0" w:line="23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Comcast Corporation (“Comcast,” the “Company,” “we,” “our” or “us”) is a global media and technology company. From the connectivity and platforms we provide, to the content and experiences we create, our businesses reach customers, viewers and guests worldwide. We deliver world-class broadband, wireless, video and voice services through Xfinity, Comcast Business and Sky; produce, distribute and stream leading entertainment, sports and news through brands including NBC, Telemundo, Universal, Peacock and Sky; and bring incredible theme parks and attractions to life through Universal Destinations &amp; Experiences.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2023 Performance Overview</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produced strong financial results and continued to execute against our long-term strategy in 2023. We invested for the future; maintained a strong balance sheet; and returned a significant amount of capital to shareholders. Our 2023 consolidated financial results were strong, with contributions from across our company, underscoring our business resilience, strategic decision-making and capital allocation priorities, driven with a view toward growth and creating long-term value. As described in “Compensation Discussion and Analysis” below, revenue, Adjusted EBITDA and Free Cash Flow are among the key metrics used in our executive compensation program.</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300" w:type="dxa"/>
            <w:vAlign w:val="bottom"/>
          </w:tcPr>
          <w:p>
            <w:pPr>
              <w:spacing w:after="0"/>
              <w:rPr>
                <w:sz w:val="20"/>
                <w:szCs w:val="20"/>
                <w:color w:val="auto"/>
              </w:rPr>
            </w:pPr>
            <w:r>
              <w:rPr>
                <w:rFonts w:ascii="Arial" w:cs="Arial" w:eastAsia="Arial" w:hAnsi="Arial"/>
                <w:sz w:val="18"/>
                <w:szCs w:val="18"/>
                <w:b w:val="1"/>
                <w:bCs w:val="1"/>
                <w:color w:val="00A0E0"/>
              </w:rPr>
              <w:t>Revenue</w:t>
            </w:r>
          </w:p>
        </w:tc>
        <w:tc>
          <w:tcPr>
            <w:tcW w:w="4480" w:type="dxa"/>
            <w:vAlign w:val="bottom"/>
          </w:tcPr>
          <w:p>
            <w:pPr>
              <w:ind w:left="1540"/>
              <w:spacing w:after="0"/>
              <w:rPr>
                <w:sz w:val="20"/>
                <w:szCs w:val="20"/>
                <w:color w:val="auto"/>
              </w:rPr>
            </w:pPr>
            <w:r>
              <w:rPr>
                <w:rFonts w:ascii="Arial" w:cs="Arial" w:eastAsia="Arial" w:hAnsi="Arial"/>
                <w:sz w:val="18"/>
                <w:szCs w:val="18"/>
                <w:b w:val="1"/>
                <w:bCs w:val="1"/>
                <w:color w:val="00A0E0"/>
              </w:rPr>
              <w:t>Net Income Attributable</w:t>
            </w:r>
          </w:p>
        </w:tc>
        <w:tc>
          <w:tcPr>
            <w:tcW w:w="2560" w:type="dxa"/>
            <w:vAlign w:val="bottom"/>
          </w:tcPr>
          <w:p>
            <w:pPr>
              <w:ind w:left="900"/>
              <w:spacing w:after="0"/>
              <w:rPr>
                <w:sz w:val="20"/>
                <w:szCs w:val="20"/>
                <w:color w:val="auto"/>
              </w:rPr>
            </w:pPr>
            <w:r>
              <w:rPr>
                <w:rFonts w:ascii="Arial" w:cs="Arial" w:eastAsia="Arial" w:hAnsi="Arial"/>
                <w:sz w:val="18"/>
                <w:szCs w:val="18"/>
                <w:b w:val="1"/>
                <w:bCs w:val="1"/>
                <w:color w:val="00A0E0"/>
                <w:w w:val="94"/>
              </w:rPr>
              <w:t>Adjusted EBITDA</w:t>
            </w:r>
            <w:r>
              <w:rPr>
                <w:rFonts w:ascii="Arial" w:cs="Arial" w:eastAsia="Arial" w:hAnsi="Arial"/>
                <w:sz w:val="29"/>
                <w:szCs w:val="29"/>
                <w:b w:val="1"/>
                <w:bCs w:val="1"/>
                <w:color w:val="00A0E0"/>
                <w:w w:val="94"/>
                <w:vertAlign w:val="superscript"/>
              </w:rPr>
              <w:t>(2)</w:t>
            </w:r>
          </w:p>
        </w:tc>
      </w:tr>
      <w:tr>
        <w:trPr>
          <w:trHeight w:val="230"/>
        </w:trPr>
        <w:tc>
          <w:tcPr>
            <w:tcW w:w="2300" w:type="dxa"/>
            <w:vAlign w:val="bottom"/>
          </w:tcPr>
          <w:p>
            <w:pPr>
              <w:spacing w:after="0"/>
              <w:rPr>
                <w:sz w:val="20"/>
                <w:szCs w:val="20"/>
                <w:color w:val="auto"/>
              </w:rPr>
            </w:pPr>
            <w:r>
              <w:rPr>
                <w:rFonts w:ascii="Arial" w:cs="Arial" w:eastAsia="Arial" w:hAnsi="Arial"/>
                <w:sz w:val="13"/>
                <w:szCs w:val="13"/>
                <w:color w:val="auto"/>
              </w:rPr>
              <w:t>($ in billions)</w:t>
            </w:r>
          </w:p>
        </w:tc>
        <w:tc>
          <w:tcPr>
            <w:tcW w:w="4480" w:type="dxa"/>
            <w:vAlign w:val="bottom"/>
          </w:tcPr>
          <w:p>
            <w:pPr>
              <w:ind w:left="1540"/>
              <w:spacing w:after="0" w:line="230" w:lineRule="exact"/>
              <w:rPr>
                <w:sz w:val="20"/>
                <w:szCs w:val="20"/>
                <w:color w:val="auto"/>
              </w:rPr>
            </w:pPr>
            <w:r>
              <w:rPr>
                <w:rFonts w:ascii="Arial" w:cs="Arial" w:eastAsia="Arial" w:hAnsi="Arial"/>
                <w:sz w:val="16"/>
                <w:szCs w:val="16"/>
                <w:b w:val="1"/>
                <w:bCs w:val="1"/>
                <w:color w:val="00A0E0"/>
              </w:rPr>
              <w:t>to Comcast</w:t>
            </w:r>
            <w:r>
              <w:rPr>
                <w:rFonts w:ascii="Arial" w:cs="Arial" w:eastAsia="Arial" w:hAnsi="Arial"/>
                <w:sz w:val="26"/>
                <w:szCs w:val="26"/>
                <w:b w:val="1"/>
                <w:bCs w:val="1"/>
                <w:color w:val="00A0E0"/>
                <w:vertAlign w:val="superscript"/>
              </w:rPr>
              <w:t>(1)</w:t>
            </w:r>
          </w:p>
        </w:tc>
        <w:tc>
          <w:tcPr>
            <w:tcW w:w="2560" w:type="dxa"/>
            <w:vAlign w:val="bottom"/>
          </w:tcPr>
          <w:p>
            <w:pPr>
              <w:ind w:left="900"/>
              <w:spacing w:after="0"/>
              <w:rPr>
                <w:sz w:val="20"/>
                <w:szCs w:val="20"/>
                <w:color w:val="auto"/>
              </w:rPr>
            </w:pPr>
            <w:r>
              <w:rPr>
                <w:rFonts w:ascii="Arial" w:cs="Arial" w:eastAsia="Arial" w:hAnsi="Arial"/>
                <w:sz w:val="13"/>
                <w:szCs w:val="13"/>
                <w:color w:val="auto"/>
              </w:rPr>
              <w:t>($ in billions)</w:t>
            </w:r>
          </w:p>
        </w:tc>
      </w:tr>
      <w:tr>
        <w:trPr>
          <w:trHeight w:val="176"/>
        </w:trPr>
        <w:tc>
          <w:tcPr>
            <w:tcW w:w="2300" w:type="dxa"/>
            <w:vAlign w:val="bottom"/>
          </w:tcPr>
          <w:p>
            <w:pPr>
              <w:spacing w:after="0"/>
              <w:rPr>
                <w:sz w:val="15"/>
                <w:szCs w:val="15"/>
                <w:color w:val="auto"/>
              </w:rPr>
            </w:pPr>
          </w:p>
        </w:tc>
        <w:tc>
          <w:tcPr>
            <w:tcW w:w="4480" w:type="dxa"/>
            <w:vAlign w:val="bottom"/>
          </w:tcPr>
          <w:p>
            <w:pPr>
              <w:ind w:left="1540"/>
              <w:spacing w:after="0"/>
              <w:rPr>
                <w:sz w:val="20"/>
                <w:szCs w:val="20"/>
                <w:color w:val="auto"/>
              </w:rPr>
            </w:pPr>
            <w:r>
              <w:rPr>
                <w:rFonts w:ascii="Arial" w:cs="Arial" w:eastAsia="Arial" w:hAnsi="Arial"/>
                <w:sz w:val="13"/>
                <w:szCs w:val="13"/>
                <w:color w:val="auto"/>
              </w:rPr>
              <w:t>($ in billions)</w:t>
            </w:r>
          </w:p>
        </w:tc>
        <w:tc>
          <w:tcPr>
            <w:tcW w:w="25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127635</wp:posOffset>
            </wp:positionV>
            <wp:extent cx="6395085" cy="13798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9508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2860" w:type="dxa"/>
            <w:vAlign w:val="bottom"/>
          </w:tcPr>
          <w:p>
            <w:pPr>
              <w:spacing w:after="0"/>
              <w:rPr>
                <w:sz w:val="20"/>
                <w:szCs w:val="20"/>
                <w:color w:val="auto"/>
              </w:rPr>
            </w:pPr>
            <w:r>
              <w:rPr>
                <w:rFonts w:ascii="Arial" w:cs="Arial" w:eastAsia="Arial" w:hAnsi="Arial"/>
                <w:sz w:val="18"/>
                <w:szCs w:val="18"/>
                <w:b w:val="1"/>
                <w:bCs w:val="1"/>
                <w:color w:val="00A0E0"/>
              </w:rPr>
              <w:t>Net Cash Provided by</w:t>
            </w:r>
          </w:p>
        </w:tc>
        <w:tc>
          <w:tcPr>
            <w:tcW w:w="2500" w:type="dxa"/>
            <w:vAlign w:val="bottom"/>
          </w:tcPr>
          <w:p>
            <w:pPr>
              <w:ind w:left="980"/>
              <w:spacing w:after="0"/>
              <w:rPr>
                <w:sz w:val="20"/>
                <w:szCs w:val="20"/>
                <w:color w:val="auto"/>
              </w:rPr>
            </w:pPr>
            <w:r>
              <w:rPr>
                <w:rFonts w:ascii="Arial" w:cs="Arial" w:eastAsia="Arial" w:hAnsi="Arial"/>
                <w:sz w:val="18"/>
                <w:szCs w:val="18"/>
                <w:b w:val="1"/>
                <w:bCs w:val="1"/>
                <w:color w:val="00A0E0"/>
                <w:w w:val="95"/>
              </w:rPr>
              <w:t>Free Cash Flow</w:t>
            </w:r>
            <w:r>
              <w:rPr>
                <w:rFonts w:ascii="Arial" w:cs="Arial" w:eastAsia="Arial" w:hAnsi="Arial"/>
                <w:sz w:val="29"/>
                <w:szCs w:val="29"/>
                <w:b w:val="1"/>
                <w:bCs w:val="1"/>
                <w:color w:val="00A0E0"/>
                <w:w w:val="95"/>
                <w:vertAlign w:val="superscript"/>
              </w:rPr>
              <w:t>(2)</w:t>
            </w:r>
          </w:p>
        </w:tc>
      </w:tr>
      <w:tr>
        <w:trPr>
          <w:trHeight w:val="190"/>
        </w:trPr>
        <w:tc>
          <w:tcPr>
            <w:tcW w:w="2860" w:type="dxa"/>
            <w:vAlign w:val="bottom"/>
          </w:tcPr>
          <w:p>
            <w:pPr>
              <w:spacing w:after="0" w:line="190" w:lineRule="exact"/>
              <w:rPr>
                <w:sz w:val="20"/>
                <w:szCs w:val="20"/>
                <w:color w:val="auto"/>
              </w:rPr>
            </w:pPr>
            <w:r>
              <w:rPr>
                <w:rFonts w:ascii="Arial" w:cs="Arial" w:eastAsia="Arial" w:hAnsi="Arial"/>
                <w:sz w:val="18"/>
                <w:szCs w:val="18"/>
                <w:b w:val="1"/>
                <w:bCs w:val="1"/>
                <w:color w:val="00A0E0"/>
              </w:rPr>
              <w:t>Operating Activities</w:t>
            </w:r>
          </w:p>
        </w:tc>
        <w:tc>
          <w:tcPr>
            <w:tcW w:w="2500" w:type="dxa"/>
            <w:vAlign w:val="bottom"/>
          </w:tcPr>
          <w:p>
            <w:pPr>
              <w:ind w:left="980"/>
              <w:spacing w:after="0"/>
              <w:rPr>
                <w:sz w:val="20"/>
                <w:szCs w:val="20"/>
                <w:color w:val="auto"/>
              </w:rPr>
            </w:pPr>
            <w:r>
              <w:rPr>
                <w:rFonts w:ascii="Arial" w:cs="Arial" w:eastAsia="Arial" w:hAnsi="Arial"/>
                <w:sz w:val="13"/>
                <w:szCs w:val="13"/>
                <w:color w:val="auto"/>
              </w:rPr>
              <w:t>($ in billions)</w:t>
            </w:r>
          </w:p>
        </w:tc>
      </w:tr>
      <w:tr>
        <w:trPr>
          <w:trHeight w:val="176"/>
        </w:trPr>
        <w:tc>
          <w:tcPr>
            <w:tcW w:w="2860" w:type="dxa"/>
            <w:vAlign w:val="bottom"/>
          </w:tcPr>
          <w:p>
            <w:pPr>
              <w:spacing w:after="0"/>
              <w:rPr>
                <w:sz w:val="20"/>
                <w:szCs w:val="20"/>
                <w:color w:val="auto"/>
              </w:rPr>
            </w:pPr>
            <w:r>
              <w:rPr>
                <w:rFonts w:ascii="Arial" w:cs="Arial" w:eastAsia="Arial" w:hAnsi="Arial"/>
                <w:sz w:val="13"/>
                <w:szCs w:val="13"/>
                <w:color w:val="auto"/>
              </w:rPr>
              <w:t>($ in billions)</w:t>
            </w:r>
          </w:p>
        </w:tc>
        <w:tc>
          <w:tcPr>
            <w:tcW w:w="25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203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right="380" w:hanging="294"/>
        <w:spacing w:after="0" w:line="244" w:lineRule="auto"/>
        <w:tabs>
          <w:tab w:leader="none" w:pos="500" w:val="left"/>
        </w:tabs>
        <w:numPr>
          <w:ilvl w:val="0"/>
          <w:numId w:val="6"/>
        </w:numPr>
        <w:rPr>
          <w:rFonts w:ascii="Arial" w:cs="Arial" w:eastAsia="Arial" w:hAnsi="Arial"/>
          <w:sz w:val="13"/>
          <w:szCs w:val="13"/>
          <w:color w:val="auto"/>
        </w:rPr>
      </w:pPr>
      <w:r>
        <w:rPr>
          <w:rFonts w:ascii="Arial" w:cs="Arial" w:eastAsia="Arial" w:hAnsi="Arial"/>
          <w:sz w:val="15"/>
          <w:szCs w:val="15"/>
          <w:color w:val="auto"/>
        </w:rPr>
        <w:t>In the third quarter of 2022, we recorded noncash impairment charges related to Sky goodwill and intangible assets totaling $8.6 billion. The impairments primarily reflected an increased discount rate and reduced estimated future cash flows as a result of macroeconomic conditions in Sky’s territories. The impairments are recorded in “Goodwill and long-lived asset impairments” in the Condensed Consolidated Statement of Income.</w:t>
      </w:r>
    </w:p>
    <w:p>
      <w:pPr>
        <w:spacing w:after="0" w:line="27" w:lineRule="exact"/>
        <w:rPr>
          <w:rFonts w:ascii="Arial" w:cs="Arial" w:eastAsia="Arial" w:hAnsi="Arial"/>
          <w:sz w:val="13"/>
          <w:szCs w:val="13"/>
          <w:color w:val="auto"/>
        </w:rPr>
      </w:pPr>
    </w:p>
    <w:p>
      <w:pPr>
        <w:ind w:left="500" w:hanging="294"/>
        <w:spacing w:after="0"/>
        <w:tabs>
          <w:tab w:leader="none" w:pos="500" w:val="left"/>
        </w:tabs>
        <w:numPr>
          <w:ilvl w:val="0"/>
          <w:numId w:val="6"/>
        </w:numPr>
        <w:rPr>
          <w:rFonts w:ascii="Arial" w:cs="Arial" w:eastAsia="Arial" w:hAnsi="Arial"/>
          <w:sz w:val="13"/>
          <w:szCs w:val="13"/>
          <w:color w:val="auto"/>
        </w:rPr>
      </w:pPr>
      <w:r>
        <w:rPr>
          <w:rFonts w:ascii="Arial" w:cs="Arial" w:eastAsia="Arial" w:hAnsi="Arial"/>
          <w:sz w:val="15"/>
          <w:szCs w:val="15"/>
          <w:color w:val="auto"/>
        </w:rPr>
        <w:t xml:space="preserve">Reconciliations of non-GAAP financial metrics to GAAP are set forth in </w:t>
      </w:r>
      <w:r>
        <w:rPr>
          <w:rFonts w:ascii="Arial" w:cs="Arial" w:eastAsia="Arial" w:hAnsi="Arial"/>
          <w:sz w:val="13"/>
          <w:szCs w:val="13"/>
          <w:u w:val="single" w:color="auto"/>
          <w:color w:val="auto"/>
        </w:rPr>
        <w:t>Appendix A</w:t>
      </w:r>
      <w:r>
        <w:rPr>
          <w:rFonts w:ascii="Arial" w:cs="Arial" w:eastAsia="Arial" w:hAnsi="Arial"/>
          <w:sz w:val="13"/>
          <w:szCs w:val="13"/>
          <w:color w:val="auto"/>
        </w:rPr>
        <w:t>.</w:t>
      </w:r>
    </w:p>
    <w:p>
      <w:pPr>
        <w:spacing w:after="0" w:line="200" w:lineRule="exact"/>
        <w:rPr>
          <w:sz w:val="20"/>
          <w:szCs w:val="20"/>
          <w:color w:val="auto"/>
        </w:rPr>
      </w:pPr>
    </w:p>
    <w:p>
      <w:pPr>
        <w:spacing w:after="0" w:line="238"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2023 key reported results included:</w:t>
      </w:r>
    </w:p>
    <w:p>
      <w:pPr>
        <w:spacing w:after="0" w:line="212" w:lineRule="exact"/>
        <w:rPr>
          <w:sz w:val="20"/>
          <w:szCs w:val="20"/>
          <w:color w:val="auto"/>
        </w:rPr>
      </w:pPr>
    </w:p>
    <w:p>
      <w:pPr>
        <w:ind w:left="260" w:right="200" w:hanging="252"/>
        <w:spacing w:after="0" w:line="242" w:lineRule="auto"/>
        <w:tabs>
          <w:tab w:leader="none" w:pos="260" w:val="left"/>
        </w:tabs>
        <w:numPr>
          <w:ilvl w:val="0"/>
          <w:numId w:val="8"/>
        </w:numPr>
        <w:rPr>
          <w:rFonts w:ascii="Arial" w:cs="Arial" w:eastAsia="Arial" w:hAnsi="Arial"/>
          <w:sz w:val="17"/>
          <w:szCs w:val="17"/>
          <w:color w:val="00A0E0"/>
        </w:rPr>
      </w:pPr>
      <w:r>
        <w:rPr>
          <w:rFonts w:ascii="Arial" w:cs="Arial" w:eastAsia="Arial" w:hAnsi="Arial"/>
          <w:sz w:val="18"/>
          <w:szCs w:val="18"/>
          <w:b w:val="1"/>
          <w:bCs w:val="1"/>
          <w:color w:val="auto"/>
        </w:rPr>
        <w:t xml:space="preserve">Connectivity &amp; Platforms </w:t>
      </w:r>
      <w:r>
        <w:rPr>
          <w:rFonts w:ascii="Arial" w:cs="Arial" w:eastAsia="Arial" w:hAnsi="Arial"/>
          <w:sz w:val="18"/>
          <w:szCs w:val="18"/>
          <w:color w:val="auto"/>
        </w:rPr>
        <w:t>– We continued to make significant investments in our technology and network to stay ahead of data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consumption trends that reflect customers’ increasing demands and to further differentiate our broadband offering and experience. We increased the number of domestic homes and businesses passed by 1.1 million to 62.5 million, deployed mid-split technology to 35% of our footprint and began rolling out multi-gigabit symmetrical speeds in select markets. Connectivity &amp; Platforms revenue was consistent with the prior year period at $81.2 billion. Adjusted EBITDA increased 3.4% to $32.2 billion, or 3.5% on a constant currency basis. 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for a reconciliation.</w:t>
      </w:r>
    </w:p>
    <w:p>
      <w:pPr>
        <w:spacing w:after="0" w:line="30" w:lineRule="exact"/>
        <w:rPr>
          <w:rFonts w:ascii="Arial" w:cs="Arial" w:eastAsia="Arial" w:hAnsi="Arial"/>
          <w:sz w:val="17"/>
          <w:szCs w:val="17"/>
          <w:color w:val="00A0E0"/>
        </w:rPr>
      </w:pPr>
    </w:p>
    <w:p>
      <w:pPr>
        <w:ind w:left="260" w:right="40" w:hanging="252"/>
        <w:spacing w:after="0" w:line="242" w:lineRule="auto"/>
        <w:tabs>
          <w:tab w:leader="none" w:pos="260" w:val="left"/>
        </w:tabs>
        <w:numPr>
          <w:ilvl w:val="0"/>
          <w:numId w:val="8"/>
        </w:numPr>
        <w:rPr>
          <w:rFonts w:ascii="Arial" w:cs="Arial" w:eastAsia="Arial" w:hAnsi="Arial"/>
          <w:sz w:val="17"/>
          <w:szCs w:val="17"/>
          <w:color w:val="00A0E0"/>
        </w:rPr>
      </w:pPr>
      <w:r>
        <w:rPr>
          <w:rFonts w:ascii="Arial" w:cs="Arial" w:eastAsia="Arial" w:hAnsi="Arial"/>
          <w:sz w:val="18"/>
          <w:szCs w:val="18"/>
          <w:b w:val="1"/>
          <w:bCs w:val="1"/>
          <w:color w:val="auto"/>
        </w:rPr>
        <w:t xml:space="preserve">Content &amp; Experiences </w:t>
      </w:r>
      <w:r>
        <w:rPr>
          <w:rFonts w:ascii="Arial" w:cs="Arial" w:eastAsia="Arial" w:hAnsi="Arial"/>
          <w:sz w:val="18"/>
          <w:szCs w:val="18"/>
          <w:color w:val="auto"/>
        </w:rPr>
        <w:t>– We continued to entertain and inspire our audiences and guests by creating and leveraging our world-class IP</w:t>
      </w:r>
      <w:r>
        <w:rPr>
          <w:rFonts w:ascii="Arial" w:cs="Arial" w:eastAsia="Arial" w:hAnsi="Arial"/>
          <w:sz w:val="18"/>
          <w:szCs w:val="18"/>
          <w:b w:val="1"/>
          <w:bCs w:val="1"/>
          <w:color w:val="auto"/>
        </w:rPr>
        <w:t xml:space="preserve"> </w:t>
      </w:r>
      <w:r>
        <w:rPr>
          <w:rFonts w:ascii="Arial" w:cs="Arial" w:eastAsia="Arial" w:hAnsi="Arial"/>
          <w:sz w:val="18"/>
          <w:szCs w:val="18"/>
          <w:color w:val="auto"/>
        </w:rPr>
        <w:t>and fan favorite franchises. In 2023, Universal Pictures was the highest-grossing studio at the worldwide box office, with three of the top five highest-grossing films, and we continued to build new destinations and experiences at our theme parks around the world. In Media, we continued to deliver leading sports, news and entertainment, and Peacock, our streaming service, was the fastest-growing streamer in 2023 with U.S. paid subscribers increasing nearly 50% to 31 million and revenue increasing 57% to $3.4 billion. Content &amp; Experiences revenue was consistent with the prior year period at $43.2 billion, and Adjusted EBITDA increased 5.4% to $6.7 billion.</w:t>
      </w:r>
    </w:p>
    <w:p>
      <w:pPr>
        <w:spacing w:after="0" w:line="179"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color w:val="auto"/>
        </w:rPr>
        <w:t>We also worked together across our complementary, high-performing business units, as well as with external partners, to continue to accelerate convergence in media and technology. For example, in January 2024, we successfully executed the first exclusively streamed NFL Wild Card game, with engineers across NBC Sports, Peacock and Connectivity &amp; Platforms collaborating to deliver the largest ever viewing event on the internet in the U.S.</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Lastly, in 2023, we made cash dividend payments of $4.8 billion and repurchased $ 11.0 billion of our common stock, resulting in a total return of capital to shareholders of $15.8 billion. In January 2024, we announced our 16th consecutive annual increase to our planned annual dividend by $0.08 per share, or 6.9%, to $1.24 per share on an annualized basis.</w:t>
      </w:r>
    </w:p>
    <w:p>
      <w:pPr>
        <w:spacing w:after="0" w:line="15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Spotlight on Our Corporate Responsibility Initiatives</w:t>
      </w:r>
    </w:p>
    <w:p>
      <w:pPr>
        <w:spacing w:after="0" w:line="239"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most significant corporate responsibility initiatives are reviewed with our Board of Directors and its committees. Our Audit Committee oversees financial reporting and accounting matters, internal and disclosure controls, our enterprise risk management (“ERM”) process and cybersecurity and significant business continuity risks. Our Compensation and Human Capital (“CHC”) Committee reviews programs and strategies with respect to human capital management and employee engagement and oversees succession planning. Our Governance and Corporate Responsibility (“GCR”) Committee oversees significant environmental and social issues, risks and trends, including harassment and discrimination matters, as well as privacy and political and lobbying activities. For more information about our Board’s oversight of these issues, see “Corporate Governance and Board Matters – Board Structure and Responsibilities – Board and Committee Strategy, Risk and Oversight Responsibilities.”</w:t>
      </w:r>
    </w:p>
    <w:p>
      <w:pPr>
        <w:spacing w:after="0" w:line="18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We provide reports on various corporate responsibility issues and initiatives that are of interest to our stakeholders, including our shareholders, employees, customers, suppliers and the communities where we operate, on our ESG Reporting website at </w:t>
      </w:r>
      <w:r>
        <w:rPr>
          <w:rFonts w:ascii="Arial" w:cs="Arial" w:eastAsia="Arial" w:hAnsi="Arial"/>
          <w:sz w:val="18"/>
          <w:szCs w:val="18"/>
          <w:i w:val="1"/>
          <w:iCs w:val="1"/>
          <w:color w:val="auto"/>
        </w:rPr>
        <w:t>www.cmcsa.com/esg-reporting</w:t>
      </w:r>
      <w:r>
        <w:rPr>
          <w:rFonts w:ascii="Arial" w:cs="Arial" w:eastAsia="Arial" w:hAnsi="Arial"/>
          <w:sz w:val="18"/>
          <w:szCs w:val="18"/>
          <w:color w:val="auto"/>
        </w:rPr>
        <w:t>, including our Impact Report, EEO-1 Data Report, Sustainability Accounting Standards Board (“SASB”)</w:t>
      </w:r>
      <w:r>
        <w:rPr>
          <w:rFonts w:ascii="Arial" w:cs="Arial" w:eastAsia="Arial" w:hAnsi="Arial"/>
          <w:sz w:val="18"/>
          <w:szCs w:val="18"/>
          <w:i w:val="1"/>
          <w:iCs w:val="1"/>
          <w:color w:val="auto"/>
        </w:rPr>
        <w:t xml:space="preserve"> </w:t>
      </w:r>
      <w:r>
        <w:rPr>
          <w:rFonts w:ascii="Arial" w:cs="Arial" w:eastAsia="Arial" w:hAnsi="Arial"/>
          <w:sz w:val="18"/>
          <w:szCs w:val="18"/>
          <w:color w:val="auto"/>
        </w:rPr>
        <w:t>Report, Task Force on Climate-Related Financial Disclosures (“TCFD”) Report, Carbon Footprint Data Report and reporting on our political and trade association activities. None of the statements, reports, policies, resources or other content on our website, or any other websites or reports referenced or discussed in this proxy statement, are deemed to be part of, or incorporated by reference into, this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Digital Equity</w:t>
      </w:r>
    </w:p>
    <w:p>
      <w:pPr>
        <w:spacing w:after="0" w:line="23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As a media and technology company, we have a unique opportunity to address digital inequities to help create a more equitable society. For more than a decade, we have connected a cumulative total of more than 10 million low-income Americans to the internet through our Internet Essentials program. At the same time, we have sought to improve access to digital tools and resources, invested in organizations that help people build digital skills, and partnered with broadband industry peers, schools, governments, nonprofits, businesses and communities to help advance digital equity.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 2023, we continued our efforts to extend our broadband services to unserved and underserved Americans by:</w:t>
      </w:r>
    </w:p>
    <w:p>
      <w:pPr>
        <w:spacing w:after="0" w:line="212" w:lineRule="exact"/>
        <w:rPr>
          <w:sz w:val="20"/>
          <w:szCs w:val="20"/>
          <w:color w:val="auto"/>
        </w:rPr>
      </w:pPr>
    </w:p>
    <w:p>
      <w:pPr>
        <w:ind w:left="260" w:right="120" w:hanging="252"/>
        <w:spacing w:after="0" w:line="271" w:lineRule="auto"/>
        <w:tabs>
          <w:tab w:leader="none" w:pos="260" w:val="left"/>
        </w:tabs>
        <w:numPr>
          <w:ilvl w:val="0"/>
          <w:numId w:val="9"/>
        </w:numPr>
        <w:rPr>
          <w:rFonts w:ascii="Arial" w:cs="Arial" w:eastAsia="Arial" w:hAnsi="Arial"/>
          <w:sz w:val="17"/>
          <w:szCs w:val="17"/>
          <w:color w:val="00A0E0"/>
        </w:rPr>
      </w:pPr>
      <w:r>
        <w:rPr>
          <w:rFonts w:ascii="Arial" w:cs="Arial" w:eastAsia="Arial" w:hAnsi="Arial"/>
          <w:sz w:val="18"/>
          <w:szCs w:val="18"/>
          <w:color w:val="auto"/>
        </w:rPr>
        <w:t>Participating responsibly in the federal government’s Affordable Connectivity Program, which enabled qualifying lower-income customers to apply a financial subsidy to our broadband services, allowing them to receive our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20" w:type="dxa"/>
            <w:vAlign w:val="bottom"/>
          </w:tcPr>
          <w:p>
            <w:pPr>
              <w:ind w:left="956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6</w:t>
            </w:r>
          </w:p>
        </w:tc>
      </w:tr>
      <w:tr>
        <w:trPr>
          <w:trHeight w:val="362"/>
        </w:trPr>
        <w:tc>
          <w:tcPr>
            <w:tcW w:w="11020" w:type="dxa"/>
            <w:vAlign w:val="bottom"/>
            <w:tcBorders>
              <w:bottom w:val="single" w:sz="8" w:color="A1A1A1"/>
            </w:tcBorders>
          </w:tcPr>
          <w:p>
            <w:pPr>
              <w:spacing w:after="0"/>
              <w:rPr>
                <w:sz w:val="24"/>
                <w:szCs w:val="24"/>
                <w:color w:val="auto"/>
              </w:rPr>
            </w:pPr>
          </w:p>
        </w:tc>
        <w:tc>
          <w:tcPr>
            <w:tcW w:w="22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Internet Essentials service or our enhanced Internet Essentials Plus service with twice the download speed – up to 100 Mbps – for free.</w:t>
      </w:r>
    </w:p>
    <w:p>
      <w:pPr>
        <w:spacing w:after="0" w:line="63" w:lineRule="exact"/>
        <w:rPr>
          <w:sz w:val="20"/>
          <w:szCs w:val="20"/>
          <w:color w:val="auto"/>
        </w:rPr>
      </w:pPr>
    </w:p>
    <w:p>
      <w:pPr>
        <w:ind w:left="260" w:right="180" w:hanging="252"/>
        <w:spacing w:after="0" w:line="271" w:lineRule="auto"/>
        <w:tabs>
          <w:tab w:leader="none" w:pos="260" w:val="left"/>
        </w:tabs>
        <w:numPr>
          <w:ilvl w:val="0"/>
          <w:numId w:val="10"/>
        </w:numPr>
        <w:rPr>
          <w:rFonts w:ascii="Arial" w:cs="Arial" w:eastAsia="Arial" w:hAnsi="Arial"/>
          <w:sz w:val="17"/>
          <w:szCs w:val="17"/>
          <w:color w:val="00A0E0"/>
        </w:rPr>
      </w:pPr>
      <w:r>
        <w:rPr>
          <w:rFonts w:ascii="Arial" w:cs="Arial" w:eastAsia="Arial" w:hAnsi="Arial"/>
          <w:sz w:val="18"/>
          <w:szCs w:val="18"/>
          <w:color w:val="auto"/>
        </w:rPr>
        <w:t>Participating in federal, state and local programs designed to fund the expansion of broadband to unserved and underserved Americans and extending our network to new areas where reliable, high-speed internet services had been unavailable.</w:t>
      </w:r>
    </w:p>
    <w:p>
      <w:pPr>
        <w:spacing w:after="0" w:line="5" w:lineRule="exact"/>
        <w:rPr>
          <w:rFonts w:ascii="Arial" w:cs="Arial" w:eastAsia="Arial" w:hAnsi="Arial"/>
          <w:sz w:val="17"/>
          <w:szCs w:val="17"/>
          <w:color w:val="00A0E0"/>
        </w:rPr>
      </w:pPr>
    </w:p>
    <w:p>
      <w:pPr>
        <w:ind w:left="260" w:right="40" w:hanging="252"/>
        <w:spacing w:after="0" w:line="274" w:lineRule="auto"/>
        <w:tabs>
          <w:tab w:leader="none" w:pos="260" w:val="left"/>
        </w:tabs>
        <w:numPr>
          <w:ilvl w:val="0"/>
          <w:numId w:val="10"/>
        </w:numPr>
        <w:rPr>
          <w:rFonts w:ascii="Arial" w:cs="Arial" w:eastAsia="Arial" w:hAnsi="Arial"/>
          <w:sz w:val="16"/>
          <w:szCs w:val="16"/>
          <w:color w:val="00A0E0"/>
        </w:rPr>
      </w:pPr>
      <w:r>
        <w:rPr>
          <w:rFonts w:ascii="Arial" w:cs="Arial" w:eastAsia="Arial" w:hAnsi="Arial"/>
          <w:sz w:val="17"/>
          <w:szCs w:val="17"/>
          <w:color w:val="auto"/>
        </w:rPr>
        <w:t>Investing directly in community-based initiatives and programs to launch, support and scale digital navigator programs across the country. Digital navigators are trusted individuals affiliated with local nonprofits, educational institutions and governmental organizations who are trained to help more people sign up for internet service, get devices and connect to skills training and other digital literacy resources.</w:t>
      </w:r>
    </w:p>
    <w:p>
      <w:pPr>
        <w:spacing w:after="0" w:line="5" w:lineRule="exact"/>
        <w:rPr>
          <w:rFonts w:ascii="Arial" w:cs="Arial" w:eastAsia="Arial" w:hAnsi="Arial"/>
          <w:sz w:val="16"/>
          <w:szCs w:val="16"/>
          <w:color w:val="00A0E0"/>
        </w:rPr>
      </w:pPr>
    </w:p>
    <w:p>
      <w:pPr>
        <w:ind w:left="260" w:hanging="252"/>
        <w:spacing w:after="0" w:line="271" w:lineRule="auto"/>
        <w:tabs>
          <w:tab w:leader="none" w:pos="260" w:val="left"/>
        </w:tabs>
        <w:numPr>
          <w:ilvl w:val="0"/>
          <w:numId w:val="10"/>
        </w:numPr>
        <w:rPr>
          <w:rFonts w:ascii="Arial" w:cs="Arial" w:eastAsia="Arial" w:hAnsi="Arial"/>
          <w:sz w:val="17"/>
          <w:szCs w:val="17"/>
          <w:color w:val="00A0E0"/>
        </w:rPr>
      </w:pPr>
      <w:r>
        <w:rPr>
          <w:rFonts w:ascii="Arial" w:cs="Arial" w:eastAsia="Arial" w:hAnsi="Arial"/>
          <w:sz w:val="18"/>
          <w:szCs w:val="18"/>
          <w:color w:val="auto"/>
        </w:rPr>
        <w:t>Continuing to support third-party organizations that are helping to create access to skills and training, so more people can secure jobs and climb the economic ladder.</w:t>
      </w:r>
    </w:p>
    <w:p>
      <w:pPr>
        <w:spacing w:after="0" w:line="138"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Diversity, Equity &amp; Inclusion</w:t>
      </w:r>
    </w:p>
    <w:p>
      <w:pPr>
        <w:spacing w:after="0" w:line="235"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We embrace diversity of background, culture, skills and experience throughout our business. Our ongoing efforts in this regard are reviewed and discussed by our Board and/or its committees, our senior leadership teams, our rotating Diversity, Equity &amp; Inclusion (“DE&amp;I”) Employee Advisory Council and our external DE&amp;I Advisory Council.</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color w:val="auto"/>
        </w:rPr>
        <w:t>Board of Directors and Workforce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(Workforce statistics based on U.S. full-time employees as of year-end 2023)</w:t>
      </w:r>
    </w:p>
    <w:p>
      <w:pPr>
        <w:sectPr>
          <w:pgSz w:w="11900" w:h="16838" w:orient="portrait"/>
          <w:cols w:equalWidth="0" w:num="1">
            <w:col w:w="11240"/>
          </w:cols>
          <w:pgMar w:left="320" w:top="121" w:right="3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00A0E0"/>
        </w:rPr>
        <w:t>Board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080135" cy="10883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0135" cy="1088390"/>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288925</wp:posOffset>
            </wp:positionV>
            <wp:extent cx="780415" cy="6343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0415" cy="634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3940"/>
        <w:spacing w:after="0"/>
        <w:rPr>
          <w:sz w:val="20"/>
          <w:szCs w:val="20"/>
          <w:color w:val="auto"/>
        </w:rPr>
      </w:pPr>
      <w:r>
        <w:rPr>
          <w:rFonts w:ascii="Arial" w:cs="Arial" w:eastAsia="Arial" w:hAnsi="Arial"/>
          <w:sz w:val="18"/>
          <w:szCs w:val="18"/>
          <w:b w:val="1"/>
          <w:bCs w:val="1"/>
          <w:color w:val="00A0E0"/>
        </w:rPr>
        <w:t>Overall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1080135" cy="10883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0135" cy="1088390"/>
                    </a:xfrm>
                    <a:prstGeom prst="rect">
                      <a:avLst/>
                    </a:prstGeom>
                    <a:noFill/>
                  </pic:spPr>
                </pic:pic>
              </a:graphicData>
            </a:graphic>
          </wp:anchor>
        </w:drawing>
        <w:drawing>
          <wp:anchor simplePos="0" relativeHeight="251657728" behindDoc="1" locked="0" layoutInCell="0" allowOverlap="1">
            <wp:simplePos x="0" y="0"/>
            <wp:positionH relativeFrom="column">
              <wp:posOffset>1786255</wp:posOffset>
            </wp:positionH>
            <wp:positionV relativeFrom="paragraph">
              <wp:posOffset>326390</wp:posOffset>
            </wp:positionV>
            <wp:extent cx="916940" cy="848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16940" cy="848995"/>
                    </a:xfrm>
                    <a:prstGeom prst="rect">
                      <a:avLst/>
                    </a:prstGeom>
                    <a:noFill/>
                  </pic:spPr>
                </pic:pic>
              </a:graphicData>
            </a:graphic>
          </wp:anchor>
        </w:drawing>
      </w:r>
    </w:p>
    <w:p>
      <w:pPr>
        <w:spacing w:after="0" w:line="420"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387"/>
        </w:trPr>
        <w:tc>
          <w:tcPr>
            <w:tcW w:w="2300" w:type="dxa"/>
            <w:vAlign w:val="bottom"/>
          </w:tcPr>
          <w:p>
            <w:pPr>
              <w:spacing w:after="0"/>
              <w:rPr>
                <w:sz w:val="20"/>
                <w:szCs w:val="20"/>
                <w:color w:val="auto"/>
              </w:rPr>
            </w:pPr>
            <w:r>
              <w:rPr>
                <w:rFonts w:ascii="Arial" w:cs="Arial" w:eastAsia="Arial" w:hAnsi="Arial"/>
                <w:sz w:val="32"/>
                <w:szCs w:val="32"/>
                <w:color w:val="00A0E0"/>
              </w:rPr>
              <w:t>30%</w:t>
            </w:r>
          </w:p>
        </w:tc>
        <w:tc>
          <w:tcPr>
            <w:tcW w:w="2880" w:type="dxa"/>
            <w:vAlign w:val="bottom"/>
          </w:tcPr>
          <w:p>
            <w:pPr>
              <w:ind w:left="480"/>
              <w:spacing w:after="0"/>
              <w:rPr>
                <w:sz w:val="20"/>
                <w:szCs w:val="20"/>
                <w:color w:val="auto"/>
              </w:rPr>
            </w:pPr>
            <w:r>
              <w:rPr>
                <w:rFonts w:ascii="Arial" w:cs="Arial" w:eastAsia="Arial" w:hAnsi="Arial"/>
                <w:sz w:val="32"/>
                <w:szCs w:val="32"/>
                <w:color w:val="00A0E0"/>
              </w:rPr>
              <w:t>40%</w:t>
            </w:r>
          </w:p>
        </w:tc>
        <w:tc>
          <w:tcPr>
            <w:tcW w:w="2660" w:type="dxa"/>
            <w:vAlign w:val="bottom"/>
          </w:tcPr>
          <w:p>
            <w:pPr>
              <w:ind w:left="560"/>
              <w:spacing w:after="0"/>
              <w:rPr>
                <w:sz w:val="20"/>
                <w:szCs w:val="20"/>
                <w:color w:val="auto"/>
              </w:rPr>
            </w:pPr>
            <w:r>
              <w:rPr>
                <w:rFonts w:ascii="Arial" w:cs="Arial" w:eastAsia="Arial" w:hAnsi="Arial"/>
                <w:sz w:val="32"/>
                <w:szCs w:val="32"/>
                <w:color w:val="00A0E0"/>
              </w:rPr>
              <w:t>37%</w:t>
            </w:r>
          </w:p>
        </w:tc>
        <w:tc>
          <w:tcPr>
            <w:tcW w:w="2340" w:type="dxa"/>
            <w:vAlign w:val="bottom"/>
          </w:tcPr>
          <w:p>
            <w:pPr>
              <w:ind w:left="720"/>
              <w:spacing w:after="0"/>
              <w:rPr>
                <w:sz w:val="20"/>
                <w:szCs w:val="20"/>
                <w:color w:val="auto"/>
              </w:rPr>
            </w:pPr>
            <w:r>
              <w:rPr>
                <w:rFonts w:ascii="Arial" w:cs="Arial" w:eastAsia="Arial" w:hAnsi="Arial"/>
                <w:sz w:val="32"/>
                <w:szCs w:val="32"/>
                <w:color w:val="00A0E0"/>
              </w:rPr>
              <w:t>46%</w:t>
            </w:r>
          </w:p>
        </w:tc>
      </w:tr>
      <w:tr>
        <w:trPr>
          <w:trHeight w:val="202"/>
        </w:trPr>
        <w:tc>
          <w:tcPr>
            <w:tcW w:w="2300" w:type="dxa"/>
            <w:vAlign w:val="bottom"/>
          </w:tcPr>
          <w:p>
            <w:pPr>
              <w:spacing w:after="0" w:line="202" w:lineRule="exact"/>
              <w:rPr>
                <w:sz w:val="20"/>
                <w:szCs w:val="20"/>
                <w:color w:val="auto"/>
              </w:rPr>
            </w:pPr>
            <w:r>
              <w:rPr>
                <w:rFonts w:ascii="Arial" w:cs="Arial" w:eastAsia="Arial" w:hAnsi="Arial"/>
                <w:sz w:val="18"/>
                <w:szCs w:val="18"/>
                <w:color w:val="auto"/>
              </w:rPr>
              <w:t>of our Board nominees</w:t>
            </w:r>
          </w:p>
        </w:tc>
        <w:tc>
          <w:tcPr>
            <w:tcW w:w="2880" w:type="dxa"/>
            <w:vAlign w:val="bottom"/>
          </w:tcPr>
          <w:p>
            <w:pPr>
              <w:ind w:left="480"/>
              <w:spacing w:after="0" w:line="202" w:lineRule="exact"/>
              <w:rPr>
                <w:sz w:val="20"/>
                <w:szCs w:val="20"/>
                <w:color w:val="auto"/>
              </w:rPr>
            </w:pPr>
            <w:r>
              <w:rPr>
                <w:rFonts w:ascii="Arial" w:cs="Arial" w:eastAsia="Arial" w:hAnsi="Arial"/>
                <w:sz w:val="18"/>
                <w:szCs w:val="18"/>
                <w:color w:val="auto"/>
              </w:rPr>
              <w:t>of our Board nominees</w:t>
            </w:r>
          </w:p>
        </w:tc>
        <w:tc>
          <w:tcPr>
            <w:tcW w:w="2660" w:type="dxa"/>
            <w:vAlign w:val="bottom"/>
          </w:tcPr>
          <w:p>
            <w:pPr>
              <w:ind w:left="560"/>
              <w:spacing w:after="0" w:line="202" w:lineRule="exact"/>
              <w:rPr>
                <w:sz w:val="20"/>
                <w:szCs w:val="20"/>
                <w:color w:val="auto"/>
              </w:rPr>
            </w:pPr>
            <w:r>
              <w:rPr>
                <w:rFonts w:ascii="Arial" w:cs="Arial" w:eastAsia="Arial" w:hAnsi="Arial"/>
                <w:sz w:val="18"/>
                <w:szCs w:val="18"/>
                <w:color w:val="auto"/>
              </w:rPr>
              <w:t>of our employees</w:t>
            </w:r>
          </w:p>
        </w:tc>
        <w:tc>
          <w:tcPr>
            <w:tcW w:w="2340" w:type="dxa"/>
            <w:vAlign w:val="bottom"/>
          </w:tcPr>
          <w:p>
            <w:pPr>
              <w:ind w:left="720"/>
              <w:spacing w:after="0" w:line="202" w:lineRule="exact"/>
              <w:rPr>
                <w:sz w:val="20"/>
                <w:szCs w:val="20"/>
                <w:color w:val="auto"/>
              </w:rPr>
            </w:pPr>
            <w:r>
              <w:rPr>
                <w:rFonts w:ascii="Arial" w:cs="Arial" w:eastAsia="Arial" w:hAnsi="Arial"/>
                <w:sz w:val="18"/>
                <w:szCs w:val="18"/>
                <w:color w:val="auto"/>
              </w:rPr>
              <w:t>of our employees</w:t>
            </w:r>
          </w:p>
        </w:tc>
      </w:tr>
      <w:tr>
        <w:trPr>
          <w:trHeight w:val="239"/>
        </w:trPr>
        <w:tc>
          <w:tcPr>
            <w:tcW w:w="2300" w:type="dxa"/>
            <w:vAlign w:val="bottom"/>
          </w:tcPr>
          <w:p>
            <w:pPr>
              <w:spacing w:after="0"/>
              <w:rPr>
                <w:sz w:val="20"/>
                <w:szCs w:val="20"/>
                <w:color w:val="auto"/>
              </w:rPr>
            </w:pPr>
            <w:r>
              <w:rPr>
                <w:rFonts w:ascii="Arial" w:cs="Arial" w:eastAsia="Arial" w:hAnsi="Arial"/>
                <w:sz w:val="18"/>
                <w:szCs w:val="18"/>
                <w:color w:val="auto"/>
              </w:rPr>
              <w:t>are women</w:t>
            </w:r>
          </w:p>
        </w:tc>
        <w:tc>
          <w:tcPr>
            <w:tcW w:w="2880" w:type="dxa"/>
            <w:vAlign w:val="bottom"/>
          </w:tcPr>
          <w:p>
            <w:pPr>
              <w:ind w:left="480"/>
              <w:spacing w:after="0"/>
              <w:rPr>
                <w:sz w:val="20"/>
                <w:szCs w:val="20"/>
                <w:color w:val="auto"/>
              </w:rPr>
            </w:pPr>
            <w:r>
              <w:rPr>
                <w:rFonts w:ascii="Arial" w:cs="Arial" w:eastAsia="Arial" w:hAnsi="Arial"/>
                <w:sz w:val="18"/>
                <w:szCs w:val="18"/>
                <w:color w:val="auto"/>
              </w:rPr>
              <w:t>are people of color</w:t>
            </w:r>
          </w:p>
        </w:tc>
        <w:tc>
          <w:tcPr>
            <w:tcW w:w="2660" w:type="dxa"/>
            <w:vAlign w:val="bottom"/>
          </w:tcPr>
          <w:p>
            <w:pPr>
              <w:ind w:left="560"/>
              <w:spacing w:after="0"/>
              <w:rPr>
                <w:sz w:val="20"/>
                <w:szCs w:val="20"/>
                <w:color w:val="auto"/>
              </w:rPr>
            </w:pPr>
            <w:r>
              <w:rPr>
                <w:rFonts w:ascii="Arial" w:cs="Arial" w:eastAsia="Arial" w:hAnsi="Arial"/>
                <w:sz w:val="18"/>
                <w:szCs w:val="18"/>
                <w:color w:val="auto"/>
              </w:rPr>
              <w:t>were women</w:t>
            </w:r>
          </w:p>
        </w:tc>
        <w:tc>
          <w:tcPr>
            <w:tcW w:w="2340" w:type="dxa"/>
            <w:vAlign w:val="bottom"/>
          </w:tcPr>
          <w:p>
            <w:pPr>
              <w:ind w:left="720"/>
              <w:spacing w:after="0"/>
              <w:rPr>
                <w:sz w:val="20"/>
                <w:szCs w:val="20"/>
                <w:color w:val="auto"/>
              </w:rPr>
            </w:pPr>
            <w:r>
              <w:rPr>
                <w:rFonts w:ascii="Arial" w:cs="Arial" w:eastAsia="Arial" w:hAnsi="Arial"/>
                <w:sz w:val="18"/>
                <w:szCs w:val="18"/>
                <w:color w:val="auto"/>
                <w:w w:val="98"/>
              </w:rPr>
              <w:t>were people of color</w:t>
            </w:r>
          </w:p>
        </w:tc>
      </w:tr>
      <w:tr>
        <w:trPr>
          <w:trHeight w:val="409"/>
        </w:trPr>
        <w:tc>
          <w:tcPr>
            <w:tcW w:w="2300" w:type="dxa"/>
            <w:vAlign w:val="bottom"/>
          </w:tcPr>
          <w:p>
            <w:pPr>
              <w:spacing w:after="0"/>
              <w:rPr>
                <w:sz w:val="20"/>
                <w:szCs w:val="20"/>
                <w:color w:val="auto"/>
              </w:rPr>
            </w:pPr>
            <w:r>
              <w:rPr>
                <w:rFonts w:ascii="Arial" w:cs="Arial" w:eastAsia="Arial" w:hAnsi="Arial"/>
                <w:sz w:val="18"/>
                <w:szCs w:val="18"/>
                <w:b w:val="1"/>
                <w:bCs w:val="1"/>
                <w:color w:val="00A0E0"/>
              </w:rPr>
              <w:t>VP+</w:t>
            </w:r>
          </w:p>
        </w:tc>
        <w:tc>
          <w:tcPr>
            <w:tcW w:w="2880" w:type="dxa"/>
            <w:vAlign w:val="bottom"/>
          </w:tcPr>
          <w:p>
            <w:pPr>
              <w:spacing w:after="0"/>
              <w:rPr>
                <w:sz w:val="24"/>
                <w:szCs w:val="24"/>
                <w:color w:val="auto"/>
              </w:rPr>
            </w:pPr>
          </w:p>
        </w:tc>
        <w:tc>
          <w:tcPr>
            <w:tcW w:w="2660" w:type="dxa"/>
            <w:vAlign w:val="bottom"/>
          </w:tcPr>
          <w:p>
            <w:pPr>
              <w:ind w:left="560"/>
              <w:spacing w:after="0"/>
              <w:rPr>
                <w:sz w:val="20"/>
                <w:szCs w:val="20"/>
                <w:color w:val="auto"/>
              </w:rPr>
            </w:pPr>
            <w:r>
              <w:rPr>
                <w:rFonts w:ascii="Arial" w:cs="Arial" w:eastAsia="Arial" w:hAnsi="Arial"/>
                <w:sz w:val="18"/>
                <w:szCs w:val="18"/>
                <w:b w:val="1"/>
                <w:bCs w:val="1"/>
                <w:color w:val="00A0E0"/>
              </w:rPr>
              <w:t>Director-Level</w:t>
            </w:r>
          </w:p>
        </w:tc>
        <w:tc>
          <w:tcPr>
            <w:tcW w:w="2340" w:type="dxa"/>
            <w:vAlign w:val="bottom"/>
          </w:tcPr>
          <w:p>
            <w:pPr>
              <w:spacing w:after="0"/>
              <w:rPr>
                <w:sz w:val="24"/>
                <w:szCs w:val="24"/>
                <w:color w:val="auto"/>
              </w:rPr>
            </w:pPr>
          </w:p>
        </w:tc>
      </w:tr>
      <w:tr>
        <w:trPr>
          <w:trHeight w:val="247"/>
        </w:trPr>
        <w:tc>
          <w:tcPr>
            <w:tcW w:w="23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660" w:type="dxa"/>
            <w:vAlign w:val="bottom"/>
          </w:tcPr>
          <w:p>
            <w:pPr>
              <w:ind w:left="560"/>
              <w:spacing w:after="0"/>
              <w:rPr>
                <w:sz w:val="20"/>
                <w:szCs w:val="20"/>
                <w:color w:val="auto"/>
              </w:rPr>
            </w:pPr>
            <w:r>
              <w:rPr>
                <w:rFonts w:ascii="Arial" w:cs="Arial" w:eastAsia="Arial" w:hAnsi="Arial"/>
                <w:sz w:val="18"/>
                <w:szCs w:val="18"/>
                <w:b w:val="1"/>
                <w:bCs w:val="1"/>
                <w:color w:val="00A0E0"/>
              </w:rPr>
              <w:t>Employees</w:t>
            </w:r>
          </w:p>
        </w:tc>
        <w:tc>
          <w:tcPr>
            <w:tcW w:w="23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6266180" cy="10801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6618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387"/>
        </w:trPr>
        <w:tc>
          <w:tcPr>
            <w:tcW w:w="2640" w:type="dxa"/>
            <w:vAlign w:val="bottom"/>
          </w:tcPr>
          <w:p>
            <w:pPr>
              <w:spacing w:after="0"/>
              <w:rPr>
                <w:sz w:val="20"/>
                <w:szCs w:val="20"/>
                <w:color w:val="auto"/>
              </w:rPr>
            </w:pPr>
            <w:r>
              <w:rPr>
                <w:rFonts w:ascii="Arial" w:cs="Arial" w:eastAsia="Arial" w:hAnsi="Arial"/>
                <w:sz w:val="32"/>
                <w:szCs w:val="32"/>
                <w:color w:val="00A0E0"/>
              </w:rPr>
              <w:t>45%</w:t>
            </w:r>
          </w:p>
        </w:tc>
        <w:tc>
          <w:tcPr>
            <w:tcW w:w="2520" w:type="dxa"/>
            <w:vAlign w:val="bottom"/>
          </w:tcPr>
          <w:p>
            <w:pPr>
              <w:ind w:left="140"/>
              <w:spacing w:after="0"/>
              <w:rPr>
                <w:sz w:val="20"/>
                <w:szCs w:val="20"/>
                <w:color w:val="auto"/>
              </w:rPr>
            </w:pPr>
            <w:r>
              <w:rPr>
                <w:rFonts w:ascii="Arial" w:cs="Arial" w:eastAsia="Arial" w:hAnsi="Arial"/>
                <w:sz w:val="32"/>
                <w:szCs w:val="32"/>
                <w:color w:val="00A0E0"/>
              </w:rPr>
              <w:t>26%</w:t>
            </w:r>
          </w:p>
        </w:tc>
        <w:tc>
          <w:tcPr>
            <w:tcW w:w="2320" w:type="dxa"/>
            <w:vAlign w:val="bottom"/>
          </w:tcPr>
          <w:p>
            <w:pPr>
              <w:ind w:left="580"/>
              <w:spacing w:after="0"/>
              <w:rPr>
                <w:sz w:val="20"/>
                <w:szCs w:val="20"/>
                <w:color w:val="auto"/>
              </w:rPr>
            </w:pPr>
            <w:r>
              <w:rPr>
                <w:rFonts w:ascii="Arial" w:cs="Arial" w:eastAsia="Arial" w:hAnsi="Arial"/>
                <w:sz w:val="32"/>
                <w:szCs w:val="32"/>
                <w:color w:val="00A0E0"/>
              </w:rPr>
              <w:t>44%</w:t>
            </w:r>
          </w:p>
        </w:tc>
        <w:tc>
          <w:tcPr>
            <w:tcW w:w="1020" w:type="dxa"/>
            <w:vAlign w:val="bottom"/>
          </w:tcPr>
          <w:p>
            <w:pPr>
              <w:spacing w:after="0"/>
              <w:rPr>
                <w:sz w:val="24"/>
                <w:szCs w:val="24"/>
                <w:color w:val="auto"/>
              </w:rPr>
            </w:pPr>
          </w:p>
        </w:tc>
        <w:tc>
          <w:tcPr>
            <w:tcW w:w="1980" w:type="dxa"/>
            <w:vAlign w:val="bottom"/>
          </w:tcPr>
          <w:p>
            <w:pPr>
              <w:ind w:left="60"/>
              <w:spacing w:after="0"/>
              <w:rPr>
                <w:sz w:val="20"/>
                <w:szCs w:val="20"/>
                <w:color w:val="auto"/>
              </w:rPr>
            </w:pPr>
            <w:r>
              <w:rPr>
                <w:rFonts w:ascii="Arial" w:cs="Arial" w:eastAsia="Arial" w:hAnsi="Arial"/>
                <w:sz w:val="32"/>
                <w:szCs w:val="32"/>
                <w:color w:val="00A0E0"/>
              </w:rPr>
              <w:t>32%</w:t>
            </w:r>
          </w:p>
        </w:tc>
      </w:tr>
      <w:tr>
        <w:trPr>
          <w:trHeight w:val="203"/>
        </w:trPr>
        <w:tc>
          <w:tcPr>
            <w:tcW w:w="2640" w:type="dxa"/>
            <w:vAlign w:val="bottom"/>
          </w:tcPr>
          <w:p>
            <w:pPr>
              <w:spacing w:after="0" w:line="202" w:lineRule="exact"/>
              <w:rPr>
                <w:sz w:val="20"/>
                <w:szCs w:val="20"/>
                <w:color w:val="auto"/>
              </w:rPr>
            </w:pPr>
            <w:r>
              <w:rPr>
                <w:rFonts w:ascii="Arial" w:cs="Arial" w:eastAsia="Arial" w:hAnsi="Arial"/>
                <w:sz w:val="18"/>
                <w:szCs w:val="18"/>
                <w:color w:val="auto"/>
              </w:rPr>
              <w:t>of our Vice Presidents &amp;</w:t>
            </w:r>
          </w:p>
        </w:tc>
        <w:tc>
          <w:tcPr>
            <w:tcW w:w="2520" w:type="dxa"/>
            <w:vAlign w:val="bottom"/>
          </w:tcPr>
          <w:p>
            <w:pPr>
              <w:ind w:left="140"/>
              <w:spacing w:after="0" w:line="202" w:lineRule="exact"/>
              <w:rPr>
                <w:sz w:val="20"/>
                <w:szCs w:val="20"/>
                <w:color w:val="auto"/>
              </w:rPr>
            </w:pPr>
            <w:r>
              <w:rPr>
                <w:rFonts w:ascii="Arial" w:cs="Arial" w:eastAsia="Arial" w:hAnsi="Arial"/>
                <w:sz w:val="18"/>
                <w:szCs w:val="18"/>
                <w:color w:val="auto"/>
              </w:rPr>
              <w:t>of our Vice Presidents &amp;</w:t>
            </w:r>
          </w:p>
        </w:tc>
        <w:tc>
          <w:tcPr>
            <w:tcW w:w="2320" w:type="dxa"/>
            <w:vAlign w:val="bottom"/>
          </w:tcPr>
          <w:p>
            <w:pPr>
              <w:ind w:left="580"/>
              <w:spacing w:after="0" w:line="202" w:lineRule="exact"/>
              <w:rPr>
                <w:sz w:val="20"/>
                <w:szCs w:val="20"/>
                <w:color w:val="auto"/>
              </w:rPr>
            </w:pPr>
            <w:r>
              <w:rPr>
                <w:rFonts w:ascii="Arial" w:cs="Arial" w:eastAsia="Arial" w:hAnsi="Arial"/>
                <w:sz w:val="18"/>
                <w:szCs w:val="18"/>
                <w:color w:val="auto"/>
              </w:rPr>
              <w:t>of our Director-level</w:t>
            </w:r>
          </w:p>
        </w:tc>
        <w:tc>
          <w:tcPr>
            <w:tcW w:w="1020" w:type="dxa"/>
            <w:vAlign w:val="bottom"/>
          </w:tcPr>
          <w:p>
            <w:pPr>
              <w:spacing w:after="0"/>
              <w:rPr>
                <w:sz w:val="17"/>
                <w:szCs w:val="17"/>
                <w:color w:val="auto"/>
              </w:rPr>
            </w:pPr>
          </w:p>
        </w:tc>
        <w:tc>
          <w:tcPr>
            <w:tcW w:w="1980" w:type="dxa"/>
            <w:vAlign w:val="bottom"/>
          </w:tcPr>
          <w:p>
            <w:pPr>
              <w:ind w:left="60"/>
              <w:spacing w:after="0" w:line="202" w:lineRule="exact"/>
              <w:rPr>
                <w:sz w:val="20"/>
                <w:szCs w:val="20"/>
                <w:color w:val="auto"/>
              </w:rPr>
            </w:pPr>
            <w:r>
              <w:rPr>
                <w:rFonts w:ascii="Arial" w:cs="Arial" w:eastAsia="Arial" w:hAnsi="Arial"/>
                <w:sz w:val="18"/>
                <w:szCs w:val="18"/>
                <w:color w:val="auto"/>
              </w:rPr>
              <w:t>of our Director-level</w:t>
            </w:r>
          </w:p>
        </w:tc>
      </w:tr>
      <w:tr>
        <w:trPr>
          <w:trHeight w:val="203"/>
        </w:trPr>
        <w:tc>
          <w:tcPr>
            <w:tcW w:w="2640" w:type="dxa"/>
            <w:vAlign w:val="bottom"/>
          </w:tcPr>
          <w:p>
            <w:pPr>
              <w:spacing w:after="0" w:line="202" w:lineRule="exact"/>
              <w:rPr>
                <w:sz w:val="20"/>
                <w:szCs w:val="20"/>
                <w:color w:val="auto"/>
              </w:rPr>
            </w:pPr>
            <w:r>
              <w:rPr>
                <w:rFonts w:ascii="Arial" w:cs="Arial" w:eastAsia="Arial" w:hAnsi="Arial"/>
                <w:sz w:val="18"/>
                <w:szCs w:val="18"/>
                <w:color w:val="auto"/>
              </w:rPr>
              <w:t>above were women</w:t>
            </w:r>
          </w:p>
        </w:tc>
        <w:tc>
          <w:tcPr>
            <w:tcW w:w="2520" w:type="dxa"/>
            <w:vAlign w:val="bottom"/>
          </w:tcPr>
          <w:p>
            <w:pPr>
              <w:ind w:left="140"/>
              <w:spacing w:after="0" w:line="202" w:lineRule="exact"/>
              <w:rPr>
                <w:sz w:val="20"/>
                <w:szCs w:val="20"/>
                <w:color w:val="auto"/>
              </w:rPr>
            </w:pPr>
            <w:r>
              <w:rPr>
                <w:rFonts w:ascii="Arial" w:cs="Arial" w:eastAsia="Arial" w:hAnsi="Arial"/>
                <w:sz w:val="18"/>
                <w:szCs w:val="18"/>
                <w:color w:val="auto"/>
              </w:rPr>
              <w:t>above were people</w:t>
            </w:r>
          </w:p>
        </w:tc>
        <w:tc>
          <w:tcPr>
            <w:tcW w:w="334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employees were women</w:t>
            </w:r>
          </w:p>
        </w:tc>
        <w:tc>
          <w:tcPr>
            <w:tcW w:w="1980" w:type="dxa"/>
            <w:vAlign w:val="bottom"/>
          </w:tcPr>
          <w:p>
            <w:pPr>
              <w:ind w:left="60"/>
              <w:spacing w:after="0" w:line="202" w:lineRule="exact"/>
              <w:rPr>
                <w:sz w:val="20"/>
                <w:szCs w:val="20"/>
                <w:color w:val="auto"/>
              </w:rPr>
            </w:pPr>
            <w:r>
              <w:rPr>
                <w:rFonts w:ascii="Arial" w:cs="Arial" w:eastAsia="Arial" w:hAnsi="Arial"/>
                <w:sz w:val="18"/>
                <w:szCs w:val="18"/>
                <w:color w:val="auto"/>
              </w:rPr>
              <w:t>employees were</w:t>
            </w:r>
          </w:p>
        </w:tc>
      </w:tr>
      <w:tr>
        <w:trPr>
          <w:trHeight w:val="239"/>
        </w:trPr>
        <w:tc>
          <w:tcPr>
            <w:tcW w:w="2640" w:type="dxa"/>
            <w:vAlign w:val="bottom"/>
          </w:tcPr>
          <w:p>
            <w:pPr>
              <w:spacing w:after="0"/>
              <w:rPr>
                <w:sz w:val="20"/>
                <w:szCs w:val="20"/>
                <w:color w:val="auto"/>
              </w:rPr>
            </w:pPr>
          </w:p>
        </w:tc>
        <w:tc>
          <w:tcPr>
            <w:tcW w:w="2520" w:type="dxa"/>
            <w:vAlign w:val="bottom"/>
          </w:tcPr>
          <w:p>
            <w:pPr>
              <w:ind w:left="140"/>
              <w:spacing w:after="0"/>
              <w:rPr>
                <w:sz w:val="20"/>
                <w:szCs w:val="20"/>
                <w:color w:val="auto"/>
              </w:rPr>
            </w:pPr>
            <w:r>
              <w:rPr>
                <w:rFonts w:ascii="Arial" w:cs="Arial" w:eastAsia="Arial" w:hAnsi="Arial"/>
                <w:sz w:val="18"/>
                <w:szCs w:val="18"/>
                <w:color w:val="auto"/>
              </w:rPr>
              <w:t>of color</w:t>
            </w:r>
          </w:p>
        </w:tc>
        <w:tc>
          <w:tcPr>
            <w:tcW w:w="2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80" w:type="dxa"/>
            <w:vAlign w:val="bottom"/>
          </w:tcPr>
          <w:p>
            <w:pPr>
              <w:ind w:left="60"/>
              <w:spacing w:after="0"/>
              <w:rPr>
                <w:sz w:val="20"/>
                <w:szCs w:val="20"/>
                <w:color w:val="auto"/>
              </w:rPr>
            </w:pPr>
            <w:r>
              <w:rPr>
                <w:rFonts w:ascii="Arial" w:cs="Arial" w:eastAsia="Arial" w:hAnsi="Arial"/>
                <w:sz w:val="18"/>
                <w:szCs w:val="18"/>
                <w:color w:val="auto"/>
              </w:rPr>
              <w:t>people of color</w:t>
            </w:r>
          </w:p>
        </w:tc>
      </w:tr>
      <w:tr>
        <w:trPr>
          <w:trHeight w:val="459"/>
        </w:trPr>
        <w:tc>
          <w:tcPr>
            <w:tcW w:w="2640" w:type="dxa"/>
            <w:vAlign w:val="bottom"/>
          </w:tcPr>
          <w:p>
            <w:pPr>
              <w:ind w:left="300"/>
              <w:spacing w:after="0"/>
              <w:rPr>
                <w:sz w:val="20"/>
                <w:szCs w:val="20"/>
                <w:color w:val="auto"/>
              </w:rPr>
            </w:pPr>
            <w:r>
              <w:rPr>
                <w:rFonts w:ascii="Arial" w:cs="Arial" w:eastAsia="Arial" w:hAnsi="Arial"/>
                <w:sz w:val="18"/>
                <w:szCs w:val="18"/>
                <w:color w:val="auto"/>
              </w:rPr>
              <w:t>Black and African American</w:t>
            </w:r>
          </w:p>
        </w:tc>
        <w:tc>
          <w:tcPr>
            <w:tcW w:w="2520" w:type="dxa"/>
            <w:vAlign w:val="bottom"/>
          </w:tcPr>
          <w:p>
            <w:pPr>
              <w:ind w:left="260"/>
              <w:spacing w:after="0"/>
              <w:rPr>
                <w:sz w:val="20"/>
                <w:szCs w:val="20"/>
                <w:color w:val="auto"/>
              </w:rPr>
            </w:pPr>
            <w:r>
              <w:rPr>
                <w:rFonts w:ascii="Arial" w:cs="Arial" w:eastAsia="Arial" w:hAnsi="Arial"/>
                <w:sz w:val="18"/>
                <w:szCs w:val="18"/>
                <w:color w:val="auto"/>
              </w:rPr>
              <w:t>Asian and Pacific Islander</w:t>
            </w:r>
          </w:p>
        </w:tc>
        <w:tc>
          <w:tcPr>
            <w:tcW w:w="2320" w:type="dxa"/>
            <w:vAlign w:val="bottom"/>
          </w:tcPr>
          <w:p>
            <w:pPr>
              <w:ind w:left="200"/>
              <w:spacing w:after="0"/>
              <w:rPr>
                <w:sz w:val="20"/>
                <w:szCs w:val="20"/>
                <w:color w:val="auto"/>
              </w:rPr>
            </w:pPr>
            <w:r>
              <w:rPr>
                <w:rFonts w:ascii="Arial" w:cs="Arial" w:eastAsia="Arial" w:hAnsi="Arial"/>
                <w:sz w:val="18"/>
                <w:szCs w:val="18"/>
                <w:color w:val="auto"/>
              </w:rPr>
              <w:t>Hispanic and Latino/a/e</w:t>
            </w:r>
          </w:p>
        </w:tc>
        <w:tc>
          <w:tcPr>
            <w:tcW w:w="1020" w:type="dxa"/>
            <w:vAlign w:val="bottom"/>
          </w:tcPr>
          <w:p>
            <w:pPr>
              <w:ind w:left="180"/>
              <w:spacing w:after="0"/>
              <w:rPr>
                <w:sz w:val="20"/>
                <w:szCs w:val="20"/>
                <w:color w:val="auto"/>
              </w:rPr>
            </w:pPr>
            <w:r>
              <w:rPr>
                <w:rFonts w:ascii="Arial" w:cs="Arial" w:eastAsia="Arial" w:hAnsi="Arial"/>
                <w:sz w:val="18"/>
                <w:szCs w:val="18"/>
                <w:color w:val="auto"/>
              </w:rPr>
              <w:t>2+ Races</w:t>
            </w:r>
          </w:p>
        </w:tc>
        <w:tc>
          <w:tcPr>
            <w:tcW w:w="1980" w:type="dxa"/>
            <w:vAlign w:val="bottom"/>
          </w:tcPr>
          <w:p>
            <w:pPr>
              <w:ind w:left="1100"/>
              <w:spacing w:after="0"/>
              <w:rPr>
                <w:sz w:val="20"/>
                <w:szCs w:val="20"/>
                <w:color w:val="auto"/>
              </w:rPr>
            </w:pPr>
            <w:r>
              <w:rPr>
                <w:rFonts w:ascii="Arial" w:cs="Arial" w:eastAsia="Arial" w:hAnsi="Arial"/>
                <w:sz w:val="18"/>
                <w:szCs w:val="18"/>
                <w:color w:val="auto"/>
                <w:w w:val="97"/>
              </w:rPr>
              <w:t>Indigenous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11125" cy="111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-139065</wp:posOffset>
            </wp:positionV>
            <wp:extent cx="111125" cy="1111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-139065</wp:posOffset>
            </wp:positionV>
            <wp:extent cx="111125" cy="111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-139065</wp:posOffset>
            </wp:positionV>
            <wp:extent cx="111760" cy="111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-139065</wp:posOffset>
            </wp:positionV>
            <wp:extent cx="111125" cy="111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191"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ind w:left="260" w:right="60" w:hanging="252"/>
        <w:spacing w:after="0" w:line="244" w:lineRule="auto"/>
        <w:tabs>
          <w:tab w:leader="none" w:pos="260" w:val="left"/>
        </w:tabs>
        <w:numPr>
          <w:ilvl w:val="0"/>
          <w:numId w:val="12"/>
        </w:numPr>
        <w:rPr>
          <w:rFonts w:ascii="Arial" w:cs="Arial" w:eastAsia="Arial" w:hAnsi="Arial"/>
          <w:sz w:val="17"/>
          <w:szCs w:val="17"/>
          <w:color w:val="00A0E0"/>
        </w:rPr>
      </w:pPr>
      <w:r>
        <w:rPr>
          <w:rFonts w:ascii="Arial" w:cs="Arial" w:eastAsia="Arial" w:hAnsi="Arial"/>
          <w:sz w:val="18"/>
          <w:szCs w:val="18"/>
          <w:b w:val="1"/>
          <w:bCs w:val="1"/>
          <w:color w:val="00A0E0"/>
        </w:rPr>
        <w:t xml:space="preserve">Employee Resource Groups (“ERGs”): </w:t>
      </w:r>
      <w:r>
        <w:rPr>
          <w:rFonts w:ascii="Arial" w:cs="Arial" w:eastAsia="Arial" w:hAnsi="Arial"/>
          <w:sz w:val="18"/>
          <w:szCs w:val="18"/>
          <w:color w:val="000000"/>
        </w:rPr>
        <w:t>We support nine ERGs with approximately 36,000 members in 250 chapters that are voluntary,</w:t>
      </w:r>
      <w:r>
        <w:rPr>
          <w:rFonts w:ascii="Arial" w:cs="Arial" w:eastAsia="Arial" w:hAnsi="Arial"/>
          <w:sz w:val="18"/>
          <w:szCs w:val="18"/>
          <w:b w:val="1"/>
          <w:bCs w:val="1"/>
          <w:color w:val="00A0E0"/>
        </w:rPr>
        <w:t xml:space="preserve"> </w:t>
      </w:r>
      <w:r>
        <w:rPr>
          <w:rFonts w:ascii="Arial" w:cs="Arial" w:eastAsia="Arial" w:hAnsi="Arial"/>
          <w:sz w:val="18"/>
          <w:szCs w:val="18"/>
          <w:color w:val="000000"/>
        </w:rPr>
        <w:t>employee-led organizations open to all across our business dedicated to developing the careers of our employees, contributing to community service and building on an inclusive and collaborative workplace and culture. Each ERG has executive sponsors and receives annual funding, as well as the opportunity to receive further financial support for cross-ERG events to bring collaborative and innovative programming to all employees.</w:t>
      </w:r>
    </w:p>
    <w:p>
      <w:pPr>
        <w:spacing w:after="0" w:line="27" w:lineRule="exact"/>
        <w:rPr>
          <w:rFonts w:ascii="Arial" w:cs="Arial" w:eastAsia="Arial" w:hAnsi="Arial"/>
          <w:sz w:val="17"/>
          <w:szCs w:val="17"/>
          <w:color w:val="00A0E0"/>
        </w:rPr>
      </w:pPr>
    </w:p>
    <w:p>
      <w:pPr>
        <w:ind w:left="260" w:right="380" w:hanging="252"/>
        <w:spacing w:after="0" w:line="271" w:lineRule="auto"/>
        <w:tabs>
          <w:tab w:leader="none" w:pos="260" w:val="left"/>
        </w:tabs>
        <w:numPr>
          <w:ilvl w:val="0"/>
          <w:numId w:val="12"/>
        </w:numPr>
        <w:rPr>
          <w:rFonts w:ascii="Arial" w:cs="Arial" w:eastAsia="Arial" w:hAnsi="Arial"/>
          <w:sz w:val="17"/>
          <w:szCs w:val="17"/>
          <w:color w:val="00A0E0"/>
        </w:rPr>
      </w:pPr>
      <w:r>
        <w:rPr>
          <w:rFonts w:ascii="Arial" w:cs="Arial" w:eastAsia="Arial" w:hAnsi="Arial"/>
          <w:sz w:val="18"/>
          <w:szCs w:val="18"/>
          <w:b w:val="1"/>
          <w:bCs w:val="1"/>
          <w:color w:val="00A0E0"/>
        </w:rPr>
        <w:t xml:space="preserve">DE&amp;I Education and Training: </w:t>
      </w:r>
      <w:r>
        <w:rPr>
          <w:rFonts w:ascii="Arial" w:cs="Arial" w:eastAsia="Arial" w:hAnsi="Arial"/>
          <w:sz w:val="18"/>
          <w:szCs w:val="18"/>
          <w:color w:val="000000"/>
        </w:rPr>
        <w:t>We offer a variety of training programs and initiatives focused on creating a more inclusive workplace</w:t>
      </w:r>
      <w:r>
        <w:rPr>
          <w:rFonts w:ascii="Arial" w:cs="Arial" w:eastAsia="Arial" w:hAnsi="Arial"/>
          <w:sz w:val="18"/>
          <w:szCs w:val="18"/>
          <w:b w:val="1"/>
          <w:bCs w:val="1"/>
          <w:color w:val="00A0E0"/>
        </w:rPr>
        <w:t xml:space="preserve"> </w:t>
      </w:r>
      <w:r>
        <w:rPr>
          <w:rFonts w:ascii="Arial" w:cs="Arial" w:eastAsia="Arial" w:hAnsi="Arial"/>
          <w:sz w:val="18"/>
          <w:szCs w:val="18"/>
          <w:color w:val="000000"/>
        </w:rPr>
        <w:t>culture, including company-wide forums like our DE&amp;I speaker series, along with an enterprise-wide learning catalog.</w:t>
      </w:r>
    </w:p>
    <w:p>
      <w:pPr>
        <w:spacing w:after="0" w:line="5" w:lineRule="exact"/>
        <w:rPr>
          <w:rFonts w:ascii="Arial" w:cs="Arial" w:eastAsia="Arial" w:hAnsi="Arial"/>
          <w:sz w:val="17"/>
          <w:szCs w:val="17"/>
          <w:color w:val="00A0E0"/>
        </w:rPr>
      </w:pPr>
    </w:p>
    <w:p>
      <w:pPr>
        <w:ind w:left="260" w:right="20" w:hanging="252"/>
        <w:spacing w:after="0" w:line="247" w:lineRule="auto"/>
        <w:tabs>
          <w:tab w:leader="none" w:pos="260" w:val="left"/>
        </w:tabs>
        <w:numPr>
          <w:ilvl w:val="0"/>
          <w:numId w:val="12"/>
        </w:numPr>
        <w:rPr>
          <w:rFonts w:ascii="Arial" w:cs="Arial" w:eastAsia="Arial" w:hAnsi="Arial"/>
          <w:sz w:val="17"/>
          <w:szCs w:val="17"/>
          <w:color w:val="00A0E0"/>
        </w:rPr>
      </w:pPr>
      <w:r>
        <w:rPr>
          <w:rFonts w:ascii="Arial" w:cs="Arial" w:eastAsia="Arial" w:hAnsi="Arial"/>
          <w:sz w:val="18"/>
          <w:szCs w:val="18"/>
          <w:b w:val="1"/>
          <w:bCs w:val="1"/>
          <w:color w:val="00A0E0"/>
        </w:rPr>
        <w:t xml:space="preserve">External Input: </w:t>
      </w:r>
      <w:r>
        <w:rPr>
          <w:rFonts w:ascii="Arial" w:cs="Arial" w:eastAsia="Arial" w:hAnsi="Arial"/>
          <w:sz w:val="18"/>
          <w:szCs w:val="18"/>
          <w:color w:val="000000"/>
        </w:rPr>
        <w:t>We routinely engage third-party consultants and leverage third-party survey instruments to review and evaluate</w:t>
      </w:r>
      <w:r>
        <w:rPr>
          <w:rFonts w:ascii="Arial" w:cs="Arial" w:eastAsia="Arial" w:hAnsi="Arial"/>
          <w:sz w:val="18"/>
          <w:szCs w:val="18"/>
          <w:b w:val="1"/>
          <w:bCs w:val="1"/>
          <w:color w:val="00A0E0"/>
        </w:rPr>
        <w:t xml:space="preserve"> </w:t>
      </w:r>
      <w:r>
        <w:rPr>
          <w:rFonts w:ascii="Arial" w:cs="Arial" w:eastAsia="Arial" w:hAnsi="Arial"/>
          <w:sz w:val="18"/>
          <w:szCs w:val="18"/>
          <w:color w:val="000000"/>
        </w:rPr>
        <w:t>workforce-related programs and recommend opportunities for improvement. We also leverage the expertise of our external DE&amp;I Advisory Council composed of business, political and civil rights leaders to help us learn from others and collaborate to help find solutions to challenges.</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Diverse Programming and Platforms</w:t>
      </w:r>
    </w:p>
    <w:p>
      <w:pPr>
        <w:spacing w:after="0" w:line="22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strive to have diverse perspectives that resonate with a wide range of audiences in our programming at NBCUniversal and in the content we distribute on our media platforms. Through our platforms, we share culturally representative stories and educate our viewers on diverse and inclusive cultures, perspectives and experiences, including through a vast ecosystem of diverse content on Xfinity (including curated On Demand destinations) and NBCUniversal’s ‘The More You Know’ series of public service announcements.</w:t>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Human Capital Management</w:t>
      </w:r>
    </w:p>
    <w:p>
      <w:pPr>
        <w:spacing w:after="0" w:line="235" w:lineRule="exact"/>
        <w:rPr>
          <w:sz w:val="20"/>
          <w:szCs w:val="20"/>
          <w:color w:val="auto"/>
        </w:rPr>
      </w:pPr>
    </w:p>
    <w:p>
      <w:pPr>
        <w:ind w:right="460"/>
        <w:spacing w:after="0" w:line="253" w:lineRule="auto"/>
        <w:rPr>
          <w:sz w:val="20"/>
          <w:szCs w:val="20"/>
          <w:color w:val="auto"/>
        </w:rPr>
      </w:pPr>
      <w:r>
        <w:rPr>
          <w:rFonts w:ascii="Arial" w:cs="Arial" w:eastAsia="Arial" w:hAnsi="Arial"/>
          <w:sz w:val="18"/>
          <w:szCs w:val="18"/>
          <w:color w:val="auto"/>
        </w:rPr>
        <w:t>As a global media and technology company, we have a wide range of employees, including management professionals, technicians, engineers, call center employees, theme park employees and media talent and production employees. Our human capital management policies, programs and initiatives are tailored to the specific employee populations within our businesses and include the following:</w:t>
      </w:r>
    </w:p>
    <w:p>
      <w:pPr>
        <w:spacing w:after="0" w:line="169" w:lineRule="exact"/>
        <w:rPr>
          <w:sz w:val="20"/>
          <w:szCs w:val="20"/>
          <w:color w:val="auto"/>
        </w:rPr>
      </w:pPr>
    </w:p>
    <w:p>
      <w:pPr>
        <w:ind w:left="260" w:right="200" w:hanging="252"/>
        <w:spacing w:after="0"/>
        <w:tabs>
          <w:tab w:leader="none" w:pos="260" w:val="left"/>
        </w:tabs>
        <w:numPr>
          <w:ilvl w:val="0"/>
          <w:numId w:val="13"/>
        </w:numPr>
        <w:rPr>
          <w:rFonts w:ascii="Arial" w:cs="Arial" w:eastAsia="Arial" w:hAnsi="Arial"/>
          <w:sz w:val="17"/>
          <w:szCs w:val="17"/>
          <w:color w:val="00A0E0"/>
        </w:rPr>
      </w:pPr>
      <w:r>
        <w:rPr>
          <w:rFonts w:ascii="Arial" w:cs="Arial" w:eastAsia="Arial" w:hAnsi="Arial"/>
          <w:sz w:val="18"/>
          <w:szCs w:val="18"/>
          <w:b w:val="1"/>
          <w:bCs w:val="1"/>
          <w:color w:val="00A0E0"/>
        </w:rPr>
        <w:t xml:space="preserve">Employee Engagement: </w:t>
      </w:r>
      <w:r>
        <w:rPr>
          <w:rFonts w:ascii="Arial" w:cs="Arial" w:eastAsia="Arial" w:hAnsi="Arial"/>
          <w:sz w:val="18"/>
          <w:szCs w:val="18"/>
          <w:color w:val="000000"/>
        </w:rPr>
        <w:t>We seek to create an engaged workforce through proactive listening and constructive dialogue, including</w:t>
      </w:r>
      <w:r>
        <w:rPr>
          <w:rFonts w:ascii="Arial" w:cs="Arial" w:eastAsia="Arial" w:hAnsi="Arial"/>
          <w:sz w:val="18"/>
          <w:szCs w:val="18"/>
          <w:b w:val="1"/>
          <w:bCs w:val="1"/>
          <w:color w:val="00A0E0"/>
        </w:rPr>
        <w:t xml:space="preserve"> </w:t>
      </w:r>
      <w:r>
        <w:rPr>
          <w:rFonts w:ascii="Arial" w:cs="Arial" w:eastAsia="Arial" w:hAnsi="Arial"/>
          <w:sz w:val="18"/>
          <w:szCs w:val="18"/>
          <w:color w:val="000000"/>
        </w:rPr>
        <w:t>through employee engagement surveys, as well as through the nine ERGs described above. We are committed to creating an environment that encourages employees to ask questions, raise concerns and speak up about a workplace issue or suspected illegal or unethical conduct. We provide several channels for speaking up without fear of retaliation, including a helpline and web portal that are administered by an independent third-party company and allow for anonymous reporting when permitted by applicable laws. Our Board, through its committees, also receives periodic reports on our employee engagement surveys and employee concerns reported through our Comcast NBCUniversal Listens and Sky Listens programs.</w:t>
      </w:r>
    </w:p>
    <w:p>
      <w:pPr>
        <w:spacing w:after="0" w:line="36" w:lineRule="exact"/>
        <w:rPr>
          <w:rFonts w:ascii="Arial" w:cs="Arial" w:eastAsia="Arial" w:hAnsi="Arial"/>
          <w:sz w:val="17"/>
          <w:szCs w:val="17"/>
          <w:color w:val="00A0E0"/>
        </w:rPr>
      </w:pPr>
    </w:p>
    <w:p>
      <w:pPr>
        <w:ind w:left="260" w:right="100" w:hanging="252"/>
        <w:spacing w:after="0" w:line="239" w:lineRule="auto"/>
        <w:tabs>
          <w:tab w:leader="none" w:pos="260" w:val="left"/>
        </w:tabs>
        <w:numPr>
          <w:ilvl w:val="0"/>
          <w:numId w:val="13"/>
        </w:numPr>
        <w:rPr>
          <w:rFonts w:ascii="Arial" w:cs="Arial" w:eastAsia="Arial" w:hAnsi="Arial"/>
          <w:sz w:val="17"/>
          <w:szCs w:val="17"/>
          <w:color w:val="00A0E0"/>
        </w:rPr>
      </w:pPr>
      <w:r>
        <w:rPr>
          <w:rFonts w:ascii="Arial" w:cs="Arial" w:eastAsia="Arial" w:hAnsi="Arial"/>
          <w:sz w:val="18"/>
          <w:szCs w:val="18"/>
          <w:b w:val="1"/>
          <w:bCs w:val="1"/>
          <w:color w:val="00A0E0"/>
        </w:rPr>
        <w:t xml:space="preserve">Talent Development and Succession Planning: </w:t>
      </w:r>
      <w:r>
        <w:rPr>
          <w:rFonts w:ascii="Arial" w:cs="Arial" w:eastAsia="Arial" w:hAnsi="Arial"/>
          <w:sz w:val="18"/>
          <w:szCs w:val="18"/>
          <w:color w:val="000000"/>
        </w:rPr>
        <w:t>We provide a wide variety of opportunities for professional growth for all employees</w:t>
      </w:r>
      <w:r>
        <w:rPr>
          <w:rFonts w:ascii="Arial" w:cs="Arial" w:eastAsia="Arial" w:hAnsi="Arial"/>
          <w:sz w:val="18"/>
          <w:szCs w:val="18"/>
          <w:b w:val="1"/>
          <w:bCs w:val="1"/>
          <w:color w:val="00A0E0"/>
        </w:rPr>
        <w:t xml:space="preserve"> </w:t>
      </w:r>
      <w:r>
        <w:rPr>
          <w:rFonts w:ascii="Arial" w:cs="Arial" w:eastAsia="Arial" w:hAnsi="Arial"/>
          <w:sz w:val="18"/>
          <w:szCs w:val="18"/>
          <w:color w:val="000000"/>
        </w:rPr>
        <w:t>with in-classroom and online trainings and on-the-job experience, including as described above in “Diversity, Equity &amp; Inclusion.” We also offer education tuition assistance to full-time employees in the United States. Our Board discusses succession planning for our CEO and the remainder of our senior executive management team annually on a formal basis and in private sessions at most of its regularly scheduled meetings. Throughout the year, our senior executive management team, as well as a broader array of executives throughout our businesses, make presentations to the Board and its committees and interact with our directors informally outside of regularly scheduled Board meetings, which provides directors with meaningful insight into our current pool of talent, what attracts and retains our executives and our company culture. See “Corporate Governance and Board Matters – Corporate Governance Practices, Policies and Processes – Succession Planning” for additional information.</w:t>
      </w:r>
    </w:p>
    <w:p>
      <w:pPr>
        <w:spacing w:after="0" w:line="34" w:lineRule="exact"/>
        <w:rPr>
          <w:rFonts w:ascii="Arial" w:cs="Arial" w:eastAsia="Arial" w:hAnsi="Arial"/>
          <w:sz w:val="17"/>
          <w:szCs w:val="17"/>
          <w:color w:val="00A0E0"/>
        </w:rPr>
      </w:pPr>
    </w:p>
    <w:p>
      <w:pPr>
        <w:ind w:left="260" w:right="100" w:hanging="252"/>
        <w:spacing w:after="0"/>
        <w:tabs>
          <w:tab w:leader="none" w:pos="260" w:val="left"/>
        </w:tabs>
        <w:numPr>
          <w:ilvl w:val="0"/>
          <w:numId w:val="13"/>
        </w:numPr>
        <w:rPr>
          <w:rFonts w:ascii="Arial" w:cs="Arial" w:eastAsia="Arial" w:hAnsi="Arial"/>
          <w:sz w:val="17"/>
          <w:szCs w:val="17"/>
          <w:color w:val="00A0E0"/>
        </w:rPr>
      </w:pPr>
      <w:r>
        <w:rPr>
          <w:rFonts w:ascii="Arial" w:cs="Arial" w:eastAsia="Arial" w:hAnsi="Arial"/>
          <w:sz w:val="18"/>
          <w:szCs w:val="18"/>
          <w:b w:val="1"/>
          <w:bCs w:val="1"/>
          <w:color w:val="00A0E0"/>
        </w:rPr>
        <w:t xml:space="preserve">Health and Welfare Benefits: </w:t>
      </w:r>
      <w:r>
        <w:rPr>
          <w:rFonts w:ascii="Arial" w:cs="Arial" w:eastAsia="Arial" w:hAnsi="Arial"/>
          <w:sz w:val="18"/>
          <w:szCs w:val="18"/>
          <w:color w:val="000000"/>
        </w:rPr>
        <w:t>We offer a robust portfolio of health and welfare programs and solutions designed to meet the unique</w:t>
      </w:r>
      <w:r>
        <w:rPr>
          <w:rFonts w:ascii="Arial" w:cs="Arial" w:eastAsia="Arial" w:hAnsi="Arial"/>
          <w:sz w:val="18"/>
          <w:szCs w:val="18"/>
          <w:b w:val="1"/>
          <w:bCs w:val="1"/>
          <w:color w:val="00A0E0"/>
        </w:rPr>
        <w:t xml:space="preserve"> </w:t>
      </w:r>
      <w:r>
        <w:rPr>
          <w:rFonts w:ascii="Arial" w:cs="Arial" w:eastAsia="Arial" w:hAnsi="Arial"/>
          <w:sz w:val="18"/>
          <w:szCs w:val="18"/>
          <w:color w:val="000000"/>
        </w:rPr>
        <w:t>needs of our employees and their families, delivered through a consistent and seamless member experience. Our offerings include comprehensive and affordable health care coverage options along with a variety of additional tools and resources, including access to dedicated health care navigators, expert medical opinion services, virtual primary care services and a diabetes management program. In addition, we offer comprehensive family planning options, including for adoption and surrogacy, and provide specialized support teams to help employees manage all stages in the family planning journey, including the first few months of parenthood. We continue to invest in the emotional wellbeing of our employees and offer a broad array of tools and resources such as our Employee Assistance Program, which provides personal counseling sessions to support employees and their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020" w:type="dxa"/>
            <w:vAlign w:val="bottom"/>
          </w:tcPr>
          <w:p>
            <w:pPr>
              <w:ind w:left="956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8</w:t>
            </w:r>
          </w:p>
        </w:tc>
      </w:tr>
      <w:tr>
        <w:trPr>
          <w:trHeight w:val="362"/>
        </w:trPr>
        <w:tc>
          <w:tcPr>
            <w:tcW w:w="11020" w:type="dxa"/>
            <w:vAlign w:val="bottom"/>
            <w:tcBorders>
              <w:bottom w:val="single" w:sz="8" w:color="A1A1A1"/>
            </w:tcBorders>
          </w:tcPr>
          <w:p>
            <w:pPr>
              <w:spacing w:after="0"/>
              <w:rPr>
                <w:sz w:val="24"/>
                <w:szCs w:val="24"/>
                <w:color w:val="auto"/>
              </w:rPr>
            </w:pPr>
          </w:p>
        </w:tc>
        <w:tc>
          <w:tcPr>
            <w:tcW w:w="22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ind w:left="260" w:right="120"/>
        <w:spacing w:after="0" w:line="253" w:lineRule="auto"/>
        <w:rPr>
          <w:sz w:val="20"/>
          <w:szCs w:val="20"/>
          <w:color w:val="auto"/>
        </w:rPr>
      </w:pPr>
      <w:r>
        <w:rPr>
          <w:rFonts w:ascii="Arial" w:cs="Arial" w:eastAsia="Arial" w:hAnsi="Arial"/>
          <w:sz w:val="18"/>
          <w:szCs w:val="18"/>
          <w:color w:val="auto"/>
        </w:rPr>
        <w:t>families and provide problem-solving support for a broad range of issues, including stress, anxiety, depression, substance use and more. We also offer various digital emotional wellbeing tools, including child learning and behavior support, meditation, stress management, sleep issues, depression, chronic pain and substance use.</w:t>
      </w:r>
    </w:p>
    <w:p>
      <w:pPr>
        <w:spacing w:after="0" w:line="20" w:lineRule="exact"/>
        <w:rPr>
          <w:sz w:val="20"/>
          <w:szCs w:val="20"/>
          <w:color w:val="auto"/>
        </w:rPr>
      </w:pPr>
    </w:p>
    <w:p>
      <w:pPr>
        <w:ind w:left="260" w:right="140" w:hanging="252"/>
        <w:spacing w:after="0"/>
        <w:tabs>
          <w:tab w:leader="none" w:pos="260" w:val="left"/>
        </w:tabs>
        <w:numPr>
          <w:ilvl w:val="0"/>
          <w:numId w:val="14"/>
        </w:numPr>
        <w:rPr>
          <w:rFonts w:ascii="Arial" w:cs="Arial" w:eastAsia="Arial" w:hAnsi="Arial"/>
          <w:sz w:val="17"/>
          <w:szCs w:val="17"/>
          <w:color w:val="00A0E0"/>
        </w:rPr>
      </w:pPr>
      <w:r>
        <w:rPr>
          <w:rFonts w:ascii="Arial" w:cs="Arial" w:eastAsia="Arial" w:hAnsi="Arial"/>
          <w:sz w:val="18"/>
          <w:szCs w:val="18"/>
          <w:b w:val="1"/>
          <w:bCs w:val="1"/>
          <w:color w:val="00A0E0"/>
        </w:rPr>
        <w:t xml:space="preserve">Financial Benefits: </w:t>
      </w:r>
      <w:r>
        <w:rPr>
          <w:rFonts w:ascii="Arial" w:cs="Arial" w:eastAsia="Arial" w:hAnsi="Arial"/>
          <w:sz w:val="18"/>
          <w:szCs w:val="18"/>
          <w:color w:val="000000"/>
        </w:rPr>
        <w:t>We focus on attracting and retaining employees by providing compensation and benefits packages that are</w:t>
      </w:r>
      <w:r>
        <w:rPr>
          <w:rFonts w:ascii="Arial" w:cs="Arial" w:eastAsia="Arial" w:hAnsi="Arial"/>
          <w:sz w:val="18"/>
          <w:szCs w:val="18"/>
          <w:b w:val="1"/>
          <w:bCs w:val="1"/>
          <w:color w:val="00A0E0"/>
        </w:rPr>
        <w:t xml:space="preserve"> </w:t>
      </w:r>
      <w:r>
        <w:rPr>
          <w:rFonts w:ascii="Arial" w:cs="Arial" w:eastAsia="Arial" w:hAnsi="Arial"/>
          <w:sz w:val="18"/>
          <w:szCs w:val="18"/>
          <w:color w:val="000000"/>
        </w:rPr>
        <w:t>competitive within the applicable market, taking into account the job’s location and responsibilities. We provide competitive financial benefits such as a 401(k) retirement plan in the United States with a company match and other retirement arrangements internationally. We have employee stock purchase plans in the United States, United Kingdom, India and several other European countries where most of our full-time and part-time employees can purchase our stock at a discount. We generally grant equity awards on an annual basis to a meaningful portion of our employees, with over 20,000 employees receiving such awards in 2023. We offer financial literacy training and counseling to support employees in making their own financial decisions.</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Environmental Sustainability</w:t>
      </w:r>
    </w:p>
    <w:p>
      <w:pPr>
        <w:spacing w:after="0" w:line="23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2023, we continued to work toward our goal to become carbon neutral by 2035 for Scope 1 and 2 emissions across our global operations. We reduced our Scope 1 and 2 greenhouse gas emissions by over 30% between our 2019 base year and 2022, and are working toward setting near-term science-based greenhouse gas reduction targets with the Science Based Targets initiative.</w:t>
      </w:r>
    </w:p>
    <w:p>
      <w:pPr>
        <w:spacing w:after="0" w:line="16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While we expect to continue making progress toward our environmental goals, our goals are subject to certain risks and challenges that are beyond our control, including political, economic, regulatory and geopolitical conditions, supply chain and labor issues, supplier emissions reductions, the evolution of carbon offset markets and innovations in technology and infrastructure.</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Political and Trade Association Activities</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code of conduct, statement on political and trade association activities, semi-annual political contributions reports and annual tax-exempt organization disclosures provide information about our political, lobbying and trade association activities. Our GCR Committee is responsible for overseeing our political, lobbying and trade association activities. In 2023, we received the leading “Trendsetter” designation from the CPA Zicklin Index of Corporate Political Disclosure and Accountability for our transparency and accountability in political and trade association disclosure, policy and oversight.</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Integrity</w:t>
      </w:r>
    </w:p>
    <w:p>
      <w:pPr>
        <w:spacing w:after="0" w:line="235"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Our company’s culture is built on integrity and respect, and we live our core value of doing what’s right by conducting ourselves in a way that maintains trust and respect around the globe. As set forth in our code of conduct, our principles of business conduct guide us to act with integrity in everything we do, including our commitment to do what’s right for our employees, customers, viewers, investors and the communities we serve. We are committed to creating an environment that encourages employees to ask questions, raise concerns and speak up without fear of retaliation.</w:t>
      </w:r>
    </w:p>
    <w:p>
      <w:pPr>
        <w:spacing w:after="0" w:line="181"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Corporate Governance and 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89154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91540" cy="291465"/>
                    </a:xfrm>
                    <a:prstGeom prst="rect">
                      <a:avLst/>
                    </a:prstGeom>
                    <a:noFill/>
                  </pic:spPr>
                </pic:pic>
              </a:graphicData>
            </a:graphic>
          </wp:anchor>
        </w:drawing>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6254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625475"/>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00A0E0"/>
        </w:rPr>
        <w:t>Election of Directors</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Our Board unanimously recommends that shareholders vote </w:t>
      </w:r>
      <w:r>
        <w:rPr>
          <w:rFonts w:ascii="Arial" w:cs="Arial" w:eastAsia="Arial" w:hAnsi="Arial"/>
          <w:sz w:val="18"/>
          <w:szCs w:val="18"/>
          <w:color w:val="00A0E0"/>
        </w:rPr>
        <w:t>“FOR”</w:t>
      </w:r>
      <w:r>
        <w:rPr>
          <w:rFonts w:ascii="Arial" w:cs="Arial" w:eastAsia="Arial" w:hAnsi="Arial"/>
          <w:sz w:val="18"/>
          <w:szCs w:val="18"/>
          <w:color w:val="auto"/>
        </w:rPr>
        <w:t xml:space="preserve"> the election of each of the nominees for director.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Board of Directors Nominees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color w:val="auto"/>
        </w:rPr>
        <w:t>Board Snapshot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20" w:type="dxa"/>
            <w:vAlign w:val="bottom"/>
            <w:shd w:val="clear" w:color="auto" w:fill="EDF5FB"/>
          </w:tcPr>
          <w:p>
            <w:pPr>
              <w:spacing w:after="0"/>
              <w:rPr>
                <w:sz w:val="21"/>
                <w:szCs w:val="21"/>
                <w:color w:val="auto"/>
              </w:rPr>
            </w:pPr>
          </w:p>
        </w:tc>
        <w:tc>
          <w:tcPr>
            <w:tcW w:w="3280" w:type="dxa"/>
            <w:vAlign w:val="bottom"/>
            <w:shd w:val="clear" w:color="auto" w:fill="EDF5FB"/>
          </w:tcPr>
          <w:p>
            <w:pPr>
              <w:spacing w:after="0"/>
              <w:rPr>
                <w:sz w:val="21"/>
                <w:szCs w:val="21"/>
                <w:color w:val="auto"/>
              </w:rPr>
            </w:pPr>
          </w:p>
        </w:tc>
        <w:tc>
          <w:tcPr>
            <w:tcW w:w="100" w:type="dxa"/>
            <w:vAlign w:val="bottom"/>
            <w:shd w:val="clear" w:color="auto" w:fill="EDF5FB"/>
          </w:tcPr>
          <w:p>
            <w:pPr>
              <w:spacing w:after="0"/>
              <w:rPr>
                <w:sz w:val="21"/>
                <w:szCs w:val="21"/>
                <w:color w:val="auto"/>
              </w:rPr>
            </w:pPr>
          </w:p>
        </w:tc>
        <w:tc>
          <w:tcPr>
            <w:tcW w:w="3600" w:type="dxa"/>
            <w:vAlign w:val="bottom"/>
            <w:shd w:val="clear" w:color="auto" w:fill="EDF5FB"/>
          </w:tcPr>
          <w:p>
            <w:pPr>
              <w:spacing w:after="0"/>
              <w:rPr>
                <w:sz w:val="21"/>
                <w:szCs w:val="21"/>
                <w:color w:val="auto"/>
              </w:rPr>
            </w:pPr>
          </w:p>
        </w:tc>
        <w:tc>
          <w:tcPr>
            <w:tcW w:w="100" w:type="dxa"/>
            <w:vAlign w:val="bottom"/>
            <w:shd w:val="clear" w:color="auto" w:fill="EDF5FB"/>
          </w:tcPr>
          <w:p>
            <w:pPr>
              <w:spacing w:after="0"/>
              <w:rPr>
                <w:sz w:val="21"/>
                <w:szCs w:val="21"/>
                <w:color w:val="auto"/>
              </w:rPr>
            </w:pPr>
          </w:p>
        </w:tc>
        <w:tc>
          <w:tcPr>
            <w:tcW w:w="3940" w:type="dxa"/>
            <w:vAlign w:val="bottom"/>
            <w:shd w:val="clear" w:color="auto" w:fill="EDF5FB"/>
          </w:tcPr>
          <w:p>
            <w:pPr>
              <w:spacing w:after="0"/>
              <w:rPr>
                <w:sz w:val="21"/>
                <w:szCs w:val="21"/>
                <w:color w:val="auto"/>
              </w:rPr>
            </w:pPr>
          </w:p>
        </w:tc>
        <w:tc>
          <w:tcPr>
            <w:tcW w:w="100" w:type="dxa"/>
            <w:vAlign w:val="bottom"/>
            <w:shd w:val="clear" w:color="auto" w:fill="EDF5FB"/>
          </w:tcPr>
          <w:p>
            <w:pPr>
              <w:spacing w:after="0"/>
              <w:rPr>
                <w:sz w:val="21"/>
                <w:szCs w:val="21"/>
                <w:color w:val="auto"/>
              </w:rPr>
            </w:pPr>
          </w:p>
        </w:tc>
      </w:tr>
      <w:tr>
        <w:trPr>
          <w:trHeight w:val="336"/>
        </w:trPr>
        <w:tc>
          <w:tcPr>
            <w:tcW w:w="120" w:type="dxa"/>
            <w:vAlign w:val="bottom"/>
            <w:shd w:val="clear" w:color="auto" w:fill="EDF5FB"/>
          </w:tcPr>
          <w:p>
            <w:pPr>
              <w:spacing w:after="0"/>
              <w:rPr>
                <w:sz w:val="24"/>
                <w:szCs w:val="24"/>
                <w:color w:val="auto"/>
              </w:rPr>
            </w:pPr>
          </w:p>
        </w:tc>
        <w:tc>
          <w:tcPr>
            <w:tcW w:w="3280" w:type="dxa"/>
            <w:vAlign w:val="bottom"/>
          </w:tcPr>
          <w:p>
            <w:pPr>
              <w:ind w:left="120"/>
              <w:spacing w:after="0"/>
              <w:rPr>
                <w:sz w:val="20"/>
                <w:szCs w:val="20"/>
                <w:color w:val="auto"/>
              </w:rPr>
            </w:pPr>
            <w:r>
              <w:rPr>
                <w:rFonts w:ascii="Arial" w:cs="Arial" w:eastAsia="Arial" w:hAnsi="Arial"/>
                <w:sz w:val="18"/>
                <w:szCs w:val="18"/>
                <w:b w:val="1"/>
                <w:bCs w:val="1"/>
                <w:color w:val="00A1E0"/>
              </w:rPr>
              <w:t>INDEPENDENCE</w:t>
            </w:r>
          </w:p>
        </w:tc>
        <w:tc>
          <w:tcPr>
            <w:tcW w:w="100" w:type="dxa"/>
            <w:vAlign w:val="bottom"/>
            <w:shd w:val="clear" w:color="auto" w:fill="EDF5FB"/>
          </w:tcPr>
          <w:p>
            <w:pPr>
              <w:spacing w:after="0"/>
              <w:rPr>
                <w:sz w:val="24"/>
                <w:szCs w:val="24"/>
                <w:color w:val="auto"/>
              </w:rPr>
            </w:pPr>
          </w:p>
        </w:tc>
        <w:tc>
          <w:tcPr>
            <w:tcW w:w="3600" w:type="dxa"/>
            <w:vAlign w:val="bottom"/>
          </w:tcPr>
          <w:p>
            <w:pPr>
              <w:ind w:left="120"/>
              <w:spacing w:after="0"/>
              <w:rPr>
                <w:sz w:val="20"/>
                <w:szCs w:val="20"/>
                <w:color w:val="auto"/>
              </w:rPr>
            </w:pPr>
            <w:r>
              <w:rPr>
                <w:rFonts w:ascii="Arial" w:cs="Arial" w:eastAsia="Arial" w:hAnsi="Arial"/>
                <w:sz w:val="18"/>
                <w:szCs w:val="18"/>
                <w:b w:val="1"/>
                <w:bCs w:val="1"/>
                <w:color w:val="00A1E0"/>
              </w:rPr>
              <w:t>DIVERSITY (GENDER &amp; RACE)*</w:t>
            </w:r>
          </w:p>
        </w:tc>
        <w:tc>
          <w:tcPr>
            <w:tcW w:w="100" w:type="dxa"/>
            <w:vAlign w:val="bottom"/>
            <w:shd w:val="clear" w:color="auto" w:fill="EDF5FB"/>
          </w:tcPr>
          <w:p>
            <w:pPr>
              <w:spacing w:after="0"/>
              <w:rPr>
                <w:sz w:val="24"/>
                <w:szCs w:val="24"/>
                <w:color w:val="auto"/>
              </w:rPr>
            </w:pPr>
          </w:p>
        </w:tc>
        <w:tc>
          <w:tcPr>
            <w:tcW w:w="3940" w:type="dxa"/>
            <w:vAlign w:val="bottom"/>
          </w:tcPr>
          <w:p>
            <w:pPr>
              <w:ind w:left="120"/>
              <w:spacing w:after="0"/>
              <w:rPr>
                <w:sz w:val="20"/>
                <w:szCs w:val="20"/>
                <w:color w:val="auto"/>
              </w:rPr>
            </w:pPr>
            <w:r>
              <w:rPr>
                <w:rFonts w:ascii="Arial" w:cs="Arial" w:eastAsia="Arial" w:hAnsi="Arial"/>
                <w:sz w:val="18"/>
                <w:szCs w:val="18"/>
                <w:b w:val="1"/>
                <w:bCs w:val="1"/>
                <w:color w:val="00A1E0"/>
              </w:rPr>
              <w:t>INDEPENDENT DIRECTOR TENURE</w:t>
            </w:r>
          </w:p>
        </w:tc>
        <w:tc>
          <w:tcPr>
            <w:tcW w:w="100" w:type="dxa"/>
            <w:vAlign w:val="bottom"/>
            <w:shd w:val="clear" w:color="auto" w:fill="EDF5FB"/>
          </w:tcPr>
          <w:p>
            <w:pPr>
              <w:spacing w:after="0"/>
              <w:rPr>
                <w:sz w:val="24"/>
                <w:szCs w:val="24"/>
                <w:color w:val="auto"/>
              </w:rPr>
            </w:pPr>
          </w:p>
        </w:tc>
      </w:tr>
      <w:tr>
        <w:trPr>
          <w:trHeight w:val="1081"/>
        </w:trPr>
        <w:tc>
          <w:tcPr>
            <w:tcW w:w="120" w:type="dxa"/>
            <w:vAlign w:val="bottom"/>
            <w:shd w:val="clear" w:color="auto" w:fill="EDF5FB"/>
          </w:tcPr>
          <w:p>
            <w:pPr>
              <w:spacing w:after="0"/>
              <w:rPr>
                <w:sz w:val="24"/>
                <w:szCs w:val="24"/>
                <w:color w:val="auto"/>
              </w:rPr>
            </w:pPr>
          </w:p>
        </w:tc>
        <w:tc>
          <w:tcPr>
            <w:tcW w:w="3280" w:type="dxa"/>
            <w:vAlign w:val="bottom"/>
          </w:tcPr>
          <w:p>
            <w:pPr>
              <w:spacing w:after="0"/>
              <w:rPr>
                <w:sz w:val="24"/>
                <w:szCs w:val="24"/>
                <w:color w:val="auto"/>
              </w:rPr>
            </w:pPr>
          </w:p>
        </w:tc>
        <w:tc>
          <w:tcPr>
            <w:tcW w:w="100" w:type="dxa"/>
            <w:vAlign w:val="bottom"/>
            <w:shd w:val="clear" w:color="auto" w:fill="EDF5FB"/>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shd w:val="clear" w:color="auto" w:fill="EDF5FB"/>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shd w:val="clear" w:color="auto" w:fill="EDF5FB"/>
          </w:tcPr>
          <w:p>
            <w:pPr>
              <w:spacing w:after="0"/>
              <w:rPr>
                <w:sz w:val="24"/>
                <w:szCs w:val="24"/>
                <w:color w:val="auto"/>
              </w:rPr>
            </w:pPr>
          </w:p>
        </w:tc>
      </w:tr>
      <w:tr>
        <w:trPr>
          <w:trHeight w:val="6156"/>
        </w:trPr>
        <w:tc>
          <w:tcPr>
            <w:tcW w:w="120" w:type="dxa"/>
            <w:vAlign w:val="bottom"/>
            <w:shd w:val="clear" w:color="auto" w:fill="EDF5FB"/>
          </w:tcPr>
          <w:p>
            <w:pPr>
              <w:spacing w:after="0"/>
              <w:rPr>
                <w:sz w:val="24"/>
                <w:szCs w:val="24"/>
                <w:color w:val="auto"/>
              </w:rPr>
            </w:pPr>
          </w:p>
        </w:tc>
        <w:tc>
          <w:tcPr>
            <w:tcW w:w="3280" w:type="dxa"/>
            <w:vAlign w:val="bottom"/>
            <w:shd w:val="clear" w:color="auto" w:fill="EDF5FB"/>
          </w:tcPr>
          <w:p>
            <w:pPr>
              <w:spacing w:after="0"/>
              <w:rPr>
                <w:sz w:val="24"/>
                <w:szCs w:val="24"/>
                <w:color w:val="auto"/>
              </w:rPr>
            </w:pPr>
          </w:p>
        </w:tc>
        <w:tc>
          <w:tcPr>
            <w:tcW w:w="100" w:type="dxa"/>
            <w:vAlign w:val="bottom"/>
            <w:shd w:val="clear" w:color="auto" w:fill="EDF5FB"/>
          </w:tcPr>
          <w:p>
            <w:pPr>
              <w:spacing w:after="0"/>
              <w:rPr>
                <w:sz w:val="24"/>
                <w:szCs w:val="24"/>
                <w:color w:val="auto"/>
              </w:rPr>
            </w:pPr>
          </w:p>
        </w:tc>
        <w:tc>
          <w:tcPr>
            <w:tcW w:w="3600" w:type="dxa"/>
            <w:vAlign w:val="bottom"/>
            <w:shd w:val="clear" w:color="auto" w:fill="EDF5FB"/>
          </w:tcPr>
          <w:p>
            <w:pPr>
              <w:spacing w:after="0"/>
              <w:rPr>
                <w:sz w:val="24"/>
                <w:szCs w:val="24"/>
                <w:color w:val="auto"/>
              </w:rPr>
            </w:pPr>
          </w:p>
        </w:tc>
        <w:tc>
          <w:tcPr>
            <w:tcW w:w="100" w:type="dxa"/>
            <w:vAlign w:val="bottom"/>
            <w:shd w:val="clear" w:color="auto" w:fill="EDF5FB"/>
          </w:tcPr>
          <w:p>
            <w:pPr>
              <w:spacing w:after="0"/>
              <w:rPr>
                <w:sz w:val="24"/>
                <w:szCs w:val="24"/>
                <w:color w:val="auto"/>
              </w:rPr>
            </w:pPr>
          </w:p>
        </w:tc>
        <w:tc>
          <w:tcPr>
            <w:tcW w:w="3940" w:type="dxa"/>
            <w:vAlign w:val="bottom"/>
            <w:shd w:val="clear" w:color="auto" w:fill="EDF5FB"/>
          </w:tcPr>
          <w:p>
            <w:pPr>
              <w:spacing w:after="0"/>
              <w:rPr>
                <w:sz w:val="24"/>
                <w:szCs w:val="24"/>
                <w:color w:val="auto"/>
              </w:rPr>
            </w:pPr>
          </w:p>
        </w:tc>
        <w:tc>
          <w:tcPr>
            <w:tcW w:w="100" w:type="dxa"/>
            <w:vAlign w:val="bottom"/>
            <w:shd w:val="clear" w:color="auto" w:fill="EDF5FB"/>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-4500245</wp:posOffset>
            </wp:positionV>
            <wp:extent cx="7132320" cy="49123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912360"/>
                    </a:xfrm>
                    <a:prstGeom prst="rect">
                      <a:avLst/>
                    </a:prstGeom>
                    <a:noFill/>
                  </pic:spPr>
                </pic:pic>
              </a:graphicData>
            </a:graphic>
          </wp:anchor>
        </w:drawing>
      </w:r>
    </w:p>
    <w:p>
      <w:pPr>
        <w:spacing w:after="0" w:line="75" w:lineRule="exact"/>
        <w:rPr>
          <w:sz w:val="20"/>
          <w:szCs w:val="20"/>
          <w:color w:val="auto"/>
        </w:rPr>
      </w:pPr>
    </w:p>
    <w:p>
      <w:pPr>
        <w:ind w:left="540" w:hanging="262"/>
        <w:spacing w:after="0"/>
        <w:tabs>
          <w:tab w:leader="none" w:pos="5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See “— Director Skills, Experience and Diversity” below and Nasdaq Board Diversity Matrix in </w:t>
      </w:r>
      <w:r>
        <w:rPr>
          <w:rFonts w:ascii="Arial" w:cs="Arial" w:eastAsia="Arial" w:hAnsi="Arial"/>
          <w:sz w:val="13"/>
          <w:szCs w:val="13"/>
          <w:u w:val="single" w:color="auto"/>
          <w:color w:val="auto"/>
        </w:rPr>
        <w:t>Appendix B</w:t>
      </w:r>
      <w:r>
        <w:rPr>
          <w:rFonts w:ascii="Arial" w:cs="Arial" w:eastAsia="Arial" w:hAnsi="Arial"/>
          <w:sz w:val="13"/>
          <w:szCs w:val="13"/>
          <w:color w:val="auto"/>
        </w:rPr>
        <w:t xml:space="preserve"> for additional information.</w:t>
      </w:r>
    </w:p>
    <w:p>
      <w:pPr>
        <w:spacing w:after="0" w:line="67" w:lineRule="exact"/>
        <w:rPr>
          <w:sz w:val="20"/>
          <w:szCs w:val="20"/>
          <w:color w:val="auto"/>
        </w:rPr>
      </w:pPr>
    </w:p>
    <w:p>
      <w:pPr>
        <w:ind w:left="280"/>
        <w:spacing w:after="0"/>
        <w:tabs>
          <w:tab w:leader="none" w:pos="520" w:val="left"/>
        </w:tabs>
        <w:rPr>
          <w:sz w:val="20"/>
          <w:szCs w:val="20"/>
          <w:color w:val="auto"/>
        </w:rPr>
      </w:pPr>
      <w:r>
        <w:rPr>
          <w:rFonts w:ascii="Arial" w:cs="Arial" w:eastAsia="Arial" w:hAnsi="Arial"/>
          <w:sz w:val="13"/>
          <w:szCs w:val="13"/>
          <w:color w:val="auto"/>
          <w:highlight w:val="white"/>
        </w:rPr>
        <w:t>**</w:t>
      </w:r>
      <w:r>
        <w:rPr>
          <w:rFonts w:ascii="Arial" w:cs="Arial" w:eastAsia="Arial" w:hAnsi="Arial"/>
          <w:sz w:val="13"/>
          <w:szCs w:val="13"/>
          <w:color w:val="auto"/>
        </w:rPr>
        <w:tab/>
        <w:t>Audit Committee Financial Expert</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10</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Board Refreshment</w:t>
      </w:r>
    </w:p>
    <w:p>
      <w:pPr>
        <w:spacing w:after="0" w:line="22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Thomas J. Baltimore, Jr. and Louise F. Brady joined our Board in March and October 2023, respectively, and Wonya Y. Lucas joined our Board in April 2024. Gerald L. Hassell and Maritza G. Montiel are not director nominees for our 2024 annual meeting due to having reached our retirement age of 72, and their terms will end on the date of our annual meeting in June.</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color w:val="auto"/>
        </w:rPr>
        <w:t>Director Skills, Experience and Diversity</w:t>
      </w:r>
    </w:p>
    <w:p>
      <w:pPr>
        <w:spacing w:after="0" w:line="229"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As baseline director qualifications, our Board seeks, and each of our directors possesses, key attributes that we deem critical in being a director, including strong and effective decision-making, communication and leadership skills; high ethical standards, integrity and values; and a commitment to representing the long-term interests of our shareholders. Our Board, and the GCR Committee in turn, also consider certain director qualifications and skills, including those highlighted below, to select directors that bring to the Board a diversity of backgrounds, cultures, skills, experiences, qualifications, viewpoints and perspectives to oversee and address the current issues facing our company.</w:t>
      </w:r>
    </w:p>
    <w:p>
      <w:pPr>
        <w:spacing w:after="0" w:line="17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Board and each of its committees assess their effectiveness as part of their annual self-assessment, which, among other things, evaluates the overall composition of our Board, including the diversity of skills and backgrounds of our directors. In evaluating current directors for renomination to the Board or reappointment to Board committees, the GCR Committee also considers the director’s performance, as well as the current challenges and needs of the Board and each committee. The GCR Committee further considers each director’s ability to dedicate sufficient time, energy and attention to the fulfillment of his or her duties when it nominates directors each year. In accordance with our corporate governance guidelines, an independent director who is a chief executive officer of a public company may serve on the boards of no more than two other public companies in addition to our Board, while all other independent directors may serve on up to four public company boards in total. The Board also considers directors’ other obligations and commitments, including leadership positions the director may hold on other boards, in assessing directors’ ability to dedicate sufficient time to our Board. In renominating directors for election at our 2023 annual meeting, the GCR Committee and Board have determined that each of our director nominees is currently in compliance with our corporate governance guidelines and has sufficient time, energy and attention to serve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130175</wp:posOffset>
            </wp:positionV>
            <wp:extent cx="6086475" cy="36861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8647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Director Nominee Biographies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5400" w:type="dxa"/>
            <w:vAlign w:val="bottom"/>
            <w:shd w:val="clear" w:color="auto" w:fill="00A0E0"/>
          </w:tcPr>
          <w:p>
            <w:pPr>
              <w:ind w:left="180"/>
              <w:spacing w:after="0"/>
              <w:rPr>
                <w:sz w:val="20"/>
                <w:szCs w:val="20"/>
                <w:color w:val="auto"/>
              </w:rPr>
            </w:pPr>
            <w:r>
              <w:rPr>
                <w:rFonts w:ascii="Arial" w:cs="Arial" w:eastAsia="Arial" w:hAnsi="Arial"/>
                <w:sz w:val="22"/>
                <w:szCs w:val="22"/>
                <w:b w:val="1"/>
                <w:bCs w:val="1"/>
                <w:color w:val="FFFFFF"/>
              </w:rPr>
              <w:t>Kenneth J. Bacon</w:t>
            </w:r>
          </w:p>
        </w:tc>
        <w:tc>
          <w:tcPr>
            <w:tcW w:w="5840" w:type="dxa"/>
            <w:vAlign w:val="bottom"/>
            <w:shd w:val="clear" w:color="auto" w:fill="00A0E0"/>
          </w:tcPr>
          <w:p>
            <w:pPr>
              <w:ind w:left="4580"/>
              <w:spacing w:after="0"/>
              <w:rPr>
                <w:sz w:val="20"/>
                <w:szCs w:val="20"/>
                <w:color w:val="auto"/>
              </w:rPr>
            </w:pPr>
            <w:r>
              <w:rPr>
                <w:rFonts w:ascii="Arial" w:cs="Arial" w:eastAsia="Arial" w:hAnsi="Arial"/>
                <w:sz w:val="18"/>
                <w:szCs w:val="18"/>
                <w:b w:val="1"/>
                <w:bCs w:val="1"/>
                <w:color w:val="FFFFFF"/>
              </w:rPr>
              <w:t>Independent</w:t>
            </w:r>
          </w:p>
        </w:tc>
        <w:tc>
          <w:tcPr>
            <w:tcW w:w="0" w:type="dxa"/>
            <w:vAlign w:val="bottom"/>
          </w:tcPr>
          <w:p>
            <w:pPr>
              <w:spacing w:after="0"/>
              <w:rPr>
                <w:sz w:val="1"/>
                <w:szCs w:val="1"/>
                <w:color w:val="auto"/>
              </w:rPr>
            </w:pPr>
          </w:p>
        </w:tc>
      </w:tr>
      <w:tr>
        <w:trPr>
          <w:trHeight w:val="82"/>
        </w:trPr>
        <w:tc>
          <w:tcPr>
            <w:tcW w:w="5400" w:type="dxa"/>
            <w:vAlign w:val="bottom"/>
            <w:shd w:val="clear" w:color="auto" w:fill="00A0E0"/>
          </w:tcPr>
          <w:p>
            <w:pPr>
              <w:spacing w:after="0"/>
              <w:rPr>
                <w:sz w:val="7"/>
                <w:szCs w:val="7"/>
                <w:color w:val="auto"/>
              </w:rPr>
            </w:pPr>
          </w:p>
        </w:tc>
        <w:tc>
          <w:tcPr>
            <w:tcW w:w="5840" w:type="dxa"/>
            <w:vAlign w:val="bottom"/>
            <w:shd w:val="clear" w:color="auto" w:fill="00A0E0"/>
          </w:tcPr>
          <w:p>
            <w:pPr>
              <w:spacing w:after="0"/>
              <w:rPr>
                <w:sz w:val="7"/>
                <w:szCs w:val="7"/>
                <w:color w:val="auto"/>
              </w:rPr>
            </w:pPr>
          </w:p>
        </w:tc>
        <w:tc>
          <w:tcPr>
            <w:tcW w:w="0" w:type="dxa"/>
            <w:vAlign w:val="bottom"/>
          </w:tcPr>
          <w:p>
            <w:pPr>
              <w:spacing w:after="0"/>
              <w:rPr>
                <w:sz w:val="1"/>
                <w:szCs w:val="1"/>
                <w:color w:val="auto"/>
              </w:rPr>
            </w:pPr>
          </w:p>
        </w:tc>
      </w:tr>
      <w:tr>
        <w:trPr>
          <w:trHeight w:val="396"/>
        </w:trPr>
        <w:tc>
          <w:tcPr>
            <w:tcW w:w="5400" w:type="dxa"/>
            <w:vAlign w:val="bottom"/>
            <w:shd w:val="clear" w:color="auto" w:fill="E0F0FB"/>
          </w:tcPr>
          <w:p>
            <w:pPr>
              <w:ind w:left="1640"/>
              <w:spacing w:after="0"/>
              <w:rPr>
                <w:sz w:val="20"/>
                <w:szCs w:val="20"/>
                <w:color w:val="auto"/>
              </w:rPr>
            </w:pPr>
            <w:r>
              <w:rPr>
                <w:rFonts w:ascii="Arial" w:cs="Arial" w:eastAsia="Arial" w:hAnsi="Arial"/>
                <w:sz w:val="18"/>
                <w:szCs w:val="18"/>
                <w:color w:val="auto"/>
              </w:rPr>
              <w:t>Partner at RailField Partners</w:t>
            </w:r>
          </w:p>
        </w:tc>
        <w:tc>
          <w:tcPr>
            <w:tcW w:w="5840" w:type="dxa"/>
            <w:vAlign w:val="bottom"/>
            <w:shd w:val="clear" w:color="auto" w:fill="E0F0FB"/>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00" w:type="dxa"/>
            <w:vAlign w:val="bottom"/>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69</w:t>
            </w:r>
          </w:p>
        </w:tc>
        <w:tc>
          <w:tcPr>
            <w:tcW w:w="5840" w:type="dxa"/>
            <w:vAlign w:val="bottom"/>
            <w:shd w:val="clear" w:color="auto" w:fill="E0F0FB"/>
          </w:tcPr>
          <w:p>
            <w:pPr>
              <w:ind w:left="120"/>
              <w:spacing w:after="0"/>
              <w:rPr>
                <w:sz w:val="20"/>
                <w:szCs w:val="20"/>
                <w:color w:val="auto"/>
              </w:rPr>
            </w:pPr>
            <w:r>
              <w:rPr>
                <w:rFonts w:ascii="Arial" w:cs="Arial" w:eastAsia="Arial" w:hAnsi="Arial"/>
                <w:sz w:val="18"/>
                <w:szCs w:val="18"/>
                <w:b w:val="1"/>
                <w:bCs w:val="1"/>
                <w:color w:val="auto"/>
              </w:rPr>
              <w:t>Other Current Public Company Directorships:</w:t>
            </w:r>
          </w:p>
        </w:tc>
        <w:tc>
          <w:tcPr>
            <w:tcW w:w="0" w:type="dxa"/>
            <w:vAlign w:val="bottom"/>
          </w:tcPr>
          <w:p>
            <w:pPr>
              <w:spacing w:after="0"/>
              <w:rPr>
                <w:sz w:val="1"/>
                <w:szCs w:val="1"/>
                <w:color w:val="auto"/>
              </w:rPr>
            </w:pPr>
          </w:p>
        </w:tc>
      </w:tr>
      <w:tr>
        <w:trPr>
          <w:trHeight w:val="239"/>
        </w:trPr>
        <w:tc>
          <w:tcPr>
            <w:tcW w:w="5400" w:type="dxa"/>
            <w:vAlign w:val="bottom"/>
            <w:vMerge w:val="restart"/>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November 2002</w:t>
            </w:r>
          </w:p>
        </w:tc>
        <w:tc>
          <w:tcPr>
            <w:tcW w:w="5840" w:type="dxa"/>
            <w:vAlign w:val="bottom"/>
            <w:shd w:val="clear" w:color="auto" w:fill="E0F0FB"/>
          </w:tcPr>
          <w:p>
            <w:pPr>
              <w:ind w:left="120"/>
              <w:spacing w:after="0"/>
              <w:rPr>
                <w:sz w:val="20"/>
                <w:szCs w:val="20"/>
                <w:color w:val="auto"/>
              </w:rPr>
            </w:pPr>
            <w:r>
              <w:rPr>
                <w:rFonts w:ascii="Arial" w:cs="Arial" w:eastAsia="Arial" w:hAnsi="Arial"/>
                <w:sz w:val="18"/>
                <w:szCs w:val="18"/>
                <w:color w:val="auto"/>
              </w:rPr>
              <w:t>Ally Financial Inc., Arbor Realty Trust, Inc., Welltower Inc.</w:t>
            </w:r>
          </w:p>
        </w:tc>
        <w:tc>
          <w:tcPr>
            <w:tcW w:w="0" w:type="dxa"/>
            <w:vAlign w:val="bottom"/>
          </w:tcPr>
          <w:p>
            <w:pPr>
              <w:spacing w:after="0"/>
              <w:rPr>
                <w:sz w:val="1"/>
                <w:szCs w:val="1"/>
                <w:color w:val="auto"/>
              </w:rPr>
            </w:pPr>
          </w:p>
        </w:tc>
      </w:tr>
      <w:tr>
        <w:trPr>
          <w:trHeight w:val="89"/>
        </w:trPr>
        <w:tc>
          <w:tcPr>
            <w:tcW w:w="5400" w:type="dxa"/>
            <w:vAlign w:val="bottom"/>
            <w:vMerge w:val="continue"/>
            <w:shd w:val="clear" w:color="auto" w:fill="E0F0FB"/>
          </w:tcPr>
          <w:p>
            <w:pPr>
              <w:spacing w:after="0"/>
              <w:rPr>
                <w:sz w:val="7"/>
                <w:szCs w:val="7"/>
                <w:color w:val="auto"/>
              </w:rPr>
            </w:pPr>
          </w:p>
        </w:tc>
        <w:tc>
          <w:tcPr>
            <w:tcW w:w="5840" w:type="dxa"/>
            <w:vAlign w:val="bottom"/>
            <w:shd w:val="clear" w:color="auto" w:fill="E0F0FB"/>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5400" w:type="dxa"/>
            <w:vAlign w:val="bottom"/>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Governance and Corporate</w:t>
            </w:r>
          </w:p>
        </w:tc>
        <w:tc>
          <w:tcPr>
            <w:tcW w:w="5840" w:type="dxa"/>
            <w:vAlign w:val="bottom"/>
            <w:shd w:val="clear" w:color="auto" w:fill="E0F0FB"/>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00" w:type="dxa"/>
            <w:vAlign w:val="bottom"/>
            <w:shd w:val="clear" w:color="auto" w:fill="E0F0FB"/>
          </w:tcPr>
          <w:p>
            <w:pPr>
              <w:ind w:left="1640"/>
              <w:spacing w:after="0"/>
              <w:rPr>
                <w:sz w:val="20"/>
                <w:szCs w:val="20"/>
                <w:color w:val="auto"/>
              </w:rPr>
            </w:pPr>
            <w:r>
              <w:rPr>
                <w:rFonts w:ascii="Arial" w:cs="Arial" w:eastAsia="Arial" w:hAnsi="Arial"/>
                <w:sz w:val="18"/>
                <w:szCs w:val="18"/>
                <w:color w:val="auto"/>
              </w:rPr>
              <w:t>Responsibility</w:t>
            </w:r>
          </w:p>
        </w:tc>
        <w:tc>
          <w:tcPr>
            <w:tcW w:w="5840" w:type="dxa"/>
            <w:vAlign w:val="bottom"/>
            <w:shd w:val="clear" w:color="auto" w:fill="E0F0FB"/>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400" w:type="dxa"/>
            <w:vAlign w:val="bottom"/>
            <w:shd w:val="clear" w:color="auto" w:fill="E0F0FB"/>
          </w:tcPr>
          <w:p>
            <w:pPr>
              <w:spacing w:after="0"/>
              <w:rPr>
                <w:sz w:val="14"/>
                <w:szCs w:val="14"/>
                <w:color w:val="auto"/>
              </w:rPr>
            </w:pPr>
          </w:p>
        </w:tc>
        <w:tc>
          <w:tcPr>
            <w:tcW w:w="5840" w:type="dxa"/>
            <w:vAlign w:val="bottom"/>
            <w:shd w:val="clear" w:color="auto" w:fill="E0F0FB"/>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5400" w:type="dxa"/>
            <w:vAlign w:val="bottom"/>
          </w:tcPr>
          <w:p>
            <w:pPr>
              <w:spacing w:after="0"/>
              <w:rPr>
                <w:sz w:val="20"/>
                <w:szCs w:val="20"/>
                <w:color w:val="auto"/>
              </w:rPr>
            </w:pPr>
            <w:r>
              <w:rPr>
                <w:rFonts w:ascii="Arial" w:cs="Arial" w:eastAsia="Arial" w:hAnsi="Arial"/>
                <w:sz w:val="18"/>
                <w:szCs w:val="18"/>
                <w:b w:val="1"/>
                <w:bCs w:val="1"/>
                <w:color w:val="00A0E0"/>
              </w:rPr>
              <w:t>Career Highlights: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40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Partner, RailField Partners, a financial advisory and asset</w:t>
            </w:r>
          </w:p>
        </w:tc>
        <w:tc>
          <w:tcPr>
            <w:tcW w:w="5840" w:type="dxa"/>
            <w:vAlign w:val="bottom"/>
          </w:tcPr>
          <w:p>
            <w:pPr>
              <w:ind w:left="44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Interim Executive Vice President, Housing and Community</w:t>
            </w:r>
          </w:p>
        </w:tc>
        <w:tc>
          <w:tcPr>
            <w:tcW w:w="0" w:type="dxa"/>
            <w:vAlign w:val="bottom"/>
          </w:tcPr>
          <w:p>
            <w:pPr>
              <w:spacing w:after="0"/>
              <w:rPr>
                <w:sz w:val="1"/>
                <w:szCs w:val="1"/>
                <w:color w:val="auto"/>
              </w:rPr>
            </w:pPr>
          </w:p>
        </w:tc>
      </w:tr>
      <w:tr>
        <w:trPr>
          <w:trHeight w:val="199"/>
        </w:trPr>
        <w:tc>
          <w:tcPr>
            <w:tcW w:w="5400" w:type="dxa"/>
            <w:vAlign w:val="bottom"/>
          </w:tcPr>
          <w:p>
            <w:pPr>
              <w:ind w:left="260"/>
              <w:spacing w:after="0" w:line="199" w:lineRule="exact"/>
              <w:rPr>
                <w:sz w:val="20"/>
                <w:szCs w:val="20"/>
                <w:color w:val="auto"/>
              </w:rPr>
            </w:pPr>
            <w:r>
              <w:rPr>
                <w:rFonts w:ascii="Arial" w:cs="Arial" w:eastAsia="Arial" w:hAnsi="Arial"/>
                <w:sz w:val="18"/>
                <w:szCs w:val="18"/>
                <w:color w:val="auto"/>
              </w:rPr>
              <w:t>management firm, 2012 – Present</w:t>
            </w:r>
          </w:p>
        </w:tc>
        <w:tc>
          <w:tcPr>
            <w:tcW w:w="5840" w:type="dxa"/>
            <w:vAlign w:val="bottom"/>
          </w:tcPr>
          <w:p>
            <w:pPr>
              <w:ind w:left="700"/>
              <w:spacing w:after="0" w:line="199" w:lineRule="exact"/>
              <w:rPr>
                <w:sz w:val="20"/>
                <w:szCs w:val="20"/>
                <w:color w:val="auto"/>
              </w:rPr>
            </w:pPr>
            <w:r>
              <w:rPr>
                <w:rFonts w:ascii="Arial" w:cs="Arial" w:eastAsia="Arial" w:hAnsi="Arial"/>
                <w:sz w:val="18"/>
                <w:szCs w:val="18"/>
                <w:color w:val="auto"/>
              </w:rPr>
              <w:t>Development, Fannie Mae, January 2005 – July 2005</w:t>
            </w:r>
          </w:p>
        </w:tc>
        <w:tc>
          <w:tcPr>
            <w:tcW w:w="0" w:type="dxa"/>
            <w:vAlign w:val="bottom"/>
          </w:tcPr>
          <w:p>
            <w:pPr>
              <w:spacing w:after="0"/>
              <w:rPr>
                <w:sz w:val="1"/>
                <w:szCs w:val="1"/>
                <w:color w:val="auto"/>
              </w:rPr>
            </w:pPr>
          </w:p>
        </w:tc>
      </w:tr>
      <w:tr>
        <w:trPr>
          <w:trHeight w:val="206"/>
        </w:trPr>
        <w:tc>
          <w:tcPr>
            <w:tcW w:w="540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Executive Vice President of the multifamily mortgage business,</w:t>
            </w:r>
          </w:p>
        </w:tc>
        <w:tc>
          <w:tcPr>
            <w:tcW w:w="5840" w:type="dxa"/>
            <w:vAlign w:val="bottom"/>
          </w:tcPr>
          <w:p>
            <w:pPr>
              <w:ind w:left="44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Member, National Multifamily Housing Council</w:t>
            </w:r>
          </w:p>
        </w:tc>
        <w:tc>
          <w:tcPr>
            <w:tcW w:w="0" w:type="dxa"/>
            <w:vAlign w:val="bottom"/>
          </w:tcPr>
          <w:p>
            <w:pPr>
              <w:spacing w:after="0"/>
              <w:rPr>
                <w:sz w:val="1"/>
                <w:szCs w:val="1"/>
                <w:color w:val="auto"/>
              </w:rPr>
            </w:pPr>
          </w:p>
        </w:tc>
      </w:tr>
      <w:tr>
        <w:trPr>
          <w:trHeight w:val="239"/>
        </w:trPr>
        <w:tc>
          <w:tcPr>
            <w:tcW w:w="5400" w:type="dxa"/>
            <w:vAlign w:val="bottom"/>
          </w:tcPr>
          <w:p>
            <w:pPr>
              <w:ind w:left="260"/>
              <w:spacing w:after="0"/>
              <w:rPr>
                <w:sz w:val="20"/>
                <w:szCs w:val="20"/>
                <w:color w:val="auto"/>
              </w:rPr>
            </w:pPr>
            <w:r>
              <w:rPr>
                <w:rFonts w:ascii="Arial" w:cs="Arial" w:eastAsia="Arial" w:hAnsi="Arial"/>
                <w:sz w:val="18"/>
                <w:szCs w:val="18"/>
                <w:color w:val="auto"/>
              </w:rPr>
              <w:t>Fannie Mae, 2005 – 2012</w:t>
            </w:r>
          </w:p>
        </w:tc>
        <w:tc>
          <w:tcPr>
            <w:tcW w:w="5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400" w:type="dxa"/>
            <w:vAlign w:val="bottom"/>
          </w:tcPr>
          <w:p>
            <w:pPr>
              <w:spacing w:after="0"/>
              <w:rPr>
                <w:sz w:val="20"/>
                <w:szCs w:val="20"/>
                <w:color w:val="auto"/>
              </w:rPr>
            </w:pPr>
            <w:r>
              <w:rPr>
                <w:rFonts w:ascii="Arial" w:cs="Arial" w:eastAsia="Arial" w:hAnsi="Arial"/>
                <w:sz w:val="18"/>
                <w:szCs w:val="18"/>
                <w:b w:val="1"/>
                <w:bCs w:val="1"/>
                <w:color w:val="00A0E0"/>
              </w:rPr>
              <w:t>Skills and Qualifications: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-2124710</wp:posOffset>
            </wp:positionV>
            <wp:extent cx="805815" cy="797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5815" cy="797560"/>
                    </a:xfrm>
                    <a:prstGeom prst="rect">
                      <a:avLst/>
                    </a:prstGeom>
                    <a:noFill/>
                  </pic:spPr>
                </pic:pic>
              </a:graphicData>
            </a:graphic>
          </wp:anchor>
        </w:drawing>
      </w:r>
    </w:p>
    <w:p>
      <w:pPr>
        <w:spacing w:after="0" w:line="152"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We believe that Mr. Bacon’s significant experience in senior executive leadership, regulatory and government affairs, risk management and the financial and housing industries renders him qualified to serve as one of our directors.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520" w:type="dxa"/>
            <w:vAlign w:val="bottom"/>
            <w:vMerge w:val="restart"/>
          </w:tcPr>
          <w:p>
            <w:pPr>
              <w:spacing w:after="0"/>
              <w:rPr>
                <w:sz w:val="20"/>
                <w:szCs w:val="20"/>
                <w:color w:val="auto"/>
              </w:rPr>
            </w:pPr>
            <w:r>
              <w:rPr>
                <w:rFonts w:ascii="Arial" w:cs="Arial" w:eastAsia="Arial" w:hAnsi="Arial"/>
                <w:sz w:val="18"/>
                <w:szCs w:val="18"/>
                <w:color w:val="auto"/>
              </w:rPr>
              <w:t>Executive</w:t>
            </w:r>
          </w:p>
        </w:tc>
        <w:tc>
          <w:tcPr>
            <w:tcW w:w="2180" w:type="dxa"/>
            <w:vAlign w:val="bottom"/>
            <w:vMerge w:val="restart"/>
          </w:tcPr>
          <w:p>
            <w:pPr>
              <w:ind w:left="640"/>
              <w:spacing w:after="0"/>
              <w:rPr>
                <w:sz w:val="20"/>
                <w:szCs w:val="20"/>
                <w:color w:val="auto"/>
              </w:rPr>
            </w:pPr>
            <w:r>
              <w:rPr>
                <w:rFonts w:ascii="Arial" w:cs="Arial" w:eastAsia="Arial" w:hAnsi="Arial"/>
                <w:sz w:val="18"/>
                <w:szCs w:val="18"/>
                <w:color w:val="auto"/>
              </w:rPr>
              <w:t>Financial/</w:t>
            </w:r>
          </w:p>
        </w:tc>
        <w:tc>
          <w:tcPr>
            <w:tcW w:w="2580" w:type="dxa"/>
            <w:vAlign w:val="bottom"/>
            <w:vMerge w:val="restart"/>
          </w:tcPr>
          <w:p>
            <w:pPr>
              <w:ind w:left="660"/>
              <w:spacing w:after="0"/>
              <w:rPr>
                <w:sz w:val="20"/>
                <w:szCs w:val="20"/>
                <w:color w:val="auto"/>
              </w:rPr>
            </w:pPr>
            <w:r>
              <w:rPr>
                <w:rFonts w:ascii="Arial" w:cs="Arial" w:eastAsia="Arial" w:hAnsi="Arial"/>
                <w:sz w:val="18"/>
                <w:szCs w:val="18"/>
                <w:color w:val="auto"/>
              </w:rPr>
              <w:t>Risk Management</w:t>
            </w:r>
          </w:p>
        </w:tc>
        <w:tc>
          <w:tcPr>
            <w:tcW w:w="2100" w:type="dxa"/>
            <w:vAlign w:val="bottom"/>
            <w:vMerge w:val="restart"/>
          </w:tcPr>
          <w:p>
            <w:pPr>
              <w:ind w:left="500"/>
              <w:spacing w:after="0"/>
              <w:rPr>
                <w:sz w:val="20"/>
                <w:szCs w:val="20"/>
                <w:color w:val="auto"/>
              </w:rPr>
            </w:pPr>
            <w:r>
              <w:rPr>
                <w:rFonts w:ascii="Arial" w:cs="Arial" w:eastAsia="Arial" w:hAnsi="Arial"/>
                <w:sz w:val="18"/>
                <w:szCs w:val="18"/>
                <w:color w:val="auto"/>
              </w:rPr>
              <w:t>Government</w:t>
            </w:r>
          </w:p>
        </w:tc>
        <w:tc>
          <w:tcPr>
            <w:tcW w:w="1680" w:type="dxa"/>
            <w:vAlign w:val="bottom"/>
          </w:tcPr>
          <w:p>
            <w:pPr>
              <w:ind w:left="640"/>
              <w:spacing w:after="0"/>
              <w:rPr>
                <w:sz w:val="20"/>
                <w:szCs w:val="20"/>
                <w:color w:val="auto"/>
              </w:rPr>
            </w:pPr>
            <w:r>
              <w:rPr>
                <w:rFonts w:ascii="Arial" w:cs="Arial" w:eastAsia="Arial" w:hAnsi="Arial"/>
                <w:sz w:val="18"/>
                <w:szCs w:val="18"/>
                <w:color w:val="auto"/>
              </w:rPr>
              <w:t>Non-Profit/</w:t>
            </w:r>
          </w:p>
        </w:tc>
        <w:tc>
          <w:tcPr>
            <w:tcW w:w="0" w:type="dxa"/>
            <w:vAlign w:val="bottom"/>
          </w:tcPr>
          <w:p>
            <w:pPr>
              <w:spacing w:after="0"/>
              <w:rPr>
                <w:sz w:val="1"/>
                <w:szCs w:val="1"/>
                <w:color w:val="auto"/>
              </w:rPr>
            </w:pPr>
          </w:p>
        </w:tc>
      </w:tr>
      <w:tr>
        <w:trPr>
          <w:trHeight w:val="94"/>
        </w:trPr>
        <w:tc>
          <w:tcPr>
            <w:tcW w:w="1520" w:type="dxa"/>
            <w:vAlign w:val="bottom"/>
            <w:vMerge w:val="continue"/>
          </w:tcPr>
          <w:p>
            <w:pPr>
              <w:spacing w:after="0"/>
              <w:rPr>
                <w:sz w:val="8"/>
                <w:szCs w:val="8"/>
                <w:color w:val="auto"/>
              </w:rPr>
            </w:pPr>
          </w:p>
        </w:tc>
        <w:tc>
          <w:tcPr>
            <w:tcW w:w="2180" w:type="dxa"/>
            <w:vAlign w:val="bottom"/>
            <w:vMerge w:val="continue"/>
          </w:tcPr>
          <w:p>
            <w:pPr>
              <w:spacing w:after="0"/>
              <w:rPr>
                <w:sz w:val="8"/>
                <w:szCs w:val="8"/>
                <w:color w:val="auto"/>
              </w:rPr>
            </w:pPr>
          </w:p>
        </w:tc>
        <w:tc>
          <w:tcPr>
            <w:tcW w:w="2580" w:type="dxa"/>
            <w:vAlign w:val="bottom"/>
            <w:vMerge w:val="continue"/>
          </w:tcPr>
          <w:p>
            <w:pPr>
              <w:spacing w:after="0"/>
              <w:rPr>
                <w:sz w:val="8"/>
                <w:szCs w:val="8"/>
                <w:color w:val="auto"/>
              </w:rPr>
            </w:pPr>
          </w:p>
        </w:tc>
        <w:tc>
          <w:tcPr>
            <w:tcW w:w="2100" w:type="dxa"/>
            <w:vAlign w:val="bottom"/>
            <w:vMerge w:val="continue"/>
          </w:tcPr>
          <w:p>
            <w:pPr>
              <w:spacing w:after="0"/>
              <w:rPr>
                <w:sz w:val="8"/>
                <w:szCs w:val="8"/>
                <w:color w:val="auto"/>
              </w:rPr>
            </w:pPr>
          </w:p>
        </w:tc>
        <w:tc>
          <w:tcPr>
            <w:tcW w:w="1680" w:type="dxa"/>
            <w:vAlign w:val="bottom"/>
            <w:vMerge w:val="restart"/>
          </w:tcPr>
          <w:p>
            <w:pPr>
              <w:ind w:left="640"/>
              <w:spacing w:after="0" w:line="202" w:lineRule="exact"/>
              <w:rPr>
                <w:sz w:val="20"/>
                <w:szCs w:val="20"/>
                <w:color w:val="auto"/>
              </w:rPr>
            </w:pPr>
            <w:r>
              <w:rPr>
                <w:rFonts w:ascii="Arial" w:cs="Arial" w:eastAsia="Arial" w:hAnsi="Arial"/>
                <w:sz w:val="18"/>
                <w:szCs w:val="18"/>
                <w:color w:val="auto"/>
              </w:rPr>
              <w:t>Educational/</w:t>
            </w:r>
          </w:p>
        </w:tc>
        <w:tc>
          <w:tcPr>
            <w:tcW w:w="0" w:type="dxa"/>
            <w:vAlign w:val="bottom"/>
          </w:tcPr>
          <w:p>
            <w:pPr>
              <w:spacing w:after="0"/>
              <w:rPr>
                <w:sz w:val="1"/>
                <w:szCs w:val="1"/>
                <w:color w:val="auto"/>
              </w:rPr>
            </w:pPr>
          </w:p>
        </w:tc>
      </w:tr>
      <w:tr>
        <w:trPr>
          <w:trHeight w:val="108"/>
        </w:trPr>
        <w:tc>
          <w:tcPr>
            <w:tcW w:w="1520" w:type="dxa"/>
            <w:vAlign w:val="bottom"/>
            <w:vMerge w:val="restart"/>
          </w:tcPr>
          <w:p>
            <w:pPr>
              <w:spacing w:after="0"/>
              <w:rPr>
                <w:sz w:val="20"/>
                <w:szCs w:val="20"/>
                <w:color w:val="auto"/>
              </w:rPr>
            </w:pPr>
            <w:r>
              <w:rPr>
                <w:rFonts w:ascii="Arial" w:cs="Arial" w:eastAsia="Arial" w:hAnsi="Arial"/>
                <w:sz w:val="18"/>
                <w:szCs w:val="18"/>
                <w:color w:val="auto"/>
              </w:rPr>
              <w:t>Leadership</w:t>
            </w:r>
          </w:p>
        </w:tc>
        <w:tc>
          <w:tcPr>
            <w:tcW w:w="2180" w:type="dxa"/>
            <w:vAlign w:val="bottom"/>
            <w:vMerge w:val="restart"/>
          </w:tcPr>
          <w:p>
            <w:pPr>
              <w:ind w:left="640"/>
              <w:spacing w:after="0"/>
              <w:rPr>
                <w:sz w:val="20"/>
                <w:szCs w:val="20"/>
                <w:color w:val="auto"/>
              </w:rPr>
            </w:pPr>
            <w:r>
              <w:rPr>
                <w:rFonts w:ascii="Arial" w:cs="Arial" w:eastAsia="Arial" w:hAnsi="Arial"/>
                <w:sz w:val="18"/>
                <w:szCs w:val="18"/>
                <w:color w:val="auto"/>
              </w:rPr>
              <w:t>Accounting</w:t>
            </w:r>
          </w:p>
        </w:tc>
        <w:tc>
          <w:tcPr>
            <w:tcW w:w="2580" w:type="dxa"/>
            <w:vAlign w:val="bottom"/>
            <w:vMerge w:val="restart"/>
          </w:tcPr>
          <w:p>
            <w:pPr>
              <w:ind w:left="660"/>
              <w:spacing w:after="0"/>
              <w:rPr>
                <w:sz w:val="20"/>
                <w:szCs w:val="20"/>
                <w:color w:val="auto"/>
              </w:rPr>
            </w:pPr>
            <w:r>
              <w:rPr>
                <w:rFonts w:ascii="Arial" w:cs="Arial" w:eastAsia="Arial" w:hAnsi="Arial"/>
                <w:sz w:val="18"/>
                <w:szCs w:val="18"/>
                <w:color w:val="auto"/>
              </w:rPr>
              <w:t>Oversight</w:t>
            </w:r>
          </w:p>
        </w:tc>
        <w:tc>
          <w:tcPr>
            <w:tcW w:w="2100" w:type="dxa"/>
            <w:vAlign w:val="bottom"/>
            <w:vMerge w:val="restart"/>
          </w:tcPr>
          <w:p>
            <w:pPr>
              <w:ind w:left="500"/>
              <w:spacing w:after="0"/>
              <w:rPr>
                <w:sz w:val="20"/>
                <w:szCs w:val="20"/>
                <w:color w:val="auto"/>
              </w:rPr>
            </w:pPr>
            <w:r>
              <w:rPr>
                <w:rFonts w:ascii="Arial" w:cs="Arial" w:eastAsia="Arial" w:hAnsi="Arial"/>
                <w:sz w:val="18"/>
                <w:szCs w:val="18"/>
                <w:color w:val="auto"/>
              </w:rPr>
              <w:t>Affairs</w:t>
            </w: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520" w:type="dxa"/>
            <w:vAlign w:val="bottom"/>
            <w:vMerge w:val="continue"/>
          </w:tcPr>
          <w:p>
            <w:pPr>
              <w:spacing w:after="0"/>
              <w:rPr>
                <w:sz w:val="11"/>
                <w:szCs w:val="11"/>
                <w:color w:val="auto"/>
              </w:rPr>
            </w:pPr>
          </w:p>
        </w:tc>
        <w:tc>
          <w:tcPr>
            <w:tcW w:w="2180" w:type="dxa"/>
            <w:vAlign w:val="bottom"/>
            <w:vMerge w:val="continue"/>
          </w:tcPr>
          <w:p>
            <w:pPr>
              <w:spacing w:after="0"/>
              <w:rPr>
                <w:sz w:val="11"/>
                <w:szCs w:val="11"/>
                <w:color w:val="auto"/>
              </w:rPr>
            </w:pPr>
          </w:p>
        </w:tc>
        <w:tc>
          <w:tcPr>
            <w:tcW w:w="258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1680" w:type="dxa"/>
            <w:vAlign w:val="bottom"/>
            <w:vMerge w:val="restart"/>
          </w:tcPr>
          <w:p>
            <w:pPr>
              <w:ind w:left="640"/>
              <w:spacing w:after="0"/>
              <w:rPr>
                <w:sz w:val="20"/>
                <w:szCs w:val="20"/>
                <w:color w:val="auto"/>
              </w:rPr>
            </w:pPr>
            <w:r>
              <w:rPr>
                <w:rFonts w:ascii="Arial" w:cs="Arial" w:eastAsia="Arial" w:hAnsi="Arial"/>
                <w:sz w:val="18"/>
                <w:szCs w:val="18"/>
                <w:color w:val="auto"/>
                <w:w w:val="97"/>
              </w:rPr>
              <w:t>Philanthropic</w:t>
            </w:r>
          </w:p>
        </w:tc>
        <w:tc>
          <w:tcPr>
            <w:tcW w:w="0" w:type="dxa"/>
            <w:vAlign w:val="bottom"/>
          </w:tcPr>
          <w:p>
            <w:pPr>
              <w:spacing w:after="0"/>
              <w:rPr>
                <w:sz w:val="1"/>
                <w:szCs w:val="1"/>
                <w:color w:val="auto"/>
              </w:rPr>
            </w:pPr>
          </w:p>
        </w:tc>
      </w:tr>
      <w:tr>
        <w:trPr>
          <w:trHeight w:val="108"/>
        </w:trPr>
        <w:tc>
          <w:tcPr>
            <w:tcW w:w="15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291465" cy="316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1465" cy="316865"/>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-353695</wp:posOffset>
            </wp:positionV>
            <wp:extent cx="291465" cy="282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1465" cy="28257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-353695</wp:posOffset>
            </wp:positionV>
            <wp:extent cx="291465" cy="282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1465" cy="28257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-353695</wp:posOffset>
            </wp:positionV>
            <wp:extent cx="291465"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-310515</wp:posOffset>
            </wp:positionV>
            <wp:extent cx="291465"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1465" cy="21463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5420" w:type="dxa"/>
            <w:vAlign w:val="bottom"/>
            <w:shd w:val="clear" w:color="auto" w:fill="00A0E0"/>
          </w:tcPr>
          <w:p>
            <w:pPr>
              <w:ind w:left="180"/>
              <w:spacing w:after="0"/>
              <w:rPr>
                <w:sz w:val="20"/>
                <w:szCs w:val="20"/>
                <w:color w:val="auto"/>
              </w:rPr>
            </w:pPr>
            <w:r>
              <w:rPr>
                <w:rFonts w:ascii="Arial" w:cs="Arial" w:eastAsia="Arial" w:hAnsi="Arial"/>
                <w:sz w:val="22"/>
                <w:szCs w:val="22"/>
                <w:b w:val="1"/>
                <w:bCs w:val="1"/>
                <w:color w:val="FFFFFF"/>
              </w:rPr>
              <w:t>Thomas J. Baltimore, Jr.</w:t>
            </w:r>
          </w:p>
        </w:tc>
        <w:tc>
          <w:tcPr>
            <w:tcW w:w="5820" w:type="dxa"/>
            <w:vAlign w:val="bottom"/>
            <w:shd w:val="clear" w:color="auto" w:fill="00A0E0"/>
          </w:tcPr>
          <w:p>
            <w:pPr>
              <w:ind w:left="4560"/>
              <w:spacing w:after="0"/>
              <w:rPr>
                <w:sz w:val="20"/>
                <w:szCs w:val="20"/>
                <w:color w:val="auto"/>
              </w:rPr>
            </w:pPr>
            <w:r>
              <w:rPr>
                <w:rFonts w:ascii="Arial" w:cs="Arial" w:eastAsia="Arial" w:hAnsi="Arial"/>
                <w:sz w:val="18"/>
                <w:szCs w:val="18"/>
                <w:b w:val="1"/>
                <w:bCs w:val="1"/>
                <w:color w:val="FFFFFF"/>
              </w:rPr>
              <w:t>Independent</w:t>
            </w:r>
          </w:p>
        </w:tc>
        <w:tc>
          <w:tcPr>
            <w:tcW w:w="0" w:type="dxa"/>
            <w:vAlign w:val="bottom"/>
          </w:tcPr>
          <w:p>
            <w:pPr>
              <w:spacing w:after="0"/>
              <w:rPr>
                <w:sz w:val="1"/>
                <w:szCs w:val="1"/>
                <w:color w:val="auto"/>
              </w:rPr>
            </w:pPr>
          </w:p>
        </w:tc>
      </w:tr>
      <w:tr>
        <w:trPr>
          <w:trHeight w:val="82"/>
        </w:trPr>
        <w:tc>
          <w:tcPr>
            <w:tcW w:w="11240" w:type="dxa"/>
            <w:vAlign w:val="bottom"/>
            <w:gridSpan w:val="2"/>
            <w:shd w:val="clear" w:color="auto" w:fill="00A0E0"/>
          </w:tcPr>
          <w:p>
            <w:pPr>
              <w:spacing w:after="0"/>
              <w:rPr>
                <w:sz w:val="7"/>
                <w:szCs w:val="7"/>
                <w:color w:val="auto"/>
              </w:rPr>
            </w:pPr>
          </w:p>
        </w:tc>
        <w:tc>
          <w:tcPr>
            <w:tcW w:w="0" w:type="dxa"/>
            <w:vAlign w:val="bottom"/>
          </w:tcPr>
          <w:p>
            <w:pPr>
              <w:spacing w:after="0"/>
              <w:rPr>
                <w:sz w:val="1"/>
                <w:szCs w:val="1"/>
                <w:color w:val="auto"/>
              </w:rPr>
            </w:pPr>
          </w:p>
        </w:tc>
      </w:tr>
      <w:tr>
        <w:trPr>
          <w:trHeight w:val="395"/>
        </w:trPr>
        <w:tc>
          <w:tcPr>
            <w:tcW w:w="11240" w:type="dxa"/>
            <w:vAlign w:val="bottom"/>
            <w:gridSpan w:val="2"/>
            <w:shd w:val="clear" w:color="auto" w:fill="E0F0FB"/>
          </w:tcPr>
          <w:p>
            <w:pPr>
              <w:ind w:left="1640"/>
              <w:spacing w:after="0"/>
              <w:rPr>
                <w:sz w:val="20"/>
                <w:szCs w:val="20"/>
                <w:color w:val="auto"/>
              </w:rPr>
            </w:pPr>
            <w:r>
              <w:rPr>
                <w:rFonts w:ascii="Arial" w:cs="Arial" w:eastAsia="Arial" w:hAnsi="Arial"/>
                <w:sz w:val="18"/>
                <w:szCs w:val="18"/>
                <w:color w:val="auto"/>
              </w:rPr>
              <w:t>Chairman, President and Chief Executive Officer of Park Hotels &amp; Resorts</w:t>
            </w:r>
          </w:p>
        </w:tc>
        <w:tc>
          <w:tcPr>
            <w:tcW w:w="0" w:type="dxa"/>
            <w:vAlign w:val="bottom"/>
          </w:tcPr>
          <w:p>
            <w:pPr>
              <w:spacing w:after="0"/>
              <w:rPr>
                <w:sz w:val="1"/>
                <w:szCs w:val="1"/>
                <w:color w:val="auto"/>
              </w:rPr>
            </w:pPr>
          </w:p>
        </w:tc>
      </w:tr>
      <w:tr>
        <w:trPr>
          <w:trHeight w:val="274"/>
        </w:trPr>
        <w:tc>
          <w:tcPr>
            <w:tcW w:w="5420" w:type="dxa"/>
            <w:vAlign w:val="bottom"/>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tc>
        <w:tc>
          <w:tcPr>
            <w:tcW w:w="5820" w:type="dxa"/>
            <w:vAlign w:val="bottom"/>
            <w:shd w:val="clear" w:color="auto" w:fill="E0F0FB"/>
          </w:tcPr>
          <w:p>
            <w:pPr>
              <w:ind w:left="100"/>
              <w:spacing w:after="0"/>
              <w:rPr>
                <w:sz w:val="20"/>
                <w:szCs w:val="20"/>
                <w:color w:val="auto"/>
              </w:rPr>
            </w:pPr>
            <w:r>
              <w:rPr>
                <w:rFonts w:ascii="Arial" w:cs="Arial" w:eastAsia="Arial" w:hAnsi="Arial"/>
                <w:sz w:val="18"/>
                <w:szCs w:val="18"/>
                <w:b w:val="1"/>
                <w:bCs w:val="1"/>
                <w:color w:val="auto"/>
              </w:rPr>
              <w:t>Other Current Public Company Directorships:</w:t>
            </w:r>
          </w:p>
        </w:tc>
        <w:tc>
          <w:tcPr>
            <w:tcW w:w="0" w:type="dxa"/>
            <w:vAlign w:val="bottom"/>
          </w:tcPr>
          <w:p>
            <w:pPr>
              <w:spacing w:after="0"/>
              <w:rPr>
                <w:sz w:val="1"/>
                <w:szCs w:val="1"/>
                <w:color w:val="auto"/>
              </w:rPr>
            </w:pPr>
          </w:p>
        </w:tc>
      </w:tr>
      <w:tr>
        <w:trPr>
          <w:trHeight w:val="203"/>
        </w:trPr>
        <w:tc>
          <w:tcPr>
            <w:tcW w:w="5420" w:type="dxa"/>
            <w:vAlign w:val="bottom"/>
            <w:vMerge w:val="restart"/>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2023</w:t>
            </w:r>
          </w:p>
        </w:tc>
        <w:tc>
          <w:tcPr>
            <w:tcW w:w="5820" w:type="dxa"/>
            <w:vAlign w:val="bottom"/>
            <w:shd w:val="clear" w:color="auto" w:fill="E0F0FB"/>
          </w:tcPr>
          <w:p>
            <w:pPr>
              <w:ind w:left="100"/>
              <w:spacing w:after="0" w:line="202" w:lineRule="exact"/>
              <w:rPr>
                <w:sz w:val="20"/>
                <w:szCs w:val="20"/>
                <w:color w:val="auto"/>
              </w:rPr>
            </w:pPr>
            <w:r>
              <w:rPr>
                <w:rFonts w:ascii="Arial" w:cs="Arial" w:eastAsia="Arial" w:hAnsi="Arial"/>
                <w:sz w:val="18"/>
                <w:szCs w:val="18"/>
                <w:color w:val="auto"/>
              </w:rPr>
              <w:t>American Express Company,</w:t>
            </w:r>
          </w:p>
        </w:tc>
        <w:tc>
          <w:tcPr>
            <w:tcW w:w="0" w:type="dxa"/>
            <w:vAlign w:val="bottom"/>
          </w:tcPr>
          <w:p>
            <w:pPr>
              <w:spacing w:after="0"/>
              <w:rPr>
                <w:sz w:val="1"/>
                <w:szCs w:val="1"/>
                <w:color w:val="auto"/>
              </w:rPr>
            </w:pPr>
          </w:p>
        </w:tc>
      </w:tr>
      <w:tr>
        <w:trPr>
          <w:trHeight w:val="112"/>
        </w:trPr>
        <w:tc>
          <w:tcPr>
            <w:tcW w:w="5420" w:type="dxa"/>
            <w:vAlign w:val="bottom"/>
            <w:vMerge w:val="continue"/>
            <w:shd w:val="clear" w:color="auto" w:fill="E0F0FB"/>
          </w:tcPr>
          <w:p>
            <w:pPr>
              <w:spacing w:after="0"/>
              <w:rPr>
                <w:sz w:val="9"/>
                <w:szCs w:val="9"/>
                <w:color w:val="auto"/>
              </w:rPr>
            </w:pPr>
          </w:p>
        </w:tc>
        <w:tc>
          <w:tcPr>
            <w:tcW w:w="5820" w:type="dxa"/>
            <w:vAlign w:val="bottom"/>
            <w:vMerge w:val="restart"/>
            <w:shd w:val="clear" w:color="auto" w:fill="E0F0FB"/>
          </w:tcPr>
          <w:p>
            <w:pPr>
              <w:ind w:left="100"/>
              <w:spacing w:after="0"/>
              <w:rPr>
                <w:sz w:val="20"/>
                <w:szCs w:val="20"/>
                <w:color w:val="auto"/>
              </w:rPr>
            </w:pPr>
            <w:r>
              <w:rPr>
                <w:rFonts w:ascii="Arial" w:cs="Arial" w:eastAsia="Arial" w:hAnsi="Arial"/>
                <w:sz w:val="18"/>
                <w:szCs w:val="18"/>
                <w:color w:val="auto"/>
              </w:rPr>
              <w:t>Park Hotels &amp; Resorts, Inc.</w:t>
            </w:r>
          </w:p>
        </w:tc>
        <w:tc>
          <w:tcPr>
            <w:tcW w:w="0" w:type="dxa"/>
            <w:vAlign w:val="bottom"/>
          </w:tcPr>
          <w:p>
            <w:pPr>
              <w:spacing w:after="0"/>
              <w:rPr>
                <w:sz w:val="1"/>
                <w:szCs w:val="1"/>
                <w:color w:val="auto"/>
              </w:rPr>
            </w:pPr>
          </w:p>
        </w:tc>
      </w:tr>
      <w:tr>
        <w:trPr>
          <w:trHeight w:val="127"/>
        </w:trPr>
        <w:tc>
          <w:tcPr>
            <w:tcW w:w="5420" w:type="dxa"/>
            <w:vAlign w:val="bottom"/>
            <w:vMerge w:val="restart"/>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tc>
        <w:tc>
          <w:tcPr>
            <w:tcW w:w="5820" w:type="dxa"/>
            <w:vAlign w:val="bottom"/>
            <w:vMerge w:val="continue"/>
            <w:shd w:val="clear" w:color="auto" w:fill="E0F0FB"/>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5420" w:type="dxa"/>
            <w:vAlign w:val="bottom"/>
            <w:vMerge w:val="continue"/>
            <w:shd w:val="clear" w:color="auto" w:fill="E0F0FB"/>
          </w:tcPr>
          <w:p>
            <w:pPr>
              <w:spacing w:after="0"/>
              <w:rPr>
                <w:sz w:val="13"/>
                <w:szCs w:val="13"/>
                <w:color w:val="auto"/>
              </w:rPr>
            </w:pPr>
          </w:p>
        </w:tc>
        <w:tc>
          <w:tcPr>
            <w:tcW w:w="5820" w:type="dxa"/>
            <w:vAlign w:val="bottom"/>
            <w:vMerge w:val="restart"/>
            <w:shd w:val="clear" w:color="auto" w:fill="E0F0FB"/>
          </w:tcPr>
          <w:p>
            <w:pPr>
              <w:ind w:left="100"/>
              <w:spacing w:after="0"/>
              <w:rPr>
                <w:sz w:val="20"/>
                <w:szCs w:val="20"/>
                <w:color w:val="auto"/>
              </w:rPr>
            </w:pPr>
            <w:r>
              <w:rPr>
                <w:rFonts w:ascii="Arial" w:cs="Arial" w:eastAsia="Arial" w:hAnsi="Arial"/>
                <w:sz w:val="18"/>
                <w:szCs w:val="18"/>
                <w:b w:val="1"/>
                <w:bCs w:val="1"/>
                <w:color w:val="auto"/>
              </w:rPr>
              <w:t>Former Public Company Directorships:</w:t>
            </w:r>
          </w:p>
        </w:tc>
        <w:tc>
          <w:tcPr>
            <w:tcW w:w="0" w:type="dxa"/>
            <w:vAlign w:val="bottom"/>
          </w:tcPr>
          <w:p>
            <w:pPr>
              <w:spacing w:after="0"/>
              <w:rPr>
                <w:sz w:val="1"/>
                <w:szCs w:val="1"/>
                <w:color w:val="auto"/>
              </w:rPr>
            </w:pPr>
          </w:p>
        </w:tc>
      </w:tr>
      <w:tr>
        <w:trPr>
          <w:trHeight w:val="118"/>
        </w:trPr>
        <w:tc>
          <w:tcPr>
            <w:tcW w:w="5420" w:type="dxa"/>
            <w:vAlign w:val="bottom"/>
            <w:shd w:val="clear" w:color="auto" w:fill="E0F0FB"/>
          </w:tcPr>
          <w:p>
            <w:pPr>
              <w:spacing w:after="0"/>
              <w:rPr>
                <w:sz w:val="10"/>
                <w:szCs w:val="10"/>
                <w:color w:val="auto"/>
              </w:rPr>
            </w:pPr>
          </w:p>
        </w:tc>
        <w:tc>
          <w:tcPr>
            <w:tcW w:w="5820" w:type="dxa"/>
            <w:vAlign w:val="bottom"/>
            <w:vMerge w:val="continue"/>
            <w:shd w:val="clear" w:color="auto" w:fill="E0F0FB"/>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5420" w:type="dxa"/>
            <w:vAlign w:val="bottom"/>
            <w:shd w:val="clear" w:color="auto" w:fill="E0F0FB"/>
          </w:tcPr>
          <w:p>
            <w:pPr>
              <w:spacing w:after="0"/>
              <w:rPr>
                <w:sz w:val="20"/>
                <w:szCs w:val="20"/>
                <w:color w:val="auto"/>
              </w:rPr>
            </w:pPr>
          </w:p>
        </w:tc>
        <w:tc>
          <w:tcPr>
            <w:tcW w:w="5820" w:type="dxa"/>
            <w:vAlign w:val="bottom"/>
            <w:shd w:val="clear" w:color="auto" w:fill="E0F0FB"/>
          </w:tcPr>
          <w:p>
            <w:pPr>
              <w:ind w:left="100"/>
              <w:spacing w:after="0"/>
              <w:rPr>
                <w:sz w:val="20"/>
                <w:szCs w:val="20"/>
                <w:color w:val="auto"/>
              </w:rPr>
            </w:pPr>
            <w:r>
              <w:rPr>
                <w:rFonts w:ascii="Arial" w:cs="Arial" w:eastAsia="Arial" w:hAnsi="Arial"/>
                <w:sz w:val="18"/>
                <w:szCs w:val="18"/>
                <w:color w:val="auto"/>
              </w:rPr>
              <w:t>AutoNation, Inc., Prudential Financial, Inc.</w:t>
            </w:r>
          </w:p>
        </w:tc>
        <w:tc>
          <w:tcPr>
            <w:tcW w:w="0" w:type="dxa"/>
            <w:vAlign w:val="bottom"/>
          </w:tcPr>
          <w:p>
            <w:pPr>
              <w:spacing w:after="0"/>
              <w:rPr>
                <w:sz w:val="1"/>
                <w:szCs w:val="1"/>
                <w:color w:val="auto"/>
              </w:rPr>
            </w:pPr>
          </w:p>
        </w:tc>
      </w:tr>
      <w:tr>
        <w:trPr>
          <w:trHeight w:val="158"/>
        </w:trPr>
        <w:tc>
          <w:tcPr>
            <w:tcW w:w="5420" w:type="dxa"/>
            <w:vAlign w:val="bottom"/>
            <w:shd w:val="clear" w:color="auto" w:fill="E0F0FB"/>
          </w:tcPr>
          <w:p>
            <w:pPr>
              <w:spacing w:after="0"/>
              <w:rPr>
                <w:sz w:val="13"/>
                <w:szCs w:val="13"/>
                <w:color w:val="auto"/>
              </w:rPr>
            </w:pPr>
          </w:p>
        </w:tc>
        <w:tc>
          <w:tcPr>
            <w:tcW w:w="5820" w:type="dxa"/>
            <w:vAlign w:val="bottom"/>
            <w:shd w:val="clear" w:color="auto" w:fill="E0F0FB"/>
          </w:tcPr>
          <w:p>
            <w:pPr>
              <w:spacing w:after="0"/>
              <w:rPr>
                <w:sz w:val="13"/>
                <w:szCs w:val="13"/>
                <w:color w:val="auto"/>
              </w:rPr>
            </w:pPr>
          </w:p>
        </w:tc>
        <w:tc>
          <w:tcPr>
            <w:tcW w:w="0" w:type="dxa"/>
            <w:vAlign w:val="bottom"/>
          </w:tcPr>
          <w:p>
            <w:pPr>
              <w:spacing w:after="0"/>
              <w:rPr>
                <w:sz w:val="1"/>
                <w:szCs w:val="1"/>
                <w:color w:val="auto"/>
              </w:rPr>
            </w:pPr>
          </w:p>
        </w:tc>
      </w:tr>
      <w:tr>
        <w:trPr>
          <w:trHeight w:val="444"/>
        </w:trPr>
        <w:tc>
          <w:tcPr>
            <w:tcW w:w="5420" w:type="dxa"/>
            <w:vAlign w:val="bottom"/>
          </w:tcPr>
          <w:p>
            <w:pPr>
              <w:spacing w:after="0"/>
              <w:rPr>
                <w:sz w:val="20"/>
                <w:szCs w:val="20"/>
                <w:color w:val="auto"/>
              </w:rPr>
            </w:pPr>
            <w:r>
              <w:rPr>
                <w:rFonts w:ascii="Arial" w:cs="Arial" w:eastAsia="Arial" w:hAnsi="Arial"/>
                <w:sz w:val="18"/>
                <w:szCs w:val="18"/>
                <w:b w:val="1"/>
                <w:bCs w:val="1"/>
                <w:color w:val="00A0E0"/>
              </w:rPr>
              <w:t>Career Highlights:</w:t>
            </w: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542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Chairman, President and Chief Executive Officer of Park Hotels</w:t>
            </w:r>
          </w:p>
        </w:tc>
        <w:tc>
          <w:tcPr>
            <w:tcW w:w="5820" w:type="dxa"/>
            <w:vAlign w:val="bottom"/>
          </w:tcPr>
          <w:p>
            <w:pPr>
              <w:ind w:left="42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Board Member, University of Virginia Investment Management</w:t>
            </w:r>
          </w:p>
        </w:tc>
        <w:tc>
          <w:tcPr>
            <w:tcW w:w="0" w:type="dxa"/>
            <w:vAlign w:val="bottom"/>
          </w:tcPr>
          <w:p>
            <w:pPr>
              <w:spacing w:after="0"/>
              <w:rPr>
                <w:sz w:val="1"/>
                <w:szCs w:val="1"/>
                <w:color w:val="auto"/>
              </w:rPr>
            </w:pPr>
          </w:p>
        </w:tc>
      </w:tr>
      <w:tr>
        <w:trPr>
          <w:trHeight w:val="199"/>
        </w:trPr>
        <w:tc>
          <w:tcPr>
            <w:tcW w:w="5420" w:type="dxa"/>
            <w:vAlign w:val="bottom"/>
          </w:tcPr>
          <w:p>
            <w:pPr>
              <w:ind w:left="260"/>
              <w:spacing w:after="0" w:line="199" w:lineRule="exact"/>
              <w:rPr>
                <w:sz w:val="20"/>
                <w:szCs w:val="20"/>
                <w:color w:val="auto"/>
              </w:rPr>
            </w:pPr>
            <w:r>
              <w:rPr>
                <w:rFonts w:ascii="Arial" w:cs="Arial" w:eastAsia="Arial" w:hAnsi="Arial"/>
                <w:sz w:val="18"/>
                <w:szCs w:val="18"/>
                <w:color w:val="auto"/>
              </w:rPr>
              <w:t>&amp; Resorts, Inc., a lodging and real estate investment trust, 2017</w:t>
            </w:r>
          </w:p>
        </w:tc>
        <w:tc>
          <w:tcPr>
            <w:tcW w:w="5820" w:type="dxa"/>
            <w:vAlign w:val="bottom"/>
          </w:tcPr>
          <w:p>
            <w:pPr>
              <w:ind w:left="680"/>
              <w:spacing w:after="0" w:line="199" w:lineRule="exact"/>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203"/>
        </w:trPr>
        <w:tc>
          <w:tcPr>
            <w:tcW w:w="5420" w:type="dxa"/>
            <w:vAlign w:val="bottom"/>
          </w:tcPr>
          <w:p>
            <w:pPr>
              <w:ind w:left="260"/>
              <w:spacing w:after="0" w:line="202" w:lineRule="exact"/>
              <w:rPr>
                <w:sz w:val="20"/>
                <w:szCs w:val="20"/>
                <w:color w:val="auto"/>
              </w:rPr>
            </w:pPr>
            <w:r>
              <w:rPr>
                <w:rFonts w:ascii="Arial" w:cs="Arial" w:eastAsia="Arial" w:hAnsi="Arial"/>
                <w:sz w:val="18"/>
                <w:szCs w:val="18"/>
                <w:color w:val="auto"/>
              </w:rPr>
              <w:t>– Present</w:t>
            </w:r>
          </w:p>
        </w:tc>
        <w:tc>
          <w:tcPr>
            <w:tcW w:w="5820" w:type="dxa"/>
            <w:vAlign w:val="bottom"/>
          </w:tcPr>
          <w:p>
            <w:pPr>
              <w:ind w:left="42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Board Member, The Real Estate Roundtable</w:t>
            </w:r>
          </w:p>
        </w:tc>
        <w:tc>
          <w:tcPr>
            <w:tcW w:w="0" w:type="dxa"/>
            <w:vAlign w:val="bottom"/>
          </w:tcPr>
          <w:p>
            <w:pPr>
              <w:spacing w:after="0"/>
              <w:rPr>
                <w:sz w:val="1"/>
                <w:szCs w:val="1"/>
                <w:color w:val="auto"/>
              </w:rPr>
            </w:pPr>
          </w:p>
        </w:tc>
      </w:tr>
      <w:tr>
        <w:trPr>
          <w:trHeight w:val="206"/>
        </w:trPr>
        <w:tc>
          <w:tcPr>
            <w:tcW w:w="542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President, Chief Executive Officer and Member of Board of</w:t>
            </w:r>
          </w:p>
        </w:tc>
        <w:tc>
          <w:tcPr>
            <w:tcW w:w="5820" w:type="dxa"/>
            <w:vAlign w:val="bottom"/>
          </w:tcPr>
          <w:p>
            <w:pPr>
              <w:ind w:left="42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Executive Committee Member, American Hotel &amp; Lodging</w:t>
            </w:r>
          </w:p>
        </w:tc>
        <w:tc>
          <w:tcPr>
            <w:tcW w:w="0" w:type="dxa"/>
            <w:vAlign w:val="bottom"/>
          </w:tcPr>
          <w:p>
            <w:pPr>
              <w:spacing w:after="0"/>
              <w:rPr>
                <w:sz w:val="1"/>
                <w:szCs w:val="1"/>
                <w:color w:val="auto"/>
              </w:rPr>
            </w:pPr>
          </w:p>
        </w:tc>
      </w:tr>
      <w:tr>
        <w:trPr>
          <w:trHeight w:val="199"/>
        </w:trPr>
        <w:tc>
          <w:tcPr>
            <w:tcW w:w="5420" w:type="dxa"/>
            <w:vAlign w:val="bottom"/>
          </w:tcPr>
          <w:p>
            <w:pPr>
              <w:ind w:left="260"/>
              <w:spacing w:after="0" w:line="199" w:lineRule="exact"/>
              <w:rPr>
                <w:sz w:val="20"/>
                <w:szCs w:val="20"/>
                <w:color w:val="auto"/>
              </w:rPr>
            </w:pPr>
            <w:r>
              <w:rPr>
                <w:rFonts w:ascii="Arial" w:cs="Arial" w:eastAsia="Arial" w:hAnsi="Arial"/>
                <w:sz w:val="18"/>
                <w:szCs w:val="18"/>
                <w:color w:val="auto"/>
              </w:rPr>
              <w:t>Trustees of RLJ Lodging Trust, 2011 – 2016</w:t>
            </w:r>
          </w:p>
        </w:tc>
        <w:tc>
          <w:tcPr>
            <w:tcW w:w="5820" w:type="dxa"/>
            <w:vAlign w:val="bottom"/>
          </w:tcPr>
          <w:p>
            <w:pPr>
              <w:ind w:left="680"/>
              <w:spacing w:after="0" w:line="199" w:lineRule="exact"/>
              <w:rPr>
                <w:sz w:val="20"/>
                <w:szCs w:val="20"/>
                <w:color w:val="auto"/>
              </w:rPr>
            </w:pPr>
            <w:r>
              <w:rPr>
                <w:rFonts w:ascii="Arial" w:cs="Arial" w:eastAsia="Arial" w:hAnsi="Arial"/>
                <w:sz w:val="18"/>
                <w:szCs w:val="18"/>
                <w:color w:val="auto"/>
              </w:rPr>
              <w:t>Association</w:t>
            </w:r>
          </w:p>
        </w:tc>
        <w:tc>
          <w:tcPr>
            <w:tcW w:w="0" w:type="dxa"/>
            <w:vAlign w:val="bottom"/>
          </w:tcPr>
          <w:p>
            <w:pPr>
              <w:spacing w:after="0"/>
              <w:rPr>
                <w:sz w:val="1"/>
                <w:szCs w:val="1"/>
                <w:color w:val="auto"/>
              </w:rPr>
            </w:pPr>
          </w:p>
        </w:tc>
      </w:tr>
      <w:tr>
        <w:trPr>
          <w:trHeight w:val="206"/>
        </w:trPr>
        <w:tc>
          <w:tcPr>
            <w:tcW w:w="542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Co-Founder and President, RLJ Development, LLC, 2000 –</w:t>
            </w:r>
          </w:p>
        </w:tc>
        <w:tc>
          <w:tcPr>
            <w:tcW w:w="5820" w:type="dxa"/>
            <w:vAlign w:val="bottom"/>
          </w:tcPr>
          <w:p>
            <w:pPr>
              <w:ind w:left="42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Board Member, UVA McIntire School of Commerce Foundation</w:t>
            </w:r>
          </w:p>
        </w:tc>
        <w:tc>
          <w:tcPr>
            <w:tcW w:w="0" w:type="dxa"/>
            <w:vAlign w:val="bottom"/>
          </w:tcPr>
          <w:p>
            <w:pPr>
              <w:spacing w:after="0"/>
              <w:rPr>
                <w:sz w:val="1"/>
                <w:szCs w:val="1"/>
                <w:color w:val="auto"/>
              </w:rPr>
            </w:pPr>
          </w:p>
        </w:tc>
      </w:tr>
      <w:tr>
        <w:trPr>
          <w:trHeight w:val="199"/>
        </w:trPr>
        <w:tc>
          <w:tcPr>
            <w:tcW w:w="5420" w:type="dxa"/>
            <w:vAlign w:val="bottom"/>
          </w:tcPr>
          <w:p>
            <w:pPr>
              <w:ind w:left="260"/>
              <w:spacing w:after="0" w:line="199" w:lineRule="exact"/>
              <w:rPr>
                <w:sz w:val="20"/>
                <w:szCs w:val="20"/>
                <w:color w:val="auto"/>
              </w:rPr>
            </w:pPr>
            <w:r>
              <w:rPr>
                <w:rFonts w:ascii="Arial" w:cs="Arial" w:eastAsia="Arial" w:hAnsi="Arial"/>
                <w:sz w:val="18"/>
                <w:szCs w:val="18"/>
                <w:color w:val="auto"/>
              </w:rPr>
              <w:t>2011</w:t>
            </w:r>
          </w:p>
        </w:tc>
        <w:tc>
          <w:tcPr>
            <w:tcW w:w="5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2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Various management positions at Hilton Hotels Corporation,</w:t>
            </w:r>
          </w:p>
        </w:tc>
        <w:tc>
          <w:tcPr>
            <w:tcW w:w="5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420" w:type="dxa"/>
            <w:vAlign w:val="bottom"/>
          </w:tcPr>
          <w:p>
            <w:pPr>
              <w:ind w:left="260"/>
              <w:spacing w:after="0"/>
              <w:rPr>
                <w:sz w:val="20"/>
                <w:szCs w:val="20"/>
                <w:color w:val="auto"/>
              </w:rPr>
            </w:pPr>
            <w:r>
              <w:rPr>
                <w:rFonts w:ascii="Arial" w:cs="Arial" w:eastAsia="Arial" w:hAnsi="Arial"/>
                <w:sz w:val="18"/>
                <w:szCs w:val="18"/>
                <w:color w:val="auto"/>
              </w:rPr>
              <w:t>Marriott Corporation and Host Marriott Services Corporation</w:t>
            </w:r>
          </w:p>
        </w:tc>
        <w:tc>
          <w:tcPr>
            <w:tcW w:w="5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-2590800</wp:posOffset>
            </wp:positionV>
            <wp:extent cx="805815" cy="805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Skills and Qualifications:</w:t>
      </w:r>
    </w:p>
    <w:p>
      <w:pPr>
        <w:spacing w:after="0" w:line="212" w:lineRule="exact"/>
        <w:rPr>
          <w:sz w:val="20"/>
          <w:szCs w:val="20"/>
          <w:color w:val="auto"/>
        </w:rPr>
      </w:pPr>
    </w:p>
    <w:p>
      <w:pPr>
        <w:jc w:val="both"/>
        <w:ind w:right="460"/>
        <w:spacing w:after="0" w:line="301" w:lineRule="auto"/>
        <w:rPr>
          <w:sz w:val="20"/>
          <w:szCs w:val="20"/>
          <w:color w:val="auto"/>
        </w:rPr>
      </w:pPr>
      <w:r>
        <w:rPr>
          <w:rFonts w:ascii="Arial" w:cs="Arial" w:eastAsia="Arial" w:hAnsi="Arial"/>
          <w:sz w:val="17"/>
          <w:szCs w:val="17"/>
          <w:color w:val="auto"/>
        </w:rPr>
        <w:t>We believe that Mr. Baltimore’s executive leadership experience as a president and chief executive officer, extensive risk management, finance and strategy expertise, as well as his experience in the hospitality industry, render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291465" cy="325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1465" cy="3257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103505</wp:posOffset>
            </wp:positionV>
            <wp:extent cx="291465" cy="3003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1465" cy="3003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103505</wp:posOffset>
            </wp:positionV>
            <wp:extent cx="291465" cy="291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103505</wp:posOffset>
            </wp:positionV>
            <wp:extent cx="291465" cy="291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151" w:lineRule="exact"/>
        <w:rPr>
          <w:sz w:val="20"/>
          <w:szCs w:val="20"/>
          <w:color w:val="auto"/>
        </w:rPr>
      </w:pPr>
    </w:p>
    <w:p>
      <w:pPr>
        <w:ind w:left="580"/>
        <w:spacing w:after="0"/>
        <w:tabs>
          <w:tab w:leader="none" w:pos="2600" w:val="left"/>
          <w:tab w:leader="none" w:pos="4940" w:val="left"/>
          <w:tab w:leader="none" w:pos="7400" w:val="left"/>
          <w:tab w:leader="none" w:pos="948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8"/>
          <w:szCs w:val="18"/>
          <w:color w:val="auto"/>
        </w:rPr>
        <w:t>Relevant Industry</w:t>
      </w:r>
      <w:r>
        <w:rPr>
          <w:sz w:val="20"/>
          <w:szCs w:val="20"/>
          <w:color w:val="auto"/>
        </w:rPr>
        <w:tab/>
      </w:r>
      <w:r>
        <w:rPr>
          <w:rFonts w:ascii="Arial" w:cs="Arial" w:eastAsia="Arial" w:hAnsi="Arial"/>
          <w:sz w:val="18"/>
          <w:szCs w:val="18"/>
          <w:color w:val="auto"/>
        </w:rPr>
        <w:t>Consumer Products/</w:t>
      </w:r>
      <w:r>
        <w:rPr>
          <w:sz w:val="20"/>
          <w:szCs w:val="20"/>
          <w:color w:val="auto"/>
        </w:rPr>
        <w:tab/>
      </w:r>
      <w:r>
        <w:rPr>
          <w:rFonts w:ascii="Arial" w:cs="Arial" w:eastAsia="Arial" w:hAnsi="Arial"/>
          <w:sz w:val="18"/>
          <w:szCs w:val="18"/>
          <w:color w:val="auto"/>
        </w:rPr>
        <w:t>Financial/</w:t>
      </w:r>
      <w:r>
        <w:rPr>
          <w:sz w:val="20"/>
          <w:szCs w:val="20"/>
          <w:color w:val="auto"/>
        </w:rPr>
        <w:tab/>
      </w:r>
      <w:r>
        <w:rPr>
          <w:rFonts w:ascii="Arial" w:cs="Arial" w:eastAsia="Arial" w:hAnsi="Arial"/>
          <w:sz w:val="17"/>
          <w:szCs w:val="17"/>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-84455</wp:posOffset>
            </wp:positionV>
            <wp:extent cx="291465" cy="196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1465" cy="196850"/>
                    </a:xfrm>
                    <a:prstGeom prst="rect">
                      <a:avLst/>
                    </a:prstGeom>
                    <a:noFill/>
                  </pic:spPr>
                </pic:pic>
              </a:graphicData>
            </a:graphic>
          </wp:anchor>
        </w:drawing>
      </w:r>
    </w:p>
    <w:p>
      <w:pPr>
        <w:ind w:left="580"/>
        <w:spacing w:after="0"/>
        <w:tabs>
          <w:tab w:leader="none" w:pos="2600" w:val="left"/>
          <w:tab w:leader="none" w:pos="4940" w:val="left"/>
          <w:tab w:leader="none" w:pos="7400" w:val="left"/>
          <w:tab w:leader="none" w:pos="9480" w:val="left"/>
        </w:tabs>
        <w:rPr>
          <w:sz w:val="20"/>
          <w:szCs w:val="20"/>
          <w:color w:val="auto"/>
        </w:rPr>
      </w:pPr>
      <w:r>
        <w:rPr>
          <w:rFonts w:ascii="Arial" w:cs="Arial" w:eastAsia="Arial" w:hAnsi="Arial"/>
          <w:sz w:val="18"/>
          <w:szCs w:val="18"/>
          <w:color w:val="auto"/>
        </w:rPr>
        <w:t>Leadership</w:t>
      </w:r>
      <w:r>
        <w:rPr>
          <w:sz w:val="20"/>
          <w:szCs w:val="20"/>
          <w:color w:val="auto"/>
        </w:rPr>
        <w:tab/>
      </w:r>
      <w:r>
        <w:rPr>
          <w:rFonts w:ascii="Arial" w:cs="Arial" w:eastAsia="Arial" w:hAnsi="Arial"/>
          <w:sz w:val="18"/>
          <w:szCs w:val="18"/>
          <w:color w:val="auto"/>
        </w:rPr>
        <w:t>Experience</w:t>
      </w:r>
      <w:r>
        <w:rPr>
          <w:sz w:val="20"/>
          <w:szCs w:val="20"/>
          <w:color w:val="auto"/>
        </w:rPr>
        <w:tab/>
      </w:r>
      <w:r>
        <w:rPr>
          <w:rFonts w:ascii="Arial" w:cs="Arial" w:eastAsia="Arial" w:hAnsi="Arial"/>
          <w:sz w:val="18"/>
          <w:szCs w:val="18"/>
          <w:color w:val="auto"/>
        </w:rPr>
        <w:t>Customer-Oriented</w:t>
      </w:r>
      <w:r>
        <w:rPr>
          <w:sz w:val="20"/>
          <w:szCs w:val="20"/>
          <w:color w:val="auto"/>
        </w:rPr>
        <w:tab/>
      </w:r>
      <w:r>
        <w:rPr>
          <w:rFonts w:ascii="Arial" w:cs="Arial" w:eastAsia="Arial" w:hAnsi="Arial"/>
          <w:sz w:val="18"/>
          <w:szCs w:val="18"/>
          <w:color w:val="auto"/>
        </w:rPr>
        <w:t>Accounting</w:t>
      </w:r>
      <w:r>
        <w:rPr>
          <w:sz w:val="20"/>
          <w:szCs w:val="20"/>
          <w:color w:val="auto"/>
        </w:rPr>
        <w:tab/>
      </w:r>
      <w:r>
        <w:rPr>
          <w:rFonts w:ascii="Arial" w:cs="Arial" w:eastAsia="Arial" w:hAnsi="Arial"/>
          <w:sz w:val="17"/>
          <w:szCs w:val="17"/>
          <w:color w:val="auto"/>
        </w:rPr>
        <w:t>Oversight</w:t>
      </w:r>
    </w:p>
    <w:p>
      <w:pPr>
        <w:sectPr>
          <w:pgSz w:w="11900" w:h="16838" w:orient="portrait"/>
          <w:cols w:equalWidth="0" w:num="1">
            <w:col w:w="11240"/>
          </w:cols>
          <w:pgMar w:left="320" w:top="122" w:right="339" w:bottom="1440" w:gutter="0" w:footer="0" w:header="0"/>
        </w:sectPr>
      </w:pPr>
    </w:p>
    <w:p>
      <w:pPr>
        <w:spacing w:after="0" w:line="279" w:lineRule="exact"/>
        <w:rPr>
          <w:sz w:val="20"/>
          <w:szCs w:val="20"/>
          <w:color w:val="auto"/>
        </w:rPr>
      </w:pPr>
    </w:p>
    <w:p>
      <w:pPr>
        <w:ind w:left="9520"/>
        <w:spacing w:after="0"/>
        <w:tabs>
          <w:tab w:leader="none" w:pos="11080" w:val="left"/>
        </w:tabs>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r>
        <w:rPr>
          <w:sz w:val="20"/>
          <w:szCs w:val="20"/>
          <w:color w:val="auto"/>
        </w:rPr>
        <w:tab/>
      </w:r>
      <w:r>
        <w:rPr>
          <w:rFonts w:ascii="Arial" w:cs="Arial" w:eastAsia="Arial" w:hAnsi="Arial"/>
          <w:sz w:val="12"/>
          <w:szCs w:val="12"/>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91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89" w:lineRule="exact"/>
        <w:rPr>
          <w:sz w:val="20"/>
          <w:szCs w:val="20"/>
          <w:color w:val="auto"/>
        </w:rPr>
      </w:pPr>
    </w:p>
    <w:p>
      <w:pPr>
        <w:ind w:left="180"/>
        <w:spacing w:after="0"/>
        <w:tabs>
          <w:tab w:leader="none" w:pos="9960" w:val="left"/>
        </w:tabs>
        <w:rPr>
          <w:sz w:val="20"/>
          <w:szCs w:val="20"/>
          <w:color w:val="auto"/>
        </w:rPr>
      </w:pPr>
      <w:r>
        <w:rPr>
          <w:rFonts w:ascii="Arial" w:cs="Arial" w:eastAsia="Arial" w:hAnsi="Arial"/>
          <w:sz w:val="22"/>
          <w:szCs w:val="22"/>
          <w:b w:val="1"/>
          <w:bCs w:val="1"/>
          <w:color w:val="FFFFFF"/>
        </w:rPr>
        <w:t>Madeline S. Bell</w:t>
      </w:r>
      <w:r>
        <w:rPr>
          <w:sz w:val="20"/>
          <w:szCs w:val="20"/>
          <w:color w:val="auto"/>
        </w:rPr>
        <w:tab/>
      </w:r>
      <w:r>
        <w:rPr>
          <w:rFonts w:ascii="Arial" w:cs="Arial" w:eastAsia="Arial" w:hAnsi="Arial"/>
          <w:sz w:val="18"/>
          <w:szCs w:val="18"/>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045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045845"/>
                    </a:xfrm>
                    <a:prstGeom prst="rect">
                      <a:avLst/>
                    </a:prstGeom>
                    <a:noFill/>
                  </pic:spPr>
                </pic:pic>
              </a:graphicData>
            </a:graphic>
          </wp:anchor>
        </w:drawing>
      </w:r>
    </w:p>
    <w:p>
      <w:pPr>
        <w:spacing w:after="0" w:line="2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President and Chief Executive Officer of The Children’s Hospital of Philadelphia</w:t>
      </w:r>
    </w:p>
    <w:p>
      <w:pPr>
        <w:spacing w:after="0" w:line="158"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February 2016</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Governance and Corporate Responsibility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Career Highlights:</w:t>
      </w:r>
    </w:p>
    <w:p>
      <w:pPr>
        <w:spacing w:after="0" w:line="212" w:lineRule="exact"/>
        <w:rPr>
          <w:sz w:val="20"/>
          <w:szCs w:val="20"/>
          <w:color w:val="auto"/>
        </w:rPr>
      </w:pPr>
    </w:p>
    <w:p>
      <w:pPr>
        <w:ind w:left="260" w:right="40" w:hanging="252"/>
        <w:spacing w:after="0" w:line="241" w:lineRule="auto"/>
        <w:tabs>
          <w:tab w:leader="none" w:pos="260" w:val="left"/>
        </w:tabs>
        <w:numPr>
          <w:ilvl w:val="0"/>
          <w:numId w:val="18"/>
        </w:numPr>
        <w:rPr>
          <w:rFonts w:ascii="Arial" w:cs="Arial" w:eastAsia="Arial" w:hAnsi="Arial"/>
          <w:sz w:val="17"/>
          <w:szCs w:val="17"/>
          <w:color w:val="00A0E0"/>
        </w:rPr>
      </w:pPr>
      <w:r>
        <w:rPr>
          <w:rFonts w:ascii="Arial" w:cs="Arial" w:eastAsia="Arial" w:hAnsi="Arial"/>
          <w:sz w:val="18"/>
          <w:szCs w:val="18"/>
          <w:color w:val="auto"/>
        </w:rPr>
        <w:t>President and Chief Executive Officer, The Children’s Hospital of Philadelphia (“CHOP”), a top-ranked children’s health system and research institute, 2015 – Present</w:t>
      </w:r>
    </w:p>
    <w:p>
      <w:pPr>
        <w:spacing w:after="0" w:line="1" w:lineRule="exact"/>
        <w:rPr>
          <w:rFonts w:ascii="Arial" w:cs="Arial" w:eastAsia="Arial" w:hAnsi="Arial"/>
          <w:sz w:val="17"/>
          <w:szCs w:val="17"/>
          <w:color w:val="00A0E0"/>
        </w:rPr>
      </w:pPr>
    </w:p>
    <w:p>
      <w:pPr>
        <w:ind w:left="260" w:right="300" w:hanging="252"/>
        <w:spacing w:after="0" w:line="234" w:lineRule="auto"/>
        <w:tabs>
          <w:tab w:leader="none" w:pos="260" w:val="left"/>
        </w:tabs>
        <w:numPr>
          <w:ilvl w:val="0"/>
          <w:numId w:val="18"/>
        </w:numPr>
        <w:rPr>
          <w:rFonts w:ascii="Arial" w:cs="Arial" w:eastAsia="Arial" w:hAnsi="Arial"/>
          <w:sz w:val="17"/>
          <w:szCs w:val="17"/>
          <w:color w:val="00A0E0"/>
        </w:rPr>
      </w:pPr>
      <w:r>
        <w:rPr>
          <w:rFonts w:ascii="Arial" w:cs="Arial" w:eastAsia="Arial" w:hAnsi="Arial"/>
          <w:sz w:val="18"/>
          <w:szCs w:val="18"/>
          <w:color w:val="auto"/>
        </w:rPr>
        <w:t>Multiple Leadership Roles, including Chief Operating Officer, CHOP, 1995 – 2015</w:t>
      </w:r>
    </w:p>
    <w:p>
      <w:pPr>
        <w:spacing w:after="0" w:line="1" w:lineRule="exact"/>
        <w:rPr>
          <w:rFonts w:ascii="Arial" w:cs="Arial" w:eastAsia="Arial" w:hAnsi="Arial"/>
          <w:sz w:val="17"/>
          <w:szCs w:val="17"/>
          <w:color w:val="00A0E0"/>
        </w:rPr>
      </w:pPr>
    </w:p>
    <w:p>
      <w:pPr>
        <w:ind w:left="260" w:hanging="252"/>
        <w:spacing w:after="0"/>
        <w:tabs>
          <w:tab w:leader="none" w:pos="260" w:val="left"/>
        </w:tabs>
        <w:numPr>
          <w:ilvl w:val="0"/>
          <w:numId w:val="18"/>
        </w:numPr>
        <w:rPr>
          <w:rFonts w:ascii="Arial" w:cs="Arial" w:eastAsia="Arial" w:hAnsi="Arial"/>
          <w:sz w:val="17"/>
          <w:szCs w:val="17"/>
          <w:color w:val="00A0E0"/>
        </w:rPr>
      </w:pPr>
      <w:r>
        <w:rPr>
          <w:rFonts w:ascii="Arial" w:cs="Arial" w:eastAsia="Arial" w:hAnsi="Arial"/>
          <w:sz w:val="18"/>
          <w:szCs w:val="18"/>
          <w:color w:val="auto"/>
        </w:rPr>
        <w:t>Began career as a pediatric nurse in 1983, moved from a variety of different nursing roles into hospital administration in 1989 and holds a Master of Science in Organizational Dynamics from the University of Pennsylvania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Skills and Qualifications: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51" w:hanging="251"/>
        <w:spacing w:after="0"/>
        <w:tabs>
          <w:tab w:leader="none" w:pos="251" w:val="left"/>
        </w:tabs>
        <w:numPr>
          <w:ilvl w:val="0"/>
          <w:numId w:val="19"/>
        </w:numPr>
        <w:rPr>
          <w:rFonts w:ascii="Arial" w:cs="Arial" w:eastAsia="Arial" w:hAnsi="Arial"/>
          <w:sz w:val="17"/>
          <w:szCs w:val="17"/>
          <w:color w:val="00A0E0"/>
        </w:rPr>
      </w:pPr>
      <w:r>
        <w:rPr>
          <w:rFonts w:ascii="Arial" w:cs="Arial" w:eastAsia="Arial" w:hAnsi="Arial"/>
          <w:sz w:val="18"/>
          <w:szCs w:val="18"/>
          <w:color w:val="auto"/>
        </w:rPr>
        <w:t>Board Member, Leonard Davis Institute of Health Economics</w:t>
      </w:r>
    </w:p>
    <w:p>
      <w:pPr>
        <w:spacing w:after="0" w:line="13" w:lineRule="exact"/>
        <w:rPr>
          <w:rFonts w:ascii="Arial" w:cs="Arial" w:eastAsia="Arial" w:hAnsi="Arial"/>
          <w:sz w:val="17"/>
          <w:szCs w:val="17"/>
          <w:color w:val="00A0E0"/>
        </w:rPr>
      </w:pPr>
    </w:p>
    <w:p>
      <w:pPr>
        <w:ind w:left="251" w:hanging="251"/>
        <w:spacing w:after="0" w:line="234" w:lineRule="auto"/>
        <w:tabs>
          <w:tab w:leader="none" w:pos="251" w:val="left"/>
        </w:tabs>
        <w:numPr>
          <w:ilvl w:val="0"/>
          <w:numId w:val="19"/>
        </w:numPr>
        <w:rPr>
          <w:rFonts w:ascii="Arial" w:cs="Arial" w:eastAsia="Arial" w:hAnsi="Arial"/>
          <w:sz w:val="17"/>
          <w:szCs w:val="17"/>
          <w:color w:val="00A0E0"/>
        </w:rPr>
      </w:pPr>
      <w:r>
        <w:rPr>
          <w:rFonts w:ascii="Arial" w:cs="Arial" w:eastAsia="Arial" w:hAnsi="Arial"/>
          <w:sz w:val="18"/>
          <w:szCs w:val="18"/>
          <w:color w:val="auto"/>
        </w:rPr>
        <w:t>Board Member, Solutions for Patient Safety</w:t>
      </w:r>
    </w:p>
    <w:p>
      <w:pPr>
        <w:ind w:left="251" w:hanging="251"/>
        <w:spacing w:after="0" w:line="234" w:lineRule="auto"/>
        <w:tabs>
          <w:tab w:leader="none" w:pos="251" w:val="left"/>
        </w:tabs>
        <w:numPr>
          <w:ilvl w:val="0"/>
          <w:numId w:val="19"/>
        </w:numPr>
        <w:rPr>
          <w:rFonts w:ascii="Arial" w:cs="Arial" w:eastAsia="Arial" w:hAnsi="Arial"/>
          <w:sz w:val="17"/>
          <w:szCs w:val="17"/>
          <w:color w:val="00A0E0"/>
        </w:rPr>
      </w:pPr>
      <w:r>
        <w:rPr>
          <w:rFonts w:ascii="Arial" w:cs="Arial" w:eastAsia="Arial" w:hAnsi="Arial"/>
          <w:sz w:val="18"/>
          <w:szCs w:val="18"/>
          <w:color w:val="auto"/>
        </w:rPr>
        <w:t>Executive Committee Member, Greater Philadelphia Chamber of Commerce and Member, CEO Council for Growth</w:t>
      </w:r>
    </w:p>
    <w:p>
      <w:pPr>
        <w:spacing w:after="0" w:line="1" w:lineRule="exact"/>
        <w:rPr>
          <w:rFonts w:ascii="Arial" w:cs="Arial" w:eastAsia="Arial" w:hAnsi="Arial"/>
          <w:sz w:val="17"/>
          <w:szCs w:val="17"/>
          <w:color w:val="00A0E0"/>
        </w:rPr>
      </w:pPr>
    </w:p>
    <w:p>
      <w:pPr>
        <w:ind w:left="251" w:hanging="251"/>
        <w:spacing w:after="0"/>
        <w:tabs>
          <w:tab w:leader="none" w:pos="251" w:val="left"/>
        </w:tabs>
        <w:numPr>
          <w:ilvl w:val="0"/>
          <w:numId w:val="19"/>
        </w:numPr>
        <w:rPr>
          <w:rFonts w:ascii="Arial" w:cs="Arial" w:eastAsia="Arial" w:hAnsi="Arial"/>
          <w:sz w:val="17"/>
          <w:szCs w:val="17"/>
          <w:color w:val="00A0E0"/>
        </w:rPr>
      </w:pPr>
      <w:r>
        <w:rPr>
          <w:rFonts w:ascii="Arial" w:cs="Arial" w:eastAsia="Arial" w:hAnsi="Arial"/>
          <w:sz w:val="18"/>
          <w:szCs w:val="18"/>
          <w:color w:val="auto"/>
        </w:rPr>
        <w:t>Former Board Chair, Federal Reserve Bank of Philadelphia</w:t>
      </w:r>
    </w:p>
    <w:p>
      <w:pPr>
        <w:spacing w:after="0" w:line="1410" w:lineRule="exact"/>
        <w:rPr>
          <w:sz w:val="20"/>
          <w:szCs w:val="20"/>
          <w:color w:val="auto"/>
        </w:rPr>
      </w:pPr>
    </w:p>
    <w:p>
      <w:pPr>
        <w:sectPr>
          <w:pgSz w:w="11900" w:h="16838" w:orient="portrait"/>
          <w:cols w:equalWidth="0" w:num="2">
            <w:col w:w="5380" w:space="469"/>
            <w:col w:w="5391"/>
          </w:cols>
          <w:pgMar w:left="320" w:top="122" w:right="339" w:bottom="1440" w:gutter="0" w:footer="0" w:header="0"/>
          <w:type w:val="continuous"/>
        </w:sectPr>
      </w:pPr>
    </w:p>
    <w:p>
      <w:pPr>
        <w:spacing w:after="0" w:line="1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believe that Ms. Bell’s experience and leadership of CHOP, including her oversight of risk management efforts, and her experience in the non-profit community render her qualified to serve as one of our directors.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2840" w:type="dxa"/>
            <w:vAlign w:val="bottom"/>
            <w:vMerge w:val="restart"/>
          </w:tcPr>
          <w:p>
            <w:pPr>
              <w:ind w:left="580"/>
              <w:spacing w:after="0"/>
              <w:rPr>
                <w:sz w:val="20"/>
                <w:szCs w:val="20"/>
                <w:color w:val="auto"/>
              </w:rPr>
            </w:pPr>
            <w:r>
              <w:rPr>
                <w:rFonts w:ascii="Arial" w:cs="Arial" w:eastAsia="Arial" w:hAnsi="Arial"/>
                <w:sz w:val="18"/>
                <w:szCs w:val="18"/>
                <w:color w:val="auto"/>
              </w:rPr>
              <w:t>Consumer Products/</w:t>
            </w:r>
          </w:p>
        </w:tc>
        <w:tc>
          <w:tcPr>
            <w:tcW w:w="2760" w:type="dxa"/>
            <w:vAlign w:val="bottom"/>
            <w:vMerge w:val="restart"/>
          </w:tcPr>
          <w:p>
            <w:pPr>
              <w:ind w:left="620"/>
              <w:spacing w:after="0"/>
              <w:rPr>
                <w:sz w:val="20"/>
                <w:szCs w:val="20"/>
                <w:color w:val="auto"/>
              </w:rPr>
            </w:pPr>
            <w:r>
              <w:rPr>
                <w:rFonts w:ascii="Arial" w:cs="Arial" w:eastAsia="Arial" w:hAnsi="Arial"/>
                <w:sz w:val="18"/>
                <w:szCs w:val="18"/>
                <w:color w:val="auto"/>
              </w:rPr>
              <w:t>Risk Management</w:t>
            </w:r>
          </w:p>
        </w:tc>
        <w:tc>
          <w:tcPr>
            <w:tcW w:w="1720" w:type="dxa"/>
            <w:vAlign w:val="bottom"/>
          </w:tcPr>
          <w:p>
            <w:pPr>
              <w:ind w:left="680"/>
              <w:spacing w:after="0"/>
              <w:rPr>
                <w:sz w:val="20"/>
                <w:szCs w:val="20"/>
                <w:color w:val="auto"/>
              </w:rPr>
            </w:pPr>
            <w:r>
              <w:rPr>
                <w:rFonts w:ascii="Arial" w:cs="Arial" w:eastAsia="Arial" w:hAnsi="Arial"/>
                <w:sz w:val="18"/>
                <w:szCs w:val="18"/>
                <w:color w:val="auto"/>
              </w:rPr>
              <w:t>Non-Profit/</w:t>
            </w:r>
          </w:p>
        </w:tc>
        <w:tc>
          <w:tcPr>
            <w:tcW w:w="0" w:type="dxa"/>
            <w:vAlign w:val="bottom"/>
          </w:tcPr>
          <w:p>
            <w:pPr>
              <w:spacing w:after="0"/>
              <w:rPr>
                <w:sz w:val="1"/>
                <w:szCs w:val="1"/>
                <w:color w:val="auto"/>
              </w:rPr>
            </w:pPr>
          </w:p>
        </w:tc>
      </w:tr>
      <w:tr>
        <w:trPr>
          <w:trHeight w:val="95"/>
        </w:trPr>
        <w:tc>
          <w:tcPr>
            <w:tcW w:w="2300" w:type="dxa"/>
            <w:vAlign w:val="bottom"/>
            <w:vMerge w:val="restart"/>
          </w:tcPr>
          <w:p>
            <w:pPr>
              <w:spacing w:after="0" w:line="202" w:lineRule="exact"/>
              <w:rPr>
                <w:sz w:val="20"/>
                <w:szCs w:val="20"/>
                <w:color w:val="auto"/>
              </w:rPr>
            </w:pPr>
            <w:r>
              <w:rPr>
                <w:rFonts w:ascii="Arial" w:cs="Arial" w:eastAsia="Arial" w:hAnsi="Arial"/>
                <w:sz w:val="18"/>
                <w:szCs w:val="18"/>
                <w:color w:val="auto"/>
              </w:rPr>
              <w:t>Executive Leadership</w:t>
            </w:r>
          </w:p>
        </w:tc>
        <w:tc>
          <w:tcPr>
            <w:tcW w:w="2840" w:type="dxa"/>
            <w:vAlign w:val="bottom"/>
            <w:vMerge w:val="continue"/>
          </w:tcPr>
          <w:p>
            <w:pPr>
              <w:spacing w:after="0"/>
              <w:rPr>
                <w:sz w:val="8"/>
                <w:szCs w:val="8"/>
                <w:color w:val="auto"/>
              </w:rPr>
            </w:pPr>
          </w:p>
        </w:tc>
        <w:tc>
          <w:tcPr>
            <w:tcW w:w="2760" w:type="dxa"/>
            <w:vAlign w:val="bottom"/>
            <w:vMerge w:val="continue"/>
          </w:tcPr>
          <w:p>
            <w:pPr>
              <w:spacing w:after="0"/>
              <w:rPr>
                <w:sz w:val="8"/>
                <w:szCs w:val="8"/>
                <w:color w:val="auto"/>
              </w:rPr>
            </w:pPr>
          </w:p>
        </w:tc>
        <w:tc>
          <w:tcPr>
            <w:tcW w:w="1720" w:type="dxa"/>
            <w:vAlign w:val="bottom"/>
            <w:vMerge w:val="restart"/>
          </w:tcPr>
          <w:p>
            <w:pPr>
              <w:ind w:left="680"/>
              <w:spacing w:after="0" w:line="202" w:lineRule="exact"/>
              <w:rPr>
                <w:sz w:val="20"/>
                <w:szCs w:val="20"/>
                <w:color w:val="auto"/>
              </w:rPr>
            </w:pPr>
            <w:r>
              <w:rPr>
                <w:rFonts w:ascii="Arial" w:cs="Arial" w:eastAsia="Arial" w:hAnsi="Arial"/>
                <w:sz w:val="18"/>
                <w:szCs w:val="18"/>
                <w:color w:val="auto"/>
              </w:rPr>
              <w:t>Educational/</w:t>
            </w: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2840" w:type="dxa"/>
            <w:vAlign w:val="bottom"/>
            <w:vMerge w:val="restart"/>
          </w:tcPr>
          <w:p>
            <w:pPr>
              <w:ind w:left="580"/>
              <w:spacing w:after="0"/>
              <w:rPr>
                <w:sz w:val="20"/>
                <w:szCs w:val="20"/>
                <w:color w:val="auto"/>
              </w:rPr>
            </w:pPr>
            <w:r>
              <w:rPr>
                <w:rFonts w:ascii="Arial" w:cs="Arial" w:eastAsia="Arial" w:hAnsi="Arial"/>
                <w:sz w:val="18"/>
                <w:szCs w:val="18"/>
                <w:color w:val="auto"/>
              </w:rPr>
              <w:t>Customer-Oriented</w:t>
            </w:r>
          </w:p>
        </w:tc>
        <w:tc>
          <w:tcPr>
            <w:tcW w:w="2760" w:type="dxa"/>
            <w:vAlign w:val="bottom"/>
            <w:vMerge w:val="restart"/>
          </w:tcPr>
          <w:p>
            <w:pPr>
              <w:ind w:left="620"/>
              <w:spacing w:after="0"/>
              <w:rPr>
                <w:sz w:val="20"/>
                <w:szCs w:val="20"/>
                <w:color w:val="auto"/>
              </w:rPr>
            </w:pPr>
            <w:r>
              <w:rPr>
                <w:rFonts w:ascii="Arial" w:cs="Arial" w:eastAsia="Arial" w:hAnsi="Arial"/>
                <w:sz w:val="18"/>
                <w:szCs w:val="18"/>
                <w:color w:val="auto"/>
              </w:rPr>
              <w:t>Oversight</w:t>
            </w: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300" w:type="dxa"/>
            <w:vAlign w:val="bottom"/>
          </w:tcPr>
          <w:p>
            <w:pPr>
              <w:spacing w:after="0"/>
              <w:rPr>
                <w:sz w:val="11"/>
                <w:szCs w:val="11"/>
                <w:color w:val="auto"/>
              </w:rPr>
            </w:pPr>
          </w:p>
        </w:tc>
        <w:tc>
          <w:tcPr>
            <w:tcW w:w="2840" w:type="dxa"/>
            <w:vAlign w:val="bottom"/>
            <w:vMerge w:val="continue"/>
          </w:tcPr>
          <w:p>
            <w:pPr>
              <w:spacing w:after="0"/>
              <w:rPr>
                <w:sz w:val="11"/>
                <w:szCs w:val="11"/>
                <w:color w:val="auto"/>
              </w:rPr>
            </w:pPr>
          </w:p>
        </w:tc>
        <w:tc>
          <w:tcPr>
            <w:tcW w:w="2760" w:type="dxa"/>
            <w:vAlign w:val="bottom"/>
            <w:vMerge w:val="continue"/>
          </w:tcPr>
          <w:p>
            <w:pPr>
              <w:spacing w:after="0"/>
              <w:rPr>
                <w:sz w:val="11"/>
                <w:szCs w:val="11"/>
                <w:color w:val="auto"/>
              </w:rPr>
            </w:pPr>
          </w:p>
        </w:tc>
        <w:tc>
          <w:tcPr>
            <w:tcW w:w="1720" w:type="dxa"/>
            <w:vAlign w:val="bottom"/>
            <w:vMerge w:val="restart"/>
          </w:tcPr>
          <w:p>
            <w:pPr>
              <w:ind w:left="680"/>
              <w:spacing w:after="0"/>
              <w:rPr>
                <w:sz w:val="20"/>
                <w:szCs w:val="20"/>
                <w:color w:val="auto"/>
              </w:rPr>
            </w:pPr>
            <w:r>
              <w:rPr>
                <w:rFonts w:ascii="Arial" w:cs="Arial" w:eastAsia="Arial" w:hAnsi="Arial"/>
                <w:sz w:val="18"/>
                <w:szCs w:val="18"/>
                <w:color w:val="auto"/>
                <w:w w:val="97"/>
              </w:rPr>
              <w:t>Philanthropic</w:t>
            </w: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291465" cy="3175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1465" cy="31750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-353695</wp:posOffset>
            </wp:positionV>
            <wp:extent cx="291465" cy="291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-353695</wp:posOffset>
            </wp:positionV>
            <wp:extent cx="291465"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1465" cy="28321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-310515</wp:posOffset>
            </wp:positionV>
            <wp:extent cx="291465"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1465" cy="21463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5420" w:type="dxa"/>
            <w:vAlign w:val="bottom"/>
            <w:shd w:val="clear" w:color="auto" w:fill="00A0E0"/>
          </w:tcPr>
          <w:p>
            <w:pPr>
              <w:ind w:left="180"/>
              <w:spacing w:after="0"/>
              <w:rPr>
                <w:sz w:val="20"/>
                <w:szCs w:val="20"/>
                <w:color w:val="auto"/>
              </w:rPr>
            </w:pPr>
            <w:r>
              <w:rPr>
                <w:rFonts w:ascii="Arial" w:cs="Arial" w:eastAsia="Arial" w:hAnsi="Arial"/>
                <w:sz w:val="22"/>
                <w:szCs w:val="22"/>
                <w:b w:val="1"/>
                <w:bCs w:val="1"/>
                <w:color w:val="FFFFFF"/>
              </w:rPr>
              <w:t>Louise F. Brady</w:t>
            </w:r>
          </w:p>
        </w:tc>
        <w:tc>
          <w:tcPr>
            <w:tcW w:w="5820" w:type="dxa"/>
            <w:vAlign w:val="bottom"/>
            <w:shd w:val="clear" w:color="auto" w:fill="00A0E0"/>
          </w:tcPr>
          <w:p>
            <w:pPr>
              <w:ind w:left="4560"/>
              <w:spacing w:after="0"/>
              <w:rPr>
                <w:sz w:val="20"/>
                <w:szCs w:val="20"/>
                <w:color w:val="auto"/>
              </w:rPr>
            </w:pPr>
            <w:r>
              <w:rPr>
                <w:rFonts w:ascii="Arial" w:cs="Arial" w:eastAsia="Arial" w:hAnsi="Arial"/>
                <w:sz w:val="18"/>
                <w:szCs w:val="18"/>
                <w:b w:val="1"/>
                <w:bCs w:val="1"/>
                <w:color w:val="FFFFFF"/>
              </w:rPr>
              <w:t>Independent</w:t>
            </w:r>
          </w:p>
        </w:tc>
        <w:tc>
          <w:tcPr>
            <w:tcW w:w="0" w:type="dxa"/>
            <w:vAlign w:val="bottom"/>
          </w:tcPr>
          <w:p>
            <w:pPr>
              <w:spacing w:after="0"/>
              <w:rPr>
                <w:sz w:val="1"/>
                <w:szCs w:val="1"/>
                <w:color w:val="auto"/>
              </w:rPr>
            </w:pPr>
          </w:p>
        </w:tc>
      </w:tr>
      <w:tr>
        <w:trPr>
          <w:trHeight w:val="82"/>
        </w:trPr>
        <w:tc>
          <w:tcPr>
            <w:tcW w:w="11240" w:type="dxa"/>
            <w:vAlign w:val="bottom"/>
            <w:gridSpan w:val="2"/>
            <w:shd w:val="clear" w:color="auto" w:fill="00A0E0"/>
          </w:tcPr>
          <w:p>
            <w:pPr>
              <w:spacing w:after="0"/>
              <w:rPr>
                <w:sz w:val="7"/>
                <w:szCs w:val="7"/>
                <w:color w:val="auto"/>
              </w:rPr>
            </w:pPr>
          </w:p>
        </w:tc>
        <w:tc>
          <w:tcPr>
            <w:tcW w:w="0" w:type="dxa"/>
            <w:vAlign w:val="bottom"/>
          </w:tcPr>
          <w:p>
            <w:pPr>
              <w:spacing w:after="0"/>
              <w:rPr>
                <w:sz w:val="1"/>
                <w:szCs w:val="1"/>
                <w:color w:val="auto"/>
              </w:rPr>
            </w:pPr>
          </w:p>
        </w:tc>
      </w:tr>
      <w:tr>
        <w:trPr>
          <w:trHeight w:val="359"/>
        </w:trPr>
        <w:tc>
          <w:tcPr>
            <w:tcW w:w="11240" w:type="dxa"/>
            <w:vAlign w:val="bottom"/>
            <w:gridSpan w:val="2"/>
            <w:shd w:val="clear" w:color="auto" w:fill="E0F0FB"/>
          </w:tcPr>
          <w:p>
            <w:pPr>
              <w:ind w:left="1640"/>
              <w:spacing w:after="0"/>
              <w:rPr>
                <w:sz w:val="20"/>
                <w:szCs w:val="20"/>
                <w:color w:val="auto"/>
              </w:rPr>
            </w:pPr>
            <w:r>
              <w:rPr>
                <w:rFonts w:ascii="Arial" w:cs="Arial" w:eastAsia="Arial" w:hAnsi="Arial"/>
                <w:sz w:val="18"/>
                <w:szCs w:val="18"/>
                <w:color w:val="auto"/>
              </w:rPr>
              <w:t>Co-Founder and Managing Partner of Piedmont Capital Partners, LLC, Piedmont Capital Partners II, LLC and</w:t>
            </w:r>
          </w:p>
        </w:tc>
        <w:tc>
          <w:tcPr>
            <w:tcW w:w="0" w:type="dxa"/>
            <w:vAlign w:val="bottom"/>
          </w:tcPr>
          <w:p>
            <w:pPr>
              <w:spacing w:after="0"/>
              <w:rPr>
                <w:sz w:val="1"/>
                <w:szCs w:val="1"/>
                <w:color w:val="auto"/>
              </w:rPr>
            </w:pPr>
          </w:p>
        </w:tc>
      </w:tr>
      <w:tr>
        <w:trPr>
          <w:trHeight w:val="239"/>
        </w:trPr>
        <w:tc>
          <w:tcPr>
            <w:tcW w:w="5420" w:type="dxa"/>
            <w:vAlign w:val="bottom"/>
            <w:shd w:val="clear" w:color="auto" w:fill="E0F0FB"/>
          </w:tcPr>
          <w:p>
            <w:pPr>
              <w:ind w:left="1640"/>
              <w:spacing w:after="0"/>
              <w:rPr>
                <w:sz w:val="20"/>
                <w:szCs w:val="20"/>
                <w:color w:val="auto"/>
              </w:rPr>
            </w:pPr>
            <w:r>
              <w:rPr>
                <w:rFonts w:ascii="Arial" w:cs="Arial" w:eastAsia="Arial" w:hAnsi="Arial"/>
                <w:sz w:val="18"/>
                <w:szCs w:val="18"/>
                <w:color w:val="auto"/>
              </w:rPr>
              <w:t>Piedmont Capital Investments, LLC</w:t>
            </w:r>
          </w:p>
        </w:tc>
        <w:tc>
          <w:tcPr>
            <w:tcW w:w="5820" w:type="dxa"/>
            <w:vAlign w:val="bottom"/>
            <w:shd w:val="clear" w:color="auto" w:fill="E0F0FB"/>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420" w:type="dxa"/>
            <w:vAlign w:val="bottom"/>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tc>
        <w:tc>
          <w:tcPr>
            <w:tcW w:w="5820" w:type="dxa"/>
            <w:vAlign w:val="bottom"/>
            <w:shd w:val="clear" w:color="auto" w:fill="E0F0FB"/>
          </w:tcPr>
          <w:p>
            <w:pPr>
              <w:ind w:left="100"/>
              <w:spacing w:after="0"/>
              <w:rPr>
                <w:sz w:val="20"/>
                <w:szCs w:val="20"/>
                <w:color w:val="auto"/>
              </w:rPr>
            </w:pPr>
            <w:r>
              <w:rPr>
                <w:rFonts w:ascii="Arial" w:cs="Arial" w:eastAsia="Arial" w:hAnsi="Arial"/>
                <w:sz w:val="18"/>
                <w:szCs w:val="18"/>
                <w:b w:val="1"/>
                <w:bCs w:val="1"/>
                <w:color w:val="auto"/>
              </w:rPr>
              <w:t>Other Current Public Company Directorships:</w:t>
            </w:r>
          </w:p>
        </w:tc>
        <w:tc>
          <w:tcPr>
            <w:tcW w:w="0" w:type="dxa"/>
            <w:vAlign w:val="bottom"/>
          </w:tcPr>
          <w:p>
            <w:pPr>
              <w:spacing w:after="0"/>
              <w:rPr>
                <w:sz w:val="1"/>
                <w:szCs w:val="1"/>
                <w:color w:val="auto"/>
              </w:rPr>
            </w:pPr>
          </w:p>
        </w:tc>
      </w:tr>
      <w:tr>
        <w:trPr>
          <w:trHeight w:val="239"/>
        </w:trPr>
        <w:tc>
          <w:tcPr>
            <w:tcW w:w="5420" w:type="dxa"/>
            <w:vAlign w:val="bottom"/>
            <w:vMerge w:val="restart"/>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October 2023</w:t>
            </w:r>
          </w:p>
        </w:tc>
        <w:tc>
          <w:tcPr>
            <w:tcW w:w="5820" w:type="dxa"/>
            <w:vAlign w:val="bottom"/>
            <w:shd w:val="clear" w:color="auto" w:fill="E0F0FB"/>
          </w:tcPr>
          <w:p>
            <w:pPr>
              <w:ind w:left="100"/>
              <w:spacing w:after="0"/>
              <w:rPr>
                <w:sz w:val="20"/>
                <w:szCs w:val="20"/>
                <w:color w:val="auto"/>
              </w:rPr>
            </w:pPr>
            <w:r>
              <w:rPr>
                <w:rFonts w:ascii="Arial" w:cs="Arial" w:eastAsia="Arial" w:hAnsi="Arial"/>
                <w:sz w:val="18"/>
                <w:szCs w:val="18"/>
                <w:color w:val="auto"/>
              </w:rPr>
              <w:t>Travel + Leisure Co.</w:t>
            </w:r>
          </w:p>
        </w:tc>
        <w:tc>
          <w:tcPr>
            <w:tcW w:w="0" w:type="dxa"/>
            <w:vAlign w:val="bottom"/>
          </w:tcPr>
          <w:p>
            <w:pPr>
              <w:spacing w:after="0"/>
              <w:rPr>
                <w:sz w:val="1"/>
                <w:szCs w:val="1"/>
                <w:color w:val="auto"/>
              </w:rPr>
            </w:pPr>
          </w:p>
        </w:tc>
      </w:tr>
      <w:tr>
        <w:trPr>
          <w:trHeight w:val="75"/>
        </w:trPr>
        <w:tc>
          <w:tcPr>
            <w:tcW w:w="5420" w:type="dxa"/>
            <w:vAlign w:val="bottom"/>
            <w:vMerge w:val="continue"/>
            <w:shd w:val="clear" w:color="auto" w:fill="E0F0FB"/>
          </w:tcPr>
          <w:p>
            <w:pPr>
              <w:spacing w:after="0"/>
              <w:rPr>
                <w:sz w:val="6"/>
                <w:szCs w:val="6"/>
                <w:color w:val="auto"/>
              </w:rPr>
            </w:pPr>
          </w:p>
        </w:tc>
        <w:tc>
          <w:tcPr>
            <w:tcW w:w="5820" w:type="dxa"/>
            <w:vAlign w:val="bottom"/>
            <w:shd w:val="clear" w:color="auto" w:fill="E0F0FB"/>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5420" w:type="dxa"/>
            <w:vAlign w:val="bottom"/>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tc>
        <w:tc>
          <w:tcPr>
            <w:tcW w:w="5820" w:type="dxa"/>
            <w:vAlign w:val="bottom"/>
            <w:shd w:val="clear" w:color="auto" w:fill="E0F0FB"/>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420" w:type="dxa"/>
            <w:vAlign w:val="bottom"/>
            <w:shd w:val="clear" w:color="auto" w:fill="E0F0FB"/>
          </w:tcPr>
          <w:p>
            <w:pPr>
              <w:spacing w:after="0"/>
              <w:rPr>
                <w:sz w:val="13"/>
                <w:szCs w:val="13"/>
                <w:color w:val="auto"/>
              </w:rPr>
            </w:pPr>
          </w:p>
        </w:tc>
        <w:tc>
          <w:tcPr>
            <w:tcW w:w="5820" w:type="dxa"/>
            <w:vAlign w:val="bottom"/>
            <w:shd w:val="clear" w:color="auto" w:fill="E0F0FB"/>
          </w:tcPr>
          <w:p>
            <w:pPr>
              <w:spacing w:after="0"/>
              <w:rPr>
                <w:sz w:val="13"/>
                <w:szCs w:val="13"/>
                <w:color w:val="auto"/>
              </w:rPr>
            </w:pPr>
          </w:p>
        </w:tc>
        <w:tc>
          <w:tcPr>
            <w:tcW w:w="0" w:type="dxa"/>
            <w:vAlign w:val="bottom"/>
          </w:tcPr>
          <w:p>
            <w:pPr>
              <w:spacing w:after="0"/>
              <w:rPr>
                <w:sz w:val="1"/>
                <w:szCs w:val="1"/>
                <w:color w:val="auto"/>
              </w:rPr>
            </w:pPr>
          </w:p>
        </w:tc>
      </w:tr>
      <w:tr>
        <w:trPr>
          <w:trHeight w:val="444"/>
        </w:trPr>
        <w:tc>
          <w:tcPr>
            <w:tcW w:w="5420" w:type="dxa"/>
            <w:vAlign w:val="bottom"/>
          </w:tcPr>
          <w:p>
            <w:pPr>
              <w:spacing w:after="0"/>
              <w:rPr>
                <w:sz w:val="20"/>
                <w:szCs w:val="20"/>
                <w:color w:val="auto"/>
              </w:rPr>
            </w:pPr>
            <w:r>
              <w:rPr>
                <w:rFonts w:ascii="Arial" w:cs="Arial" w:eastAsia="Arial" w:hAnsi="Arial"/>
                <w:sz w:val="18"/>
                <w:szCs w:val="18"/>
                <w:b w:val="1"/>
                <w:bCs w:val="1"/>
                <w:color w:val="00A0E0"/>
              </w:rPr>
              <w:t>Career Highlights:</w:t>
            </w:r>
          </w:p>
        </w:tc>
        <w:tc>
          <w:tcPr>
            <w:tcW w:w="5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42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Co-Founder and Managing Partner of Piedmont Capital</w:t>
            </w:r>
          </w:p>
        </w:tc>
        <w:tc>
          <w:tcPr>
            <w:tcW w:w="5820" w:type="dxa"/>
            <w:vAlign w:val="bottom"/>
          </w:tcPr>
          <w:p>
            <w:pPr>
              <w:ind w:left="42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Board Member, Piedmont Triad Partnership</w:t>
            </w:r>
          </w:p>
        </w:tc>
        <w:tc>
          <w:tcPr>
            <w:tcW w:w="0" w:type="dxa"/>
            <w:vAlign w:val="bottom"/>
          </w:tcPr>
          <w:p>
            <w:pPr>
              <w:spacing w:after="0"/>
              <w:rPr>
                <w:sz w:val="1"/>
                <w:szCs w:val="1"/>
                <w:color w:val="auto"/>
              </w:rPr>
            </w:pPr>
          </w:p>
        </w:tc>
      </w:tr>
      <w:tr>
        <w:trPr>
          <w:trHeight w:val="203"/>
        </w:trPr>
        <w:tc>
          <w:tcPr>
            <w:tcW w:w="5420" w:type="dxa"/>
            <w:vAlign w:val="bottom"/>
          </w:tcPr>
          <w:p>
            <w:pPr>
              <w:ind w:left="260"/>
              <w:spacing w:after="0" w:line="202" w:lineRule="exact"/>
              <w:rPr>
                <w:sz w:val="20"/>
                <w:szCs w:val="20"/>
                <w:color w:val="auto"/>
              </w:rPr>
            </w:pPr>
            <w:r>
              <w:rPr>
                <w:rFonts w:ascii="Arial" w:cs="Arial" w:eastAsia="Arial" w:hAnsi="Arial"/>
                <w:sz w:val="18"/>
                <w:szCs w:val="18"/>
                <w:color w:val="auto"/>
              </w:rPr>
              <w:t>Partners, LLC, Piedmont Capital Partners II, LLC and Piedmont</w:t>
            </w:r>
          </w:p>
        </w:tc>
        <w:tc>
          <w:tcPr>
            <w:tcW w:w="5820" w:type="dxa"/>
            <w:vAlign w:val="bottom"/>
          </w:tcPr>
          <w:p>
            <w:pPr>
              <w:ind w:left="42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Board Member, The Bryan Foundation</w:t>
            </w:r>
          </w:p>
        </w:tc>
        <w:tc>
          <w:tcPr>
            <w:tcW w:w="0" w:type="dxa"/>
            <w:vAlign w:val="bottom"/>
          </w:tcPr>
          <w:p>
            <w:pPr>
              <w:spacing w:after="0"/>
              <w:rPr>
                <w:sz w:val="1"/>
                <w:szCs w:val="1"/>
                <w:color w:val="auto"/>
              </w:rPr>
            </w:pPr>
          </w:p>
        </w:tc>
      </w:tr>
      <w:tr>
        <w:trPr>
          <w:trHeight w:val="206"/>
        </w:trPr>
        <w:tc>
          <w:tcPr>
            <w:tcW w:w="5420" w:type="dxa"/>
            <w:vAlign w:val="bottom"/>
          </w:tcPr>
          <w:p>
            <w:pPr>
              <w:ind w:left="260"/>
              <w:spacing w:after="0" w:line="206" w:lineRule="exact"/>
              <w:rPr>
                <w:sz w:val="20"/>
                <w:szCs w:val="20"/>
                <w:color w:val="auto"/>
              </w:rPr>
            </w:pPr>
            <w:r>
              <w:rPr>
                <w:rFonts w:ascii="Arial" w:cs="Arial" w:eastAsia="Arial" w:hAnsi="Arial"/>
                <w:sz w:val="18"/>
                <w:szCs w:val="18"/>
                <w:color w:val="auto"/>
              </w:rPr>
              <w:t>Capital Investments, LLC, 2013, 2019 and 2020, respectively –</w:t>
            </w:r>
          </w:p>
        </w:tc>
        <w:tc>
          <w:tcPr>
            <w:tcW w:w="5820" w:type="dxa"/>
            <w:vAlign w:val="bottom"/>
          </w:tcPr>
          <w:p>
            <w:pPr>
              <w:ind w:left="42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Co-Chair, Advisory Board, The Shuford Program in</w:t>
            </w:r>
          </w:p>
        </w:tc>
        <w:tc>
          <w:tcPr>
            <w:tcW w:w="0" w:type="dxa"/>
            <w:vAlign w:val="bottom"/>
          </w:tcPr>
          <w:p>
            <w:pPr>
              <w:spacing w:after="0"/>
              <w:rPr>
                <w:sz w:val="1"/>
                <w:szCs w:val="1"/>
                <w:color w:val="auto"/>
              </w:rPr>
            </w:pPr>
          </w:p>
        </w:tc>
      </w:tr>
      <w:tr>
        <w:trPr>
          <w:trHeight w:val="199"/>
        </w:trPr>
        <w:tc>
          <w:tcPr>
            <w:tcW w:w="5420" w:type="dxa"/>
            <w:vAlign w:val="bottom"/>
          </w:tcPr>
          <w:p>
            <w:pPr>
              <w:ind w:left="260"/>
              <w:spacing w:after="0" w:line="199" w:lineRule="exact"/>
              <w:rPr>
                <w:sz w:val="20"/>
                <w:szCs w:val="20"/>
                <w:color w:val="auto"/>
              </w:rPr>
            </w:pPr>
            <w:r>
              <w:rPr>
                <w:rFonts w:ascii="Arial" w:cs="Arial" w:eastAsia="Arial" w:hAnsi="Arial"/>
                <w:sz w:val="18"/>
                <w:szCs w:val="18"/>
                <w:color w:val="auto"/>
              </w:rPr>
              <w:t>Present</w:t>
            </w:r>
          </w:p>
        </w:tc>
        <w:tc>
          <w:tcPr>
            <w:tcW w:w="5820" w:type="dxa"/>
            <w:vAlign w:val="bottom"/>
          </w:tcPr>
          <w:p>
            <w:pPr>
              <w:ind w:left="680"/>
              <w:spacing w:after="0" w:line="199" w:lineRule="exact"/>
              <w:rPr>
                <w:sz w:val="20"/>
                <w:szCs w:val="20"/>
                <w:color w:val="auto"/>
              </w:rPr>
            </w:pPr>
            <w:r>
              <w:rPr>
                <w:rFonts w:ascii="Arial" w:cs="Arial" w:eastAsia="Arial" w:hAnsi="Arial"/>
                <w:sz w:val="18"/>
                <w:szCs w:val="18"/>
                <w:color w:val="auto"/>
              </w:rPr>
              <w:t>Entrepreneurship, University of North Carolina at Chapel Hill</w:t>
            </w:r>
          </w:p>
        </w:tc>
        <w:tc>
          <w:tcPr>
            <w:tcW w:w="0" w:type="dxa"/>
            <w:vAlign w:val="bottom"/>
          </w:tcPr>
          <w:p>
            <w:pPr>
              <w:spacing w:after="0"/>
              <w:rPr>
                <w:sz w:val="1"/>
                <w:szCs w:val="1"/>
                <w:color w:val="auto"/>
              </w:rPr>
            </w:pPr>
          </w:p>
        </w:tc>
      </w:tr>
      <w:tr>
        <w:trPr>
          <w:trHeight w:val="218"/>
        </w:trPr>
        <w:tc>
          <w:tcPr>
            <w:tcW w:w="542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President of Blue Current, Inc., 2014 – Present</w:t>
            </w:r>
          </w:p>
        </w:tc>
        <w:tc>
          <w:tcPr>
            <w:tcW w:w="5820" w:type="dxa"/>
            <w:vAlign w:val="bottom"/>
          </w:tcPr>
          <w:p>
            <w:pPr>
              <w:ind w:left="42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Co-Chair, Board of Directors, Shift_Ed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-1958340</wp:posOffset>
            </wp:positionV>
            <wp:extent cx="805815" cy="8058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260" w:right="5880" w:hanging="252"/>
        <w:spacing w:after="0" w:line="257" w:lineRule="auto"/>
        <w:tabs>
          <w:tab w:leader="none" w:pos="260" w:val="left"/>
        </w:tabs>
        <w:numPr>
          <w:ilvl w:val="0"/>
          <w:numId w:val="20"/>
        </w:numPr>
        <w:rPr>
          <w:rFonts w:ascii="Arial" w:cs="Arial" w:eastAsia="Arial" w:hAnsi="Arial"/>
          <w:sz w:val="17"/>
          <w:szCs w:val="17"/>
          <w:color w:val="00A0E0"/>
        </w:rPr>
      </w:pPr>
      <w:r>
        <w:rPr>
          <w:rFonts w:ascii="Arial" w:cs="Arial" w:eastAsia="Arial" w:hAnsi="Arial"/>
          <w:sz w:val="18"/>
          <w:szCs w:val="18"/>
          <w:color w:val="auto"/>
        </w:rPr>
        <w:t>Vice President of Investments at Wells Fargo Advisors Financial Services, 1996 –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Skills and Qualifications:</w:t>
      </w:r>
    </w:p>
    <w:p>
      <w:pPr>
        <w:spacing w:after="0" w:line="212"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We believe that Ms. Brady’s extensive experience in the venture capital portfolio management, commercial banking and technology sectors, notably as it relates to developing innovative technologies in start-up companies, as well as her considerable financial expertise, render her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91465" cy="3257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1465" cy="325755"/>
                    </a:xfrm>
                    <a:prstGeom prst="rect">
                      <a:avLst/>
                    </a:prstGeom>
                    <a:noFill/>
                  </pic:spPr>
                </pic:pic>
              </a:graphicData>
            </a:graphic>
          </wp:anchor>
        </w:drawing>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Executive Leadership               </w:t>
      </w:r>
      <w:r>
        <w:rPr>
          <w:sz w:val="1"/>
          <w:szCs w:val="1"/>
          <w:color w:val="auto"/>
        </w:rPr>
        <w:drawing>
          <wp:inline distT="0" distB="0" distL="0" distR="0">
            <wp:extent cx="291465" cy="29972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1465" cy="299720"/>
                    </a:xfrm>
                    <a:prstGeom prst="rect">
                      <a:avLst/>
                    </a:prstGeom>
                    <a:noFill/>
                    <a:ln>
                      <a:noFill/>
                    </a:ln>
                  </pic:spPr>
                </pic:pic>
              </a:graphicData>
            </a:graphic>
          </wp:inline>
        </w:drawing>
      </w:r>
      <w:r>
        <w:rPr>
          <w:rFonts w:ascii="Arial" w:cs="Arial" w:eastAsia="Arial" w:hAnsi="Arial"/>
          <w:sz w:val="18"/>
          <w:szCs w:val="18"/>
          <w:color w:val="auto"/>
        </w:rPr>
        <w:t xml:space="preserve"> Technology                       </w:t>
      </w:r>
      <w:r>
        <w:rPr>
          <w:sz w:val="1"/>
          <w:szCs w:val="1"/>
          <w:color w:val="auto"/>
        </w:rPr>
        <w:drawing>
          <wp:inline distT="0" distB="0" distL="0" distR="0">
            <wp:extent cx="291465" cy="29146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91465" cy="291465"/>
                    </a:xfrm>
                    <a:prstGeom prst="rect">
                      <a:avLst/>
                    </a:prstGeom>
                    <a:noFill/>
                    <a:ln>
                      <a:noFill/>
                    </a:ln>
                  </pic:spPr>
                </pic:pic>
              </a:graphicData>
            </a:graphic>
          </wp:inline>
        </w:drawing>
      </w:r>
      <w:r>
        <w:rPr>
          <w:rFonts w:ascii="Arial" w:cs="Arial" w:eastAsia="Arial" w:hAnsi="Arial"/>
          <w:sz w:val="18"/>
          <w:szCs w:val="18"/>
          <w:color w:val="auto"/>
        </w:rPr>
        <w:t xml:space="preserve"> Financial/Accounting</w:t>
      </w:r>
    </w:p>
    <w:p>
      <w:pPr>
        <w:sectPr>
          <w:pgSz w:w="11900" w:h="16838" w:orient="portrait"/>
          <w:cols w:equalWidth="0" w:num="1">
            <w:col w:w="11240"/>
          </w:cols>
          <w:pgMar w:left="320" w:top="122" w:right="339" w:bottom="1440" w:gutter="0" w:footer="0" w:header="0"/>
          <w:type w:val="continuous"/>
        </w:sectPr>
      </w:pPr>
    </w:p>
    <w:p>
      <w:pPr>
        <w:spacing w:after="0" w:line="242"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89" w:lineRule="exact"/>
        <w:rPr>
          <w:sz w:val="20"/>
          <w:szCs w:val="20"/>
          <w:color w:val="auto"/>
        </w:rPr>
      </w:pPr>
    </w:p>
    <w:p>
      <w:pPr>
        <w:ind w:left="180"/>
        <w:spacing w:after="0"/>
        <w:tabs>
          <w:tab w:leader="none" w:pos="8760" w:val="left"/>
        </w:tabs>
        <w:rPr>
          <w:sz w:val="20"/>
          <w:szCs w:val="20"/>
          <w:color w:val="auto"/>
        </w:rPr>
      </w:pPr>
      <w:r>
        <w:rPr>
          <w:rFonts w:ascii="Arial" w:cs="Arial" w:eastAsia="Arial" w:hAnsi="Arial"/>
          <w:sz w:val="22"/>
          <w:szCs w:val="22"/>
          <w:b w:val="1"/>
          <w:bCs w:val="1"/>
          <w:color w:val="FFFFFF"/>
        </w:rPr>
        <w:t>Edward D. Breen</w:t>
      </w:r>
      <w:r>
        <w:rPr>
          <w:sz w:val="20"/>
          <w:szCs w:val="20"/>
          <w:color w:val="auto"/>
        </w:rPr>
        <w:tab/>
      </w:r>
      <w:r>
        <w:rPr>
          <w:rFonts w:ascii="Arial" w:cs="Arial" w:eastAsia="Arial" w:hAnsi="Arial"/>
          <w:sz w:val="17"/>
          <w:szCs w:val="17"/>
          <w:b w:val="1"/>
          <w:bCs w:val="1"/>
          <w:color w:val="FFFFFF"/>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1404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140460"/>
                    </a:xfrm>
                    <a:prstGeom prst="rect">
                      <a:avLst/>
                    </a:prstGeom>
                    <a:noFill/>
                  </pic:spPr>
                </pic:pic>
              </a:graphicData>
            </a:graphic>
          </wp:anchor>
        </w:drawing>
      </w:r>
    </w:p>
    <w:p>
      <w:pPr>
        <w:spacing w:after="0" w:line="2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Chief Executive Officer and Executive Chairman of DuPont de Nemours, Inc.</w:t>
      </w:r>
    </w:p>
    <w:p>
      <w:pPr>
        <w:sectPr>
          <w:pgSz w:w="11900" w:h="16838" w:orient="portrait"/>
          <w:cols w:equalWidth="0" w:num="1">
            <w:col w:w="11240"/>
          </w:cols>
          <w:pgMar w:left="320" w:top="122" w:right="339" w:bottom="1440" w:gutter="0" w:footer="0" w:header="0"/>
        </w:sectPr>
      </w:pPr>
    </w:p>
    <w:p>
      <w:pPr>
        <w:spacing w:after="0" w:line="10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February 2014</w:t>
      </w:r>
    </w:p>
    <w:p>
      <w:pPr>
        <w:spacing w:after="0" w:line="63" w:lineRule="exact"/>
        <w:rPr>
          <w:sz w:val="20"/>
          <w:szCs w:val="20"/>
          <w:color w:val="auto"/>
        </w:rPr>
      </w:pPr>
    </w:p>
    <w:p>
      <w:pPr>
        <w:ind w:left="1640"/>
        <w:spacing w:after="0" w:line="271" w:lineRule="auto"/>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Compensation and Human</w:t>
      </w:r>
      <w:r>
        <w:rPr>
          <w:rFonts w:ascii="Arial" w:cs="Arial" w:eastAsia="Arial" w:hAnsi="Arial"/>
          <w:sz w:val="18"/>
          <w:szCs w:val="18"/>
          <w:b w:val="1"/>
          <w:bCs w:val="1"/>
          <w:color w:val="auto"/>
        </w:rPr>
        <w:t xml:space="preserve"> </w:t>
      </w:r>
      <w:r>
        <w:rPr>
          <w:rFonts w:ascii="Arial" w:cs="Arial" w:eastAsia="Arial" w:hAnsi="Arial"/>
          <w:sz w:val="18"/>
          <w:szCs w:val="18"/>
          <w:color w:val="auto"/>
        </w:rPr>
        <w:t>Capital</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Public Company Directorships: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DuPont de Nemours,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Former Public Company Directorships:</w:t>
      </w:r>
    </w:p>
    <w:p>
      <w:pPr>
        <w:spacing w:after="0" w:line="14"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Corteva, Inc., DowDuPont Inc., International Flavors &amp; Fragrances, Inc.</w:t>
      </w:r>
    </w:p>
    <w:p>
      <w:pPr>
        <w:spacing w:after="0" w:line="200" w:lineRule="exact"/>
        <w:rPr>
          <w:sz w:val="20"/>
          <w:szCs w:val="20"/>
          <w:color w:val="auto"/>
        </w:rPr>
      </w:pPr>
    </w:p>
    <w:p>
      <w:pPr>
        <w:sectPr>
          <w:pgSz w:w="11900" w:h="16838" w:orient="portrait"/>
          <w:cols w:equalWidth="0" w:num="2">
            <w:col w:w="4920" w:space="620"/>
            <w:col w:w="5700"/>
          </w:cols>
          <w:pgMar w:left="320" w:top="122" w:right="339" w:bottom="1440" w:gutter="0" w:footer="0" w:header="0"/>
          <w:type w:val="continuous"/>
        </w:sectPr>
      </w:pP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Career Highlights:</w:t>
      </w:r>
    </w:p>
    <w:p>
      <w:pPr>
        <w:spacing w:after="0" w:line="212" w:lineRule="exact"/>
        <w:rPr>
          <w:sz w:val="20"/>
          <w:szCs w:val="20"/>
          <w:color w:val="auto"/>
        </w:rPr>
      </w:pPr>
    </w:p>
    <w:p>
      <w:pPr>
        <w:ind w:left="260" w:right="60" w:hanging="252"/>
        <w:spacing w:after="0" w:line="241" w:lineRule="auto"/>
        <w:tabs>
          <w:tab w:leader="none" w:pos="260" w:val="left"/>
        </w:tabs>
        <w:numPr>
          <w:ilvl w:val="0"/>
          <w:numId w:val="22"/>
        </w:numPr>
        <w:rPr>
          <w:rFonts w:ascii="Arial" w:cs="Arial" w:eastAsia="Arial" w:hAnsi="Arial"/>
          <w:sz w:val="17"/>
          <w:szCs w:val="17"/>
          <w:color w:val="00A0E0"/>
        </w:rPr>
      </w:pPr>
      <w:r>
        <w:rPr>
          <w:rFonts w:ascii="Arial" w:cs="Arial" w:eastAsia="Arial" w:hAnsi="Arial"/>
          <w:sz w:val="18"/>
          <w:szCs w:val="18"/>
          <w:color w:val="auto"/>
        </w:rPr>
        <w:t>Chief Executive Officer (since 2020) and Executive Chairman (since 2019), DuPont de Nemours, Inc., a provider of technology-based materials, ingredients and solutions</w:t>
      </w:r>
    </w:p>
    <w:p>
      <w:pPr>
        <w:spacing w:after="0" w:line="1" w:lineRule="exact"/>
        <w:rPr>
          <w:rFonts w:ascii="Arial" w:cs="Arial" w:eastAsia="Arial" w:hAnsi="Arial"/>
          <w:sz w:val="17"/>
          <w:szCs w:val="17"/>
          <w:color w:val="00A0E0"/>
        </w:rPr>
      </w:pPr>
    </w:p>
    <w:p>
      <w:pPr>
        <w:ind w:left="260" w:right="520" w:hanging="252"/>
        <w:spacing w:after="0" w:line="234" w:lineRule="auto"/>
        <w:tabs>
          <w:tab w:leader="none" w:pos="260" w:val="left"/>
        </w:tabs>
        <w:numPr>
          <w:ilvl w:val="0"/>
          <w:numId w:val="22"/>
        </w:numPr>
        <w:rPr>
          <w:rFonts w:ascii="Arial" w:cs="Arial" w:eastAsia="Arial" w:hAnsi="Arial"/>
          <w:sz w:val="17"/>
          <w:szCs w:val="17"/>
          <w:color w:val="00A0E0"/>
        </w:rPr>
      </w:pPr>
      <w:r>
        <w:rPr>
          <w:rFonts w:ascii="Arial" w:cs="Arial" w:eastAsia="Arial" w:hAnsi="Arial"/>
          <w:sz w:val="18"/>
          <w:szCs w:val="18"/>
          <w:color w:val="auto"/>
        </w:rPr>
        <w:t>Chief Executive Officer and Chairman, DowDuPont and predecessors, 2015 – 2019</w:t>
      </w:r>
    </w:p>
    <w:p>
      <w:pPr>
        <w:spacing w:after="0" w:line="1" w:lineRule="exact"/>
        <w:rPr>
          <w:rFonts w:ascii="Arial" w:cs="Arial" w:eastAsia="Arial" w:hAnsi="Arial"/>
          <w:sz w:val="17"/>
          <w:szCs w:val="17"/>
          <w:color w:val="00A0E0"/>
        </w:rPr>
      </w:pPr>
    </w:p>
    <w:p>
      <w:pPr>
        <w:ind w:left="260" w:right="100" w:hanging="252"/>
        <w:spacing w:after="0" w:line="234" w:lineRule="auto"/>
        <w:tabs>
          <w:tab w:leader="none" w:pos="260" w:val="left"/>
        </w:tabs>
        <w:numPr>
          <w:ilvl w:val="0"/>
          <w:numId w:val="22"/>
        </w:numPr>
        <w:rPr>
          <w:rFonts w:ascii="Arial" w:cs="Arial" w:eastAsia="Arial" w:hAnsi="Arial"/>
          <w:sz w:val="17"/>
          <w:szCs w:val="17"/>
          <w:color w:val="00A0E0"/>
        </w:rPr>
      </w:pPr>
      <w:r>
        <w:rPr>
          <w:rFonts w:ascii="Arial" w:cs="Arial" w:eastAsia="Arial" w:hAnsi="Arial"/>
          <w:sz w:val="18"/>
          <w:szCs w:val="18"/>
          <w:color w:val="auto"/>
        </w:rPr>
        <w:t>Chief Executive Officer, Tyco International Ltd., 2002 – 2012; Chairman until 2016</w:t>
      </w:r>
    </w:p>
    <w:p>
      <w:pPr>
        <w:spacing w:after="0" w:line="1" w:lineRule="exact"/>
        <w:rPr>
          <w:rFonts w:ascii="Arial" w:cs="Arial" w:eastAsia="Arial" w:hAnsi="Arial"/>
          <w:sz w:val="17"/>
          <w:szCs w:val="17"/>
          <w:color w:val="00A0E0"/>
        </w:rPr>
      </w:pPr>
    </w:p>
    <w:p>
      <w:pPr>
        <w:ind w:left="260" w:hanging="252"/>
        <w:spacing w:after="0" w:line="250" w:lineRule="auto"/>
        <w:tabs>
          <w:tab w:leader="none" w:pos="260" w:val="left"/>
        </w:tabs>
        <w:numPr>
          <w:ilvl w:val="0"/>
          <w:numId w:val="22"/>
        </w:numPr>
        <w:rPr>
          <w:rFonts w:ascii="Arial" w:cs="Arial" w:eastAsia="Arial" w:hAnsi="Arial"/>
          <w:sz w:val="17"/>
          <w:szCs w:val="17"/>
          <w:color w:val="00A0E0"/>
        </w:rPr>
      </w:pPr>
      <w:r>
        <w:rPr>
          <w:rFonts w:ascii="Arial" w:cs="Arial" w:eastAsia="Arial" w:hAnsi="Arial"/>
          <w:sz w:val="18"/>
          <w:szCs w:val="18"/>
          <w:color w:val="auto"/>
        </w:rPr>
        <w:t>Previous President and Chief Operating Officer, Motorola, and multiple leadership roles, Motorola’s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Skills and Qualifications: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9" w:lineRule="exact"/>
        <w:rPr>
          <w:sz w:val="20"/>
          <w:szCs w:val="20"/>
          <w:color w:val="auto"/>
        </w:rPr>
      </w:pPr>
    </w:p>
    <w:p>
      <w:pPr>
        <w:ind w:left="251" w:right="260"/>
        <w:spacing w:after="0" w:line="242" w:lineRule="auto"/>
        <w:rPr>
          <w:sz w:val="20"/>
          <w:szCs w:val="20"/>
          <w:color w:val="auto"/>
        </w:rPr>
      </w:pPr>
      <w:r>
        <w:rPr>
          <w:rFonts w:ascii="Arial" w:cs="Arial" w:eastAsia="Arial" w:hAnsi="Arial"/>
          <w:sz w:val="18"/>
          <w:szCs w:val="18"/>
          <w:color w:val="auto"/>
        </w:rPr>
        <w:t>Networks Sector and Motorola’s Broadband Communications Sector</w:t>
      </w:r>
    </w:p>
    <w:p>
      <w:pPr>
        <w:ind w:left="251" w:right="20" w:hanging="251"/>
        <w:spacing w:after="0" w:line="237" w:lineRule="auto"/>
        <w:tabs>
          <w:tab w:leader="none" w:pos="251" w:val="left"/>
        </w:tabs>
        <w:numPr>
          <w:ilvl w:val="0"/>
          <w:numId w:val="23"/>
        </w:numPr>
        <w:rPr>
          <w:rFonts w:ascii="Arial" w:cs="Arial" w:eastAsia="Arial" w:hAnsi="Arial"/>
          <w:sz w:val="17"/>
          <w:szCs w:val="17"/>
          <w:color w:val="00A0E0"/>
        </w:rPr>
      </w:pPr>
      <w:r>
        <w:rPr>
          <w:rFonts w:ascii="Arial" w:cs="Arial" w:eastAsia="Arial" w:hAnsi="Arial"/>
          <w:sz w:val="18"/>
          <w:szCs w:val="18"/>
          <w:color w:val="auto"/>
        </w:rPr>
        <w:t>Chairman, President and CEO, General Instrument Corporation, 1997 – 2000</w:t>
      </w:r>
    </w:p>
    <w:p>
      <w:pPr>
        <w:spacing w:after="0" w:line="1" w:lineRule="exact"/>
        <w:rPr>
          <w:rFonts w:ascii="Arial" w:cs="Arial" w:eastAsia="Arial" w:hAnsi="Arial"/>
          <w:sz w:val="17"/>
          <w:szCs w:val="17"/>
          <w:color w:val="00A0E0"/>
        </w:rPr>
      </w:pPr>
    </w:p>
    <w:p>
      <w:pPr>
        <w:ind w:left="251" w:hanging="251"/>
        <w:spacing w:after="0" w:line="234" w:lineRule="auto"/>
        <w:tabs>
          <w:tab w:leader="none" w:pos="251" w:val="left"/>
        </w:tabs>
        <w:numPr>
          <w:ilvl w:val="0"/>
          <w:numId w:val="23"/>
        </w:numPr>
        <w:rPr>
          <w:rFonts w:ascii="Arial" w:cs="Arial" w:eastAsia="Arial" w:hAnsi="Arial"/>
          <w:sz w:val="17"/>
          <w:szCs w:val="17"/>
          <w:color w:val="00A0E0"/>
        </w:rPr>
      </w:pPr>
      <w:r>
        <w:rPr>
          <w:rFonts w:ascii="Arial" w:cs="Arial" w:eastAsia="Arial" w:hAnsi="Arial"/>
          <w:sz w:val="18"/>
          <w:szCs w:val="18"/>
          <w:color w:val="auto"/>
        </w:rPr>
        <w:t>Previously a director of Comcast from 2005 – 2011</w:t>
      </w:r>
    </w:p>
    <w:p>
      <w:pPr>
        <w:ind w:left="251" w:hanging="251"/>
        <w:spacing w:after="0" w:line="234" w:lineRule="auto"/>
        <w:tabs>
          <w:tab w:leader="none" w:pos="251" w:val="left"/>
        </w:tabs>
        <w:numPr>
          <w:ilvl w:val="0"/>
          <w:numId w:val="23"/>
        </w:numPr>
        <w:rPr>
          <w:rFonts w:ascii="Arial" w:cs="Arial" w:eastAsia="Arial" w:hAnsi="Arial"/>
          <w:sz w:val="17"/>
          <w:szCs w:val="17"/>
          <w:color w:val="00A0E0"/>
        </w:rPr>
      </w:pPr>
      <w:r>
        <w:rPr>
          <w:rFonts w:ascii="Arial" w:cs="Arial" w:eastAsia="Arial" w:hAnsi="Arial"/>
          <w:sz w:val="18"/>
          <w:szCs w:val="18"/>
          <w:color w:val="auto"/>
        </w:rPr>
        <w:t>Chair, Board of Trustees, Grove City College</w:t>
      </w:r>
    </w:p>
    <w:p>
      <w:pPr>
        <w:ind w:left="251" w:hanging="251"/>
        <w:spacing w:after="0" w:line="234" w:lineRule="auto"/>
        <w:tabs>
          <w:tab w:leader="none" w:pos="251" w:val="left"/>
        </w:tabs>
        <w:numPr>
          <w:ilvl w:val="0"/>
          <w:numId w:val="23"/>
        </w:numPr>
        <w:rPr>
          <w:rFonts w:ascii="Arial" w:cs="Arial" w:eastAsia="Arial" w:hAnsi="Arial"/>
          <w:sz w:val="17"/>
          <w:szCs w:val="17"/>
          <w:color w:val="00A0E0"/>
        </w:rPr>
      </w:pPr>
      <w:r>
        <w:rPr>
          <w:rFonts w:ascii="Arial" w:cs="Arial" w:eastAsia="Arial" w:hAnsi="Arial"/>
          <w:sz w:val="18"/>
          <w:szCs w:val="18"/>
          <w:color w:val="auto"/>
        </w:rPr>
        <w:t>Board of Trustees, Lebanon Valley College</w:t>
      </w:r>
    </w:p>
    <w:p>
      <w:pPr>
        <w:ind w:left="251" w:hanging="251"/>
        <w:spacing w:after="0"/>
        <w:tabs>
          <w:tab w:leader="none" w:pos="251" w:val="left"/>
        </w:tabs>
        <w:numPr>
          <w:ilvl w:val="0"/>
          <w:numId w:val="23"/>
        </w:numPr>
        <w:rPr>
          <w:rFonts w:ascii="Arial" w:cs="Arial" w:eastAsia="Arial" w:hAnsi="Arial"/>
          <w:sz w:val="17"/>
          <w:szCs w:val="17"/>
          <w:color w:val="00A0E0"/>
        </w:rPr>
      </w:pPr>
      <w:r>
        <w:rPr>
          <w:rFonts w:ascii="Arial" w:cs="Arial" w:eastAsia="Arial" w:hAnsi="Arial"/>
          <w:sz w:val="18"/>
          <w:szCs w:val="18"/>
          <w:color w:val="auto"/>
        </w:rPr>
        <w:t>Board of Trustees, The Hun School of Princeton</w:t>
      </w:r>
    </w:p>
    <w:p>
      <w:pPr>
        <w:spacing w:after="0" w:line="802" w:lineRule="exact"/>
        <w:rPr>
          <w:sz w:val="20"/>
          <w:szCs w:val="20"/>
          <w:color w:val="auto"/>
        </w:rPr>
      </w:pPr>
    </w:p>
    <w:p>
      <w:pPr>
        <w:sectPr>
          <w:pgSz w:w="11900" w:h="16838" w:orient="portrait"/>
          <w:cols w:equalWidth="0" w:num="2">
            <w:col w:w="5200" w:space="649"/>
            <w:col w:w="5391"/>
          </w:cols>
          <w:pgMar w:left="320" w:top="122" w:right="339" w:bottom="1440" w:gutter="0" w:footer="0" w:header="0"/>
          <w:type w:val="continuous"/>
        </w:sectPr>
      </w:pPr>
    </w:p>
    <w:p>
      <w:pPr>
        <w:spacing w:after="0" w:line="1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believe that Mr. Breen’s extensive experience in the technology, equipment supplier and consumer products sectors, notably as those sectors relate to the internet, video and wireless industries, and his various experiences as a president and chief executive officer render him qualified to serve as one of our directors.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1400" w:type="dxa"/>
            <w:vAlign w:val="bottom"/>
            <w:vMerge w:val="restart"/>
          </w:tcPr>
          <w:p>
            <w:pPr>
              <w:ind w:left="20"/>
              <w:spacing w:after="0"/>
              <w:rPr>
                <w:sz w:val="20"/>
                <w:szCs w:val="20"/>
                <w:color w:val="auto"/>
              </w:rPr>
            </w:pPr>
            <w:r>
              <w:rPr>
                <w:rFonts w:ascii="Arial" w:cs="Arial" w:eastAsia="Arial" w:hAnsi="Arial"/>
                <w:sz w:val="18"/>
                <w:szCs w:val="18"/>
                <w:color w:val="auto"/>
              </w:rPr>
              <w:t>Relevant</w:t>
            </w:r>
          </w:p>
        </w:tc>
        <w:tc>
          <w:tcPr>
            <w:tcW w:w="1840" w:type="dxa"/>
            <w:vAlign w:val="bottom"/>
          </w:tcPr>
          <w:p>
            <w:pPr>
              <w:ind w:left="500"/>
              <w:spacing w:after="0"/>
              <w:rPr>
                <w:sz w:val="20"/>
                <w:szCs w:val="20"/>
                <w:color w:val="auto"/>
              </w:rPr>
            </w:pPr>
            <w:r>
              <w:rPr>
                <w:rFonts w:ascii="Arial" w:cs="Arial" w:eastAsia="Arial" w:hAnsi="Arial"/>
                <w:sz w:val="18"/>
                <w:szCs w:val="18"/>
                <w:color w:val="auto"/>
              </w:rPr>
              <w:t>Consumer</w:t>
            </w:r>
          </w:p>
        </w:tc>
        <w:tc>
          <w:tcPr>
            <w:tcW w:w="1900" w:type="dxa"/>
            <w:vAlign w:val="bottom"/>
          </w:tcPr>
          <w:p>
            <w:pPr>
              <w:spacing w:after="0"/>
              <w:rPr>
                <w:sz w:val="18"/>
                <w:szCs w:val="18"/>
                <w:color w:val="auto"/>
              </w:rPr>
            </w:pPr>
          </w:p>
        </w:tc>
        <w:tc>
          <w:tcPr>
            <w:tcW w:w="1960" w:type="dxa"/>
            <w:vAlign w:val="bottom"/>
            <w:vMerge w:val="restart"/>
          </w:tcPr>
          <w:p>
            <w:pPr>
              <w:ind w:left="460"/>
              <w:spacing w:after="0"/>
              <w:rPr>
                <w:sz w:val="20"/>
                <w:szCs w:val="20"/>
                <w:color w:val="auto"/>
              </w:rPr>
            </w:pPr>
            <w:r>
              <w:rPr>
                <w:rFonts w:ascii="Arial" w:cs="Arial" w:eastAsia="Arial" w:hAnsi="Arial"/>
                <w:sz w:val="18"/>
                <w:szCs w:val="18"/>
                <w:color w:val="auto"/>
              </w:rPr>
              <w:t>Risk</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420" w:type="dxa"/>
            <w:vAlign w:val="bottom"/>
            <w:vMerge w:val="restart"/>
          </w:tcPr>
          <w:p>
            <w:pPr>
              <w:ind w:left="580"/>
              <w:spacing w:after="0" w:line="202" w:lineRule="exact"/>
              <w:rPr>
                <w:sz w:val="20"/>
                <w:szCs w:val="20"/>
                <w:color w:val="auto"/>
              </w:rPr>
            </w:pPr>
            <w:r>
              <w:rPr>
                <w:rFonts w:ascii="Arial" w:cs="Arial" w:eastAsia="Arial" w:hAnsi="Arial"/>
                <w:sz w:val="18"/>
                <w:szCs w:val="18"/>
                <w:color w:val="auto"/>
              </w:rPr>
              <w:t>Executive</w:t>
            </w:r>
          </w:p>
        </w:tc>
        <w:tc>
          <w:tcPr>
            <w:tcW w:w="1400" w:type="dxa"/>
            <w:vAlign w:val="bottom"/>
            <w:vMerge w:val="continue"/>
          </w:tcPr>
          <w:p>
            <w:pPr>
              <w:spacing w:after="0"/>
              <w:rPr>
                <w:sz w:val="8"/>
                <w:szCs w:val="8"/>
                <w:color w:val="auto"/>
              </w:rPr>
            </w:pPr>
          </w:p>
        </w:tc>
        <w:tc>
          <w:tcPr>
            <w:tcW w:w="1840" w:type="dxa"/>
            <w:vAlign w:val="bottom"/>
            <w:vMerge w:val="restart"/>
          </w:tcPr>
          <w:p>
            <w:pPr>
              <w:ind w:left="500"/>
              <w:spacing w:after="0" w:line="202" w:lineRule="exact"/>
              <w:rPr>
                <w:sz w:val="20"/>
                <w:szCs w:val="20"/>
                <w:color w:val="auto"/>
              </w:rPr>
            </w:pPr>
            <w:r>
              <w:rPr>
                <w:rFonts w:ascii="Arial" w:cs="Arial" w:eastAsia="Arial" w:hAnsi="Arial"/>
                <w:sz w:val="18"/>
                <w:szCs w:val="18"/>
                <w:color w:val="auto"/>
              </w:rPr>
              <w:t>Products/</w:t>
            </w:r>
          </w:p>
        </w:tc>
        <w:tc>
          <w:tcPr>
            <w:tcW w:w="190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140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Industry</w:t>
            </w:r>
          </w:p>
        </w:tc>
        <w:tc>
          <w:tcPr>
            <w:tcW w:w="1840" w:type="dxa"/>
            <w:vAlign w:val="bottom"/>
            <w:vMerge w:val="continue"/>
          </w:tcPr>
          <w:p>
            <w:pPr>
              <w:spacing w:after="0"/>
              <w:rPr>
                <w:sz w:val="9"/>
                <w:szCs w:val="9"/>
                <w:color w:val="auto"/>
              </w:rPr>
            </w:pPr>
          </w:p>
        </w:tc>
        <w:tc>
          <w:tcPr>
            <w:tcW w:w="1900" w:type="dxa"/>
            <w:vAlign w:val="bottom"/>
            <w:vMerge w:val="restart"/>
          </w:tcPr>
          <w:p>
            <w:pPr>
              <w:ind w:left="520"/>
              <w:spacing w:after="0" w:line="202" w:lineRule="exact"/>
              <w:rPr>
                <w:sz w:val="20"/>
                <w:szCs w:val="20"/>
                <w:color w:val="auto"/>
              </w:rPr>
            </w:pPr>
            <w:r>
              <w:rPr>
                <w:rFonts w:ascii="Arial" w:cs="Arial" w:eastAsia="Arial" w:hAnsi="Arial"/>
                <w:sz w:val="18"/>
                <w:szCs w:val="18"/>
                <w:color w:val="auto"/>
              </w:rPr>
              <w:t>Technology</w:t>
            </w:r>
          </w:p>
        </w:tc>
        <w:tc>
          <w:tcPr>
            <w:tcW w:w="1960" w:type="dxa"/>
            <w:vAlign w:val="bottom"/>
            <w:vMerge w:val="restart"/>
          </w:tcPr>
          <w:p>
            <w:pPr>
              <w:ind w:left="460"/>
              <w:spacing w:after="0" w:line="202" w:lineRule="exact"/>
              <w:rPr>
                <w:sz w:val="20"/>
                <w:szCs w:val="20"/>
                <w:color w:val="auto"/>
              </w:rPr>
            </w:pPr>
            <w:r>
              <w:rPr>
                <w:rFonts w:ascii="Arial" w:cs="Arial" w:eastAsia="Arial" w:hAnsi="Arial"/>
                <w:sz w:val="18"/>
                <w:szCs w:val="18"/>
                <w:color w:val="auto"/>
              </w:rPr>
              <w:t>Management</w:t>
            </w:r>
          </w:p>
        </w:tc>
        <w:tc>
          <w:tcPr>
            <w:tcW w:w="1720" w:type="dxa"/>
            <w:vAlign w:val="bottom"/>
            <w:vMerge w:val="restart"/>
          </w:tcPr>
          <w:p>
            <w:pPr>
              <w:ind w:left="460"/>
              <w:spacing w:after="0" w:line="202" w:lineRule="exact"/>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95"/>
        </w:trPr>
        <w:tc>
          <w:tcPr>
            <w:tcW w:w="2420" w:type="dxa"/>
            <w:vAlign w:val="bottom"/>
            <w:vMerge w:val="restart"/>
          </w:tcPr>
          <w:p>
            <w:pPr>
              <w:ind w:left="580"/>
              <w:spacing w:after="0" w:line="202" w:lineRule="exact"/>
              <w:rPr>
                <w:sz w:val="20"/>
                <w:szCs w:val="20"/>
                <w:color w:val="auto"/>
              </w:rPr>
            </w:pPr>
            <w:r>
              <w:rPr>
                <w:rFonts w:ascii="Arial" w:cs="Arial" w:eastAsia="Arial" w:hAnsi="Arial"/>
                <w:sz w:val="18"/>
                <w:szCs w:val="18"/>
                <w:color w:val="auto"/>
              </w:rPr>
              <w:t>Leadership</w:t>
            </w:r>
          </w:p>
        </w:tc>
        <w:tc>
          <w:tcPr>
            <w:tcW w:w="1400" w:type="dxa"/>
            <w:vAlign w:val="bottom"/>
            <w:vMerge w:val="continue"/>
          </w:tcPr>
          <w:p>
            <w:pPr>
              <w:spacing w:after="0"/>
              <w:rPr>
                <w:sz w:val="8"/>
                <w:szCs w:val="8"/>
                <w:color w:val="auto"/>
              </w:rPr>
            </w:pPr>
          </w:p>
        </w:tc>
        <w:tc>
          <w:tcPr>
            <w:tcW w:w="1840" w:type="dxa"/>
            <w:vAlign w:val="bottom"/>
            <w:vMerge w:val="restart"/>
          </w:tcPr>
          <w:p>
            <w:pPr>
              <w:ind w:left="500"/>
              <w:spacing w:after="0" w:line="202" w:lineRule="exact"/>
              <w:rPr>
                <w:sz w:val="20"/>
                <w:szCs w:val="20"/>
                <w:color w:val="auto"/>
              </w:rPr>
            </w:pPr>
            <w:r>
              <w:rPr>
                <w:rFonts w:ascii="Arial" w:cs="Arial" w:eastAsia="Arial" w:hAnsi="Arial"/>
                <w:sz w:val="18"/>
                <w:szCs w:val="18"/>
                <w:color w:val="auto"/>
              </w:rPr>
              <w:t>Customer-</w:t>
            </w:r>
          </w:p>
        </w:tc>
        <w:tc>
          <w:tcPr>
            <w:tcW w:w="1900" w:type="dxa"/>
            <w:vAlign w:val="bottom"/>
            <w:vMerge w:val="continue"/>
          </w:tcPr>
          <w:p>
            <w:pPr>
              <w:spacing w:after="0"/>
              <w:rPr>
                <w:sz w:val="8"/>
                <w:szCs w:val="8"/>
                <w:color w:val="auto"/>
              </w:rPr>
            </w:pPr>
          </w:p>
        </w:tc>
        <w:tc>
          <w:tcPr>
            <w:tcW w:w="1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1400" w:type="dxa"/>
            <w:vAlign w:val="bottom"/>
            <w:vMerge w:val="restart"/>
          </w:tcPr>
          <w:p>
            <w:pPr>
              <w:ind w:left="20"/>
              <w:spacing w:after="0"/>
              <w:rPr>
                <w:sz w:val="20"/>
                <w:szCs w:val="20"/>
                <w:color w:val="auto"/>
              </w:rPr>
            </w:pPr>
            <w:r>
              <w:rPr>
                <w:rFonts w:ascii="Arial" w:cs="Arial" w:eastAsia="Arial" w:hAnsi="Arial"/>
                <w:sz w:val="18"/>
                <w:szCs w:val="18"/>
                <w:color w:val="auto"/>
              </w:rPr>
              <w:t>Experience</w:t>
            </w:r>
          </w:p>
        </w:tc>
        <w:tc>
          <w:tcPr>
            <w:tcW w:w="184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1960" w:type="dxa"/>
            <w:vAlign w:val="bottom"/>
            <w:vMerge w:val="restart"/>
          </w:tcPr>
          <w:p>
            <w:pPr>
              <w:ind w:left="460"/>
              <w:spacing w:after="0"/>
              <w:rPr>
                <w:sz w:val="20"/>
                <w:szCs w:val="20"/>
                <w:color w:val="auto"/>
              </w:rPr>
            </w:pPr>
            <w:r>
              <w:rPr>
                <w:rFonts w:ascii="Arial" w:cs="Arial" w:eastAsia="Arial" w:hAnsi="Arial"/>
                <w:sz w:val="18"/>
                <w:szCs w:val="18"/>
                <w:color w:val="auto"/>
              </w:rPr>
              <w:t>Oversight</w:t>
            </w: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840" w:type="dxa"/>
            <w:vAlign w:val="bottom"/>
            <w:vMerge w:val="restart"/>
          </w:tcPr>
          <w:p>
            <w:pPr>
              <w:ind w:left="500"/>
              <w:spacing w:after="0"/>
              <w:rPr>
                <w:sz w:val="20"/>
                <w:szCs w:val="20"/>
                <w:color w:val="auto"/>
              </w:rPr>
            </w:pPr>
            <w:r>
              <w:rPr>
                <w:rFonts w:ascii="Arial" w:cs="Arial" w:eastAsia="Arial" w:hAnsi="Arial"/>
                <w:sz w:val="18"/>
                <w:szCs w:val="18"/>
                <w:color w:val="auto"/>
              </w:rPr>
              <w:t>Oriented</w:t>
            </w:r>
          </w:p>
        </w:tc>
        <w:tc>
          <w:tcPr>
            <w:tcW w:w="190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19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420" w:type="dxa"/>
            <w:vAlign w:val="bottom"/>
            <w:shd w:val="clear" w:color="auto" w:fill="00A0E0"/>
          </w:tcPr>
          <w:p>
            <w:pPr>
              <w:ind w:left="180"/>
              <w:spacing w:after="0"/>
              <w:rPr>
                <w:sz w:val="20"/>
                <w:szCs w:val="20"/>
                <w:color w:val="auto"/>
              </w:rPr>
            </w:pPr>
            <w:r>
              <w:rPr>
                <w:rFonts w:ascii="Arial" w:cs="Arial" w:eastAsia="Arial" w:hAnsi="Arial"/>
                <w:sz w:val="22"/>
                <w:szCs w:val="22"/>
                <w:b w:val="1"/>
                <w:bCs w:val="1"/>
                <w:color w:val="FFFFFF"/>
                <w:w w:val="98"/>
              </w:rPr>
              <w:t>Jeffrey A. Honickman</w:t>
            </w:r>
          </w:p>
        </w:tc>
        <w:tc>
          <w:tcPr>
            <w:tcW w:w="1400" w:type="dxa"/>
            <w:vAlign w:val="bottom"/>
            <w:shd w:val="clear" w:color="auto" w:fill="00A0E0"/>
          </w:tcPr>
          <w:p>
            <w:pPr>
              <w:spacing w:after="0"/>
              <w:rPr>
                <w:sz w:val="24"/>
                <w:szCs w:val="24"/>
                <w:color w:val="auto"/>
              </w:rPr>
            </w:pPr>
          </w:p>
        </w:tc>
        <w:tc>
          <w:tcPr>
            <w:tcW w:w="1840" w:type="dxa"/>
            <w:vAlign w:val="bottom"/>
            <w:shd w:val="clear" w:color="auto" w:fill="00A0E0"/>
          </w:tcPr>
          <w:p>
            <w:pPr>
              <w:spacing w:after="0"/>
              <w:rPr>
                <w:sz w:val="24"/>
                <w:szCs w:val="24"/>
                <w:color w:val="auto"/>
              </w:rPr>
            </w:pPr>
          </w:p>
        </w:tc>
        <w:tc>
          <w:tcPr>
            <w:tcW w:w="1900" w:type="dxa"/>
            <w:vAlign w:val="bottom"/>
            <w:shd w:val="clear" w:color="auto" w:fill="00A0E0"/>
          </w:tcPr>
          <w:p>
            <w:pPr>
              <w:spacing w:after="0"/>
              <w:rPr>
                <w:sz w:val="24"/>
                <w:szCs w:val="24"/>
                <w:color w:val="auto"/>
              </w:rPr>
            </w:pPr>
          </w:p>
        </w:tc>
        <w:tc>
          <w:tcPr>
            <w:tcW w:w="1960" w:type="dxa"/>
            <w:vAlign w:val="bottom"/>
            <w:shd w:val="clear" w:color="auto" w:fill="00A0E0"/>
          </w:tcPr>
          <w:p>
            <w:pPr>
              <w:spacing w:after="0"/>
              <w:rPr>
                <w:sz w:val="24"/>
                <w:szCs w:val="24"/>
                <w:color w:val="auto"/>
              </w:rPr>
            </w:pPr>
          </w:p>
        </w:tc>
        <w:tc>
          <w:tcPr>
            <w:tcW w:w="1720" w:type="dxa"/>
            <w:vAlign w:val="bottom"/>
            <w:shd w:val="clear" w:color="auto" w:fill="00A0E0"/>
          </w:tcPr>
          <w:p>
            <w:pPr>
              <w:ind w:left="460"/>
              <w:spacing w:after="0"/>
              <w:rPr>
                <w:sz w:val="20"/>
                <w:szCs w:val="20"/>
                <w:color w:val="auto"/>
              </w:rPr>
            </w:pPr>
            <w:r>
              <w:rPr>
                <w:rFonts w:ascii="Arial" w:cs="Arial" w:eastAsia="Arial" w:hAnsi="Arial"/>
                <w:sz w:val="18"/>
                <w:szCs w:val="18"/>
                <w:b w:val="1"/>
                <w:bCs w:val="1"/>
                <w:color w:val="FFFFFF"/>
              </w:rPr>
              <w:t>Independent</w:t>
            </w:r>
          </w:p>
        </w:tc>
        <w:tc>
          <w:tcPr>
            <w:tcW w:w="0" w:type="dxa"/>
            <w:vAlign w:val="bottom"/>
          </w:tcPr>
          <w:p>
            <w:pPr>
              <w:spacing w:after="0"/>
              <w:rPr>
                <w:sz w:val="1"/>
                <w:szCs w:val="1"/>
                <w:color w:val="auto"/>
              </w:rPr>
            </w:pPr>
          </w:p>
        </w:tc>
      </w:tr>
      <w:tr>
        <w:trPr>
          <w:trHeight w:val="82"/>
        </w:trPr>
        <w:tc>
          <w:tcPr>
            <w:tcW w:w="2420" w:type="dxa"/>
            <w:vAlign w:val="bottom"/>
            <w:shd w:val="clear" w:color="auto" w:fill="00A0E0"/>
          </w:tcPr>
          <w:p>
            <w:pPr>
              <w:spacing w:after="0"/>
              <w:rPr>
                <w:sz w:val="7"/>
                <w:szCs w:val="7"/>
                <w:color w:val="auto"/>
              </w:rPr>
            </w:pPr>
          </w:p>
        </w:tc>
        <w:tc>
          <w:tcPr>
            <w:tcW w:w="1400" w:type="dxa"/>
            <w:vAlign w:val="bottom"/>
            <w:shd w:val="clear" w:color="auto" w:fill="00A0E0"/>
          </w:tcPr>
          <w:p>
            <w:pPr>
              <w:spacing w:after="0"/>
              <w:rPr>
                <w:sz w:val="7"/>
                <w:szCs w:val="7"/>
                <w:color w:val="auto"/>
              </w:rPr>
            </w:pPr>
          </w:p>
        </w:tc>
        <w:tc>
          <w:tcPr>
            <w:tcW w:w="1840" w:type="dxa"/>
            <w:vAlign w:val="bottom"/>
            <w:shd w:val="clear" w:color="auto" w:fill="00A0E0"/>
          </w:tcPr>
          <w:p>
            <w:pPr>
              <w:spacing w:after="0"/>
              <w:rPr>
                <w:sz w:val="7"/>
                <w:szCs w:val="7"/>
                <w:color w:val="auto"/>
              </w:rPr>
            </w:pPr>
          </w:p>
        </w:tc>
        <w:tc>
          <w:tcPr>
            <w:tcW w:w="1900" w:type="dxa"/>
            <w:vAlign w:val="bottom"/>
            <w:shd w:val="clear" w:color="auto" w:fill="00A0E0"/>
          </w:tcPr>
          <w:p>
            <w:pPr>
              <w:spacing w:after="0"/>
              <w:rPr>
                <w:sz w:val="7"/>
                <w:szCs w:val="7"/>
                <w:color w:val="auto"/>
              </w:rPr>
            </w:pPr>
          </w:p>
        </w:tc>
        <w:tc>
          <w:tcPr>
            <w:tcW w:w="1960" w:type="dxa"/>
            <w:vAlign w:val="bottom"/>
            <w:shd w:val="clear" w:color="auto" w:fill="00A0E0"/>
          </w:tcPr>
          <w:p>
            <w:pPr>
              <w:spacing w:after="0"/>
              <w:rPr>
                <w:sz w:val="7"/>
                <w:szCs w:val="7"/>
                <w:color w:val="auto"/>
              </w:rPr>
            </w:pPr>
          </w:p>
        </w:tc>
        <w:tc>
          <w:tcPr>
            <w:tcW w:w="1720" w:type="dxa"/>
            <w:vAlign w:val="bottom"/>
            <w:shd w:val="clear" w:color="auto" w:fill="00A0E0"/>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-865505</wp:posOffset>
            </wp:positionV>
            <wp:extent cx="291465" cy="316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1465" cy="31686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-796925</wp:posOffset>
            </wp:positionV>
            <wp:extent cx="29146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1465" cy="18859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-848360</wp:posOffset>
            </wp:positionV>
            <wp:extent cx="291465"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-848360</wp:posOffset>
            </wp:positionV>
            <wp:extent cx="291465"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-848360</wp:posOffset>
            </wp:positionV>
            <wp:extent cx="291465" cy="282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1465" cy="28257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-865505</wp:posOffset>
            </wp:positionV>
            <wp:extent cx="291465" cy="3257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1465"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028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13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Chief Executive Officer of Pepsi-Cola &amp; National Brand Beverages, Ltd.</w:t>
      </w:r>
    </w:p>
    <w:p>
      <w:pPr>
        <w:spacing w:after="0" w:line="158"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67</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December 2005</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 and Governance and Corporate Responsibility</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Career Highlights:</w:t>
      </w:r>
    </w:p>
    <w:p>
      <w:pPr>
        <w:spacing w:after="0" w:line="212" w:lineRule="exact"/>
        <w:rPr>
          <w:sz w:val="20"/>
          <w:szCs w:val="20"/>
          <w:color w:val="auto"/>
        </w:rPr>
      </w:pPr>
    </w:p>
    <w:p>
      <w:pPr>
        <w:ind w:left="260" w:right="220" w:hanging="252"/>
        <w:spacing w:after="0" w:line="238" w:lineRule="auto"/>
        <w:tabs>
          <w:tab w:leader="none" w:pos="260" w:val="left"/>
        </w:tabs>
        <w:numPr>
          <w:ilvl w:val="0"/>
          <w:numId w:val="24"/>
        </w:numPr>
        <w:rPr>
          <w:rFonts w:ascii="Arial" w:cs="Arial" w:eastAsia="Arial" w:hAnsi="Arial"/>
          <w:sz w:val="17"/>
          <w:szCs w:val="17"/>
          <w:color w:val="00A0E0"/>
        </w:rPr>
      </w:pPr>
      <w:r>
        <w:rPr>
          <w:rFonts w:ascii="Arial" w:cs="Arial" w:eastAsia="Arial" w:hAnsi="Arial"/>
          <w:sz w:val="18"/>
          <w:szCs w:val="18"/>
          <w:color w:val="auto"/>
        </w:rPr>
        <w:t>Chief Executive Officer, Pepsi-Cola &amp; National Brand Beverages, Ltd., a bottling and distribution company, which includes among its affiliates Pepsi-Cola Bottling Company of New York, Inc. and Canada Dry bottling companies from New Jersey to Virginia, 1990 – Present</w:t>
      </w:r>
    </w:p>
    <w:p>
      <w:pPr>
        <w:spacing w:after="0" w:line="4" w:lineRule="exact"/>
        <w:rPr>
          <w:rFonts w:ascii="Arial" w:cs="Arial" w:eastAsia="Arial" w:hAnsi="Arial"/>
          <w:sz w:val="17"/>
          <w:szCs w:val="17"/>
          <w:color w:val="00A0E0"/>
        </w:rPr>
      </w:pPr>
    </w:p>
    <w:p>
      <w:pPr>
        <w:ind w:left="260" w:hanging="252"/>
        <w:spacing w:after="0" w:line="250" w:lineRule="auto"/>
        <w:tabs>
          <w:tab w:leader="none" w:pos="260" w:val="left"/>
        </w:tabs>
        <w:numPr>
          <w:ilvl w:val="0"/>
          <w:numId w:val="24"/>
        </w:numPr>
        <w:rPr>
          <w:rFonts w:ascii="Arial" w:cs="Arial" w:eastAsia="Arial" w:hAnsi="Arial"/>
          <w:sz w:val="17"/>
          <w:szCs w:val="17"/>
          <w:color w:val="00A0E0"/>
        </w:rPr>
      </w:pPr>
      <w:r>
        <w:rPr>
          <w:rFonts w:ascii="Arial" w:cs="Arial" w:eastAsia="Arial" w:hAnsi="Arial"/>
          <w:sz w:val="18"/>
          <w:szCs w:val="18"/>
          <w:color w:val="auto"/>
        </w:rPr>
        <w:t>Vice President and Secretary of Antonio Origlio Inc., a beverage distributor based in Philadelphia, Pennsylvania,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Skills and Qualifications: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51"/>
        <w:spacing w:after="0"/>
        <w:rPr>
          <w:sz w:val="20"/>
          <w:szCs w:val="20"/>
          <w:color w:val="auto"/>
        </w:rPr>
      </w:pPr>
      <w:r>
        <w:rPr>
          <w:rFonts w:ascii="Arial" w:cs="Arial" w:eastAsia="Arial" w:hAnsi="Arial"/>
          <w:sz w:val="18"/>
          <w:szCs w:val="18"/>
          <w:color w:val="auto"/>
        </w:rPr>
        <w:t>which does business as Origlio Beverages, 1987 – Present</w:t>
      </w:r>
    </w:p>
    <w:p>
      <w:pPr>
        <w:spacing w:after="0" w:line="8" w:lineRule="exact"/>
        <w:rPr>
          <w:sz w:val="20"/>
          <w:szCs w:val="20"/>
          <w:color w:val="auto"/>
        </w:rPr>
      </w:pPr>
    </w:p>
    <w:p>
      <w:pPr>
        <w:ind w:left="251" w:hanging="251"/>
        <w:spacing w:after="0"/>
        <w:tabs>
          <w:tab w:leader="none" w:pos="251" w:val="left"/>
        </w:tabs>
        <w:numPr>
          <w:ilvl w:val="0"/>
          <w:numId w:val="25"/>
        </w:numPr>
        <w:rPr>
          <w:rFonts w:ascii="Arial" w:cs="Arial" w:eastAsia="Arial" w:hAnsi="Arial"/>
          <w:sz w:val="17"/>
          <w:szCs w:val="17"/>
          <w:color w:val="00A0E0"/>
        </w:rPr>
      </w:pPr>
      <w:r>
        <w:rPr>
          <w:rFonts w:ascii="Arial" w:cs="Arial" w:eastAsia="Arial" w:hAnsi="Arial"/>
          <w:sz w:val="18"/>
          <w:szCs w:val="18"/>
          <w:color w:val="auto"/>
        </w:rPr>
        <w:t>Board of Directors, American Beverage Association</w:t>
      </w:r>
    </w:p>
    <w:p>
      <w:pPr>
        <w:ind w:left="251" w:hanging="251"/>
        <w:spacing w:after="0" w:line="234" w:lineRule="auto"/>
        <w:tabs>
          <w:tab w:leader="none" w:pos="251" w:val="left"/>
        </w:tabs>
        <w:numPr>
          <w:ilvl w:val="0"/>
          <w:numId w:val="25"/>
        </w:numPr>
        <w:rPr>
          <w:rFonts w:ascii="Arial" w:cs="Arial" w:eastAsia="Arial" w:hAnsi="Arial"/>
          <w:sz w:val="17"/>
          <w:szCs w:val="17"/>
          <w:color w:val="00A0E0"/>
        </w:rPr>
      </w:pPr>
      <w:r>
        <w:rPr>
          <w:rFonts w:ascii="Arial" w:cs="Arial" w:eastAsia="Arial" w:hAnsi="Arial"/>
          <w:sz w:val="18"/>
          <w:szCs w:val="18"/>
          <w:color w:val="auto"/>
        </w:rPr>
        <w:t>Board of Trustees, Barnes Foundation</w:t>
      </w:r>
    </w:p>
    <w:p>
      <w:pPr>
        <w:ind w:left="251" w:right="300" w:hanging="251"/>
        <w:spacing w:after="0" w:line="250" w:lineRule="auto"/>
        <w:tabs>
          <w:tab w:leader="none" w:pos="251" w:val="left"/>
        </w:tabs>
        <w:numPr>
          <w:ilvl w:val="0"/>
          <w:numId w:val="25"/>
        </w:numPr>
        <w:rPr>
          <w:rFonts w:ascii="Arial" w:cs="Arial" w:eastAsia="Arial" w:hAnsi="Arial"/>
          <w:sz w:val="17"/>
          <w:szCs w:val="17"/>
          <w:color w:val="00A0E0"/>
        </w:rPr>
      </w:pPr>
      <w:r>
        <w:rPr>
          <w:rFonts w:ascii="Arial" w:cs="Arial" w:eastAsia="Arial" w:hAnsi="Arial"/>
          <w:sz w:val="18"/>
          <w:szCs w:val="18"/>
          <w:color w:val="auto"/>
        </w:rPr>
        <w:t>President’s Advisory Council, Sidney Kimmel Cancer Center, Jefferson Health</w:t>
      </w:r>
    </w:p>
    <w:p>
      <w:pPr>
        <w:spacing w:after="0" w:line="983" w:lineRule="exact"/>
        <w:rPr>
          <w:sz w:val="20"/>
          <w:szCs w:val="20"/>
          <w:color w:val="auto"/>
        </w:rPr>
      </w:pPr>
    </w:p>
    <w:p>
      <w:pPr>
        <w:sectPr>
          <w:pgSz w:w="11900" w:h="16838" w:orient="portrait"/>
          <w:cols w:equalWidth="0" w:num="2">
            <w:col w:w="5360" w:space="489"/>
            <w:col w:w="5391"/>
          </w:cols>
          <w:pgMar w:left="320" w:top="122" w:right="339" w:bottom="1440" w:gutter="0" w:footer="0" w:header="0"/>
          <w:type w:val="continuous"/>
        </w:sectPr>
      </w:pPr>
    </w:p>
    <w:p>
      <w:pPr>
        <w:spacing w:after="0" w:line="12"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We believe that Mr. Honickman’s significant experience in the wholesale and consumer products industries, including his experience as a chief executive officer, and extensive financial acumen renders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91465" cy="3257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1465" cy="325755"/>
                    </a:xfrm>
                    <a:prstGeom prst="rect">
                      <a:avLst/>
                    </a:prstGeom>
                    <a:noFill/>
                  </pic:spPr>
                </pic:pic>
              </a:graphicData>
            </a:graphic>
          </wp:anchor>
        </w:drawing>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Executive Leadership              </w:t>
      </w:r>
      <w:r>
        <w:rPr>
          <w:sz w:val="1"/>
          <w:szCs w:val="1"/>
          <w:color w:val="auto"/>
        </w:rPr>
        <w:drawing>
          <wp:inline distT="0" distB="0" distL="0" distR="0">
            <wp:extent cx="291465" cy="30035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1465" cy="300355"/>
                    </a:xfrm>
                    <a:prstGeom prst="rect">
                      <a:avLst/>
                    </a:prstGeom>
                    <a:noFill/>
                    <a:ln>
                      <a:noFill/>
                    </a:ln>
                  </pic:spPr>
                </pic:pic>
              </a:graphicData>
            </a:graphic>
          </wp:inline>
        </w:drawing>
      </w:r>
      <w:r>
        <w:rPr>
          <w:rFonts w:ascii="Arial" w:cs="Arial" w:eastAsia="Arial" w:hAnsi="Arial"/>
          <w:sz w:val="18"/>
          <w:szCs w:val="18"/>
          <w:color w:val="auto"/>
        </w:rPr>
        <w:t xml:space="preserve"> Consumer Products/Customer-Oriented    </w:t>
      </w:r>
      <w:r>
        <w:rPr>
          <w:sz w:val="1"/>
          <w:szCs w:val="1"/>
          <w:color w:val="auto"/>
        </w:rPr>
        <w:drawing>
          <wp:inline distT="0" distB="0" distL="0" distR="0">
            <wp:extent cx="291465" cy="29146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1465" cy="291465"/>
                    </a:xfrm>
                    <a:prstGeom prst="rect">
                      <a:avLst/>
                    </a:prstGeom>
                    <a:noFill/>
                    <a:ln>
                      <a:noFill/>
                    </a:ln>
                  </pic:spPr>
                </pic:pic>
              </a:graphicData>
            </a:graphic>
          </wp:inline>
        </w:drawing>
      </w:r>
      <w:r>
        <w:rPr>
          <w:rFonts w:ascii="Arial" w:cs="Arial" w:eastAsia="Arial" w:hAnsi="Arial"/>
          <w:sz w:val="18"/>
          <w:szCs w:val="18"/>
          <w:color w:val="auto"/>
        </w:rPr>
        <w:t xml:space="preserve"> Financial/Accounting</w:t>
      </w:r>
    </w:p>
    <w:p>
      <w:pPr>
        <w:sectPr>
          <w:pgSz w:w="11900" w:h="16838" w:orient="portrait"/>
          <w:cols w:equalWidth="0" w:num="1">
            <w:col w:w="11240"/>
          </w:cols>
          <w:pgMar w:left="320" w:top="122" w:right="339" w:bottom="1440" w:gutter="0" w:footer="0" w:header="0"/>
          <w:type w:val="continuous"/>
        </w:sectPr>
      </w:pPr>
    </w:p>
    <w:p>
      <w:pPr>
        <w:spacing w:after="0" w:line="242" w:lineRule="exact"/>
        <w:rPr>
          <w:sz w:val="20"/>
          <w:szCs w:val="20"/>
          <w:color w:val="auto"/>
        </w:rPr>
      </w:pPr>
    </w:p>
    <w:p>
      <w:pPr>
        <w:ind w:left="9520"/>
        <w:spacing w:after="0"/>
        <w:tabs>
          <w:tab w:leader="none" w:pos="11080" w:val="left"/>
        </w:tabs>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r>
        <w:rPr>
          <w:sz w:val="20"/>
          <w:szCs w:val="20"/>
          <w:color w:val="auto"/>
        </w:rPr>
        <w:tab/>
      </w:r>
      <w:r>
        <w:rPr>
          <w:rFonts w:ascii="Arial" w:cs="Arial" w:eastAsia="Arial" w:hAnsi="Arial"/>
          <w:sz w:val="12"/>
          <w:szCs w:val="12"/>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5340" w:type="dxa"/>
            <w:vAlign w:val="bottom"/>
            <w:shd w:val="clear" w:color="auto" w:fill="00A0E0"/>
          </w:tcPr>
          <w:p>
            <w:pPr>
              <w:ind w:left="180"/>
              <w:spacing w:after="0"/>
              <w:rPr>
                <w:sz w:val="20"/>
                <w:szCs w:val="20"/>
                <w:color w:val="auto"/>
              </w:rPr>
            </w:pPr>
            <w:r>
              <w:rPr>
                <w:rFonts w:ascii="Arial" w:cs="Arial" w:eastAsia="Arial" w:hAnsi="Arial"/>
                <w:sz w:val="22"/>
                <w:szCs w:val="22"/>
                <w:b w:val="1"/>
                <w:bCs w:val="1"/>
                <w:color w:val="FFFFFF"/>
              </w:rPr>
              <w:t>Wonya Y. Lucas</w:t>
            </w:r>
          </w:p>
        </w:tc>
        <w:tc>
          <w:tcPr>
            <w:tcW w:w="5900" w:type="dxa"/>
            <w:vAlign w:val="bottom"/>
            <w:shd w:val="clear" w:color="auto" w:fill="00A0E0"/>
          </w:tcPr>
          <w:p>
            <w:pPr>
              <w:ind w:left="4640"/>
              <w:spacing w:after="0"/>
              <w:rPr>
                <w:sz w:val="20"/>
                <w:szCs w:val="20"/>
                <w:color w:val="auto"/>
              </w:rPr>
            </w:pPr>
            <w:r>
              <w:rPr>
                <w:rFonts w:ascii="Arial" w:cs="Arial" w:eastAsia="Arial" w:hAnsi="Arial"/>
                <w:sz w:val="18"/>
                <w:szCs w:val="18"/>
                <w:b w:val="1"/>
                <w:bCs w:val="1"/>
                <w:color w:val="FFFFFF"/>
              </w:rPr>
              <w:t>Independent</w:t>
            </w:r>
          </w:p>
        </w:tc>
        <w:tc>
          <w:tcPr>
            <w:tcW w:w="0" w:type="dxa"/>
            <w:vAlign w:val="bottom"/>
          </w:tcPr>
          <w:p>
            <w:pPr>
              <w:spacing w:after="0"/>
              <w:rPr>
                <w:sz w:val="1"/>
                <w:szCs w:val="1"/>
                <w:color w:val="auto"/>
              </w:rPr>
            </w:pPr>
          </w:p>
        </w:tc>
      </w:tr>
      <w:tr>
        <w:trPr>
          <w:trHeight w:val="82"/>
        </w:trPr>
        <w:tc>
          <w:tcPr>
            <w:tcW w:w="11240" w:type="dxa"/>
            <w:vAlign w:val="bottom"/>
            <w:gridSpan w:val="2"/>
            <w:shd w:val="clear" w:color="auto" w:fill="00A0E0"/>
          </w:tcPr>
          <w:p>
            <w:pPr>
              <w:spacing w:after="0"/>
              <w:rPr>
                <w:sz w:val="7"/>
                <w:szCs w:val="7"/>
                <w:color w:val="auto"/>
              </w:rPr>
            </w:pPr>
          </w:p>
        </w:tc>
        <w:tc>
          <w:tcPr>
            <w:tcW w:w="0" w:type="dxa"/>
            <w:vAlign w:val="bottom"/>
          </w:tcPr>
          <w:p>
            <w:pPr>
              <w:spacing w:after="0"/>
              <w:rPr>
                <w:sz w:val="1"/>
                <w:szCs w:val="1"/>
                <w:color w:val="auto"/>
              </w:rPr>
            </w:pPr>
          </w:p>
        </w:tc>
      </w:tr>
      <w:tr>
        <w:trPr>
          <w:trHeight w:val="396"/>
        </w:trPr>
        <w:tc>
          <w:tcPr>
            <w:tcW w:w="11240" w:type="dxa"/>
            <w:vAlign w:val="bottom"/>
            <w:gridSpan w:val="2"/>
            <w:shd w:val="clear" w:color="auto" w:fill="E0F0FB"/>
          </w:tcPr>
          <w:p>
            <w:pPr>
              <w:ind w:left="1640"/>
              <w:spacing w:after="0"/>
              <w:rPr>
                <w:sz w:val="20"/>
                <w:szCs w:val="20"/>
                <w:color w:val="auto"/>
              </w:rPr>
            </w:pPr>
            <w:r>
              <w:rPr>
                <w:rFonts w:ascii="Arial" w:cs="Arial" w:eastAsia="Arial" w:hAnsi="Arial"/>
                <w:sz w:val="18"/>
                <w:szCs w:val="18"/>
                <w:color w:val="auto"/>
              </w:rPr>
              <w:t>Former Chief Executive Officer of Hallmark Media Networks</w:t>
            </w:r>
          </w:p>
        </w:tc>
        <w:tc>
          <w:tcPr>
            <w:tcW w:w="0" w:type="dxa"/>
            <w:vAlign w:val="bottom"/>
          </w:tcPr>
          <w:p>
            <w:pPr>
              <w:spacing w:after="0"/>
              <w:rPr>
                <w:sz w:val="1"/>
                <w:szCs w:val="1"/>
                <w:color w:val="auto"/>
              </w:rPr>
            </w:pPr>
          </w:p>
        </w:tc>
      </w:tr>
      <w:tr>
        <w:trPr>
          <w:trHeight w:val="274"/>
        </w:trPr>
        <w:tc>
          <w:tcPr>
            <w:tcW w:w="5340" w:type="dxa"/>
            <w:vAlign w:val="bottom"/>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63</w:t>
            </w:r>
          </w:p>
        </w:tc>
        <w:tc>
          <w:tcPr>
            <w:tcW w:w="5900" w:type="dxa"/>
            <w:vAlign w:val="bottom"/>
            <w:shd w:val="clear" w:color="auto" w:fill="E0F0FB"/>
          </w:tcPr>
          <w:p>
            <w:pPr>
              <w:ind w:left="140"/>
              <w:spacing w:after="0"/>
              <w:rPr>
                <w:sz w:val="20"/>
                <w:szCs w:val="20"/>
                <w:color w:val="auto"/>
              </w:rPr>
            </w:pPr>
            <w:r>
              <w:rPr>
                <w:rFonts w:ascii="Arial" w:cs="Arial" w:eastAsia="Arial" w:hAnsi="Arial"/>
                <w:sz w:val="18"/>
                <w:szCs w:val="18"/>
                <w:b w:val="1"/>
                <w:bCs w:val="1"/>
                <w:color w:val="auto"/>
              </w:rPr>
              <w:t>Other Current Public Company Directorships:</w:t>
            </w:r>
          </w:p>
        </w:tc>
        <w:tc>
          <w:tcPr>
            <w:tcW w:w="0" w:type="dxa"/>
            <w:vAlign w:val="bottom"/>
          </w:tcPr>
          <w:p>
            <w:pPr>
              <w:spacing w:after="0"/>
              <w:rPr>
                <w:sz w:val="1"/>
                <w:szCs w:val="1"/>
                <w:color w:val="auto"/>
              </w:rPr>
            </w:pPr>
          </w:p>
        </w:tc>
      </w:tr>
      <w:tr>
        <w:trPr>
          <w:trHeight w:val="239"/>
        </w:trPr>
        <w:tc>
          <w:tcPr>
            <w:tcW w:w="5340" w:type="dxa"/>
            <w:vAlign w:val="bottom"/>
            <w:vMerge w:val="restart"/>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April 2024</w:t>
            </w:r>
          </w:p>
        </w:tc>
        <w:tc>
          <w:tcPr>
            <w:tcW w:w="5900" w:type="dxa"/>
            <w:vAlign w:val="bottom"/>
            <w:shd w:val="clear" w:color="auto" w:fill="E0F0FB"/>
          </w:tcPr>
          <w:p>
            <w:pPr>
              <w:ind w:left="140"/>
              <w:spacing w:after="0"/>
              <w:rPr>
                <w:sz w:val="20"/>
                <w:szCs w:val="20"/>
                <w:color w:val="auto"/>
              </w:rPr>
            </w:pPr>
            <w:r>
              <w:rPr>
                <w:rFonts w:ascii="Arial" w:cs="Arial" w:eastAsia="Arial" w:hAnsi="Arial"/>
                <w:sz w:val="18"/>
                <w:szCs w:val="18"/>
                <w:color w:val="auto"/>
              </w:rPr>
              <w:t>Atlanta Braves Holdings, Inc.</w:t>
            </w:r>
          </w:p>
        </w:tc>
        <w:tc>
          <w:tcPr>
            <w:tcW w:w="0" w:type="dxa"/>
            <w:vAlign w:val="bottom"/>
          </w:tcPr>
          <w:p>
            <w:pPr>
              <w:spacing w:after="0"/>
              <w:rPr>
                <w:sz w:val="1"/>
                <w:szCs w:val="1"/>
                <w:color w:val="auto"/>
              </w:rPr>
            </w:pPr>
          </w:p>
        </w:tc>
      </w:tr>
      <w:tr>
        <w:trPr>
          <w:trHeight w:val="89"/>
        </w:trPr>
        <w:tc>
          <w:tcPr>
            <w:tcW w:w="5340" w:type="dxa"/>
            <w:vAlign w:val="bottom"/>
            <w:vMerge w:val="continue"/>
            <w:shd w:val="clear" w:color="auto" w:fill="E0F0FB"/>
          </w:tcPr>
          <w:p>
            <w:pPr>
              <w:spacing w:after="0"/>
              <w:rPr>
                <w:sz w:val="7"/>
                <w:szCs w:val="7"/>
                <w:color w:val="auto"/>
              </w:rPr>
            </w:pPr>
          </w:p>
        </w:tc>
        <w:tc>
          <w:tcPr>
            <w:tcW w:w="5900" w:type="dxa"/>
            <w:vAlign w:val="bottom"/>
            <w:vMerge w:val="restart"/>
            <w:shd w:val="clear" w:color="auto" w:fill="E0F0FB"/>
          </w:tcPr>
          <w:p>
            <w:pPr>
              <w:ind w:left="140"/>
              <w:spacing w:after="0"/>
              <w:rPr>
                <w:sz w:val="20"/>
                <w:szCs w:val="20"/>
                <w:color w:val="auto"/>
              </w:rPr>
            </w:pPr>
            <w:r>
              <w:rPr>
                <w:rFonts w:ascii="Arial" w:cs="Arial" w:eastAsia="Arial" w:hAnsi="Arial"/>
                <w:sz w:val="18"/>
                <w:szCs w:val="18"/>
                <w:b w:val="1"/>
                <w:bCs w:val="1"/>
                <w:color w:val="auto"/>
              </w:rPr>
              <w:t>Former Public Company Directorships:</w:t>
            </w:r>
          </w:p>
        </w:tc>
        <w:tc>
          <w:tcPr>
            <w:tcW w:w="0" w:type="dxa"/>
            <w:vAlign w:val="bottom"/>
          </w:tcPr>
          <w:p>
            <w:pPr>
              <w:spacing w:after="0"/>
              <w:rPr>
                <w:sz w:val="1"/>
                <w:szCs w:val="1"/>
                <w:color w:val="auto"/>
              </w:rPr>
            </w:pPr>
          </w:p>
        </w:tc>
      </w:tr>
      <w:tr>
        <w:trPr>
          <w:trHeight w:val="185"/>
        </w:trPr>
        <w:tc>
          <w:tcPr>
            <w:tcW w:w="5340" w:type="dxa"/>
            <w:vAlign w:val="bottom"/>
            <w:shd w:val="clear" w:color="auto" w:fill="E0F0FB"/>
          </w:tcPr>
          <w:p>
            <w:pPr>
              <w:spacing w:after="0"/>
              <w:rPr>
                <w:sz w:val="16"/>
                <w:szCs w:val="16"/>
                <w:color w:val="auto"/>
              </w:rPr>
            </w:pPr>
          </w:p>
        </w:tc>
        <w:tc>
          <w:tcPr>
            <w:tcW w:w="5900" w:type="dxa"/>
            <w:vAlign w:val="bottom"/>
            <w:vMerge w:val="continue"/>
            <w:shd w:val="clear" w:color="auto" w:fill="E0F0FB"/>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340" w:type="dxa"/>
            <w:vAlign w:val="bottom"/>
            <w:shd w:val="clear" w:color="auto" w:fill="E0F0FB"/>
          </w:tcPr>
          <w:p>
            <w:pPr>
              <w:spacing w:after="0"/>
              <w:rPr>
                <w:sz w:val="20"/>
                <w:szCs w:val="20"/>
                <w:color w:val="auto"/>
              </w:rPr>
            </w:pPr>
          </w:p>
        </w:tc>
        <w:tc>
          <w:tcPr>
            <w:tcW w:w="5900" w:type="dxa"/>
            <w:vAlign w:val="bottom"/>
            <w:shd w:val="clear" w:color="auto" w:fill="E0F0FB"/>
          </w:tcPr>
          <w:p>
            <w:pPr>
              <w:ind w:left="140"/>
              <w:spacing w:after="0"/>
              <w:rPr>
                <w:sz w:val="20"/>
                <w:szCs w:val="20"/>
                <w:color w:val="auto"/>
              </w:rPr>
            </w:pPr>
            <w:r>
              <w:rPr>
                <w:rFonts w:ascii="Arial" w:cs="Arial" w:eastAsia="Arial" w:hAnsi="Arial"/>
                <w:sz w:val="18"/>
                <w:szCs w:val="18"/>
                <w:color w:val="auto"/>
              </w:rPr>
              <w:t>E.W. Scripps Company, J.C. Penney Company, Inc.</w:t>
            </w:r>
          </w:p>
        </w:tc>
        <w:tc>
          <w:tcPr>
            <w:tcW w:w="0" w:type="dxa"/>
            <w:vAlign w:val="bottom"/>
          </w:tcPr>
          <w:p>
            <w:pPr>
              <w:spacing w:after="0"/>
              <w:rPr>
                <w:sz w:val="1"/>
                <w:szCs w:val="1"/>
                <w:color w:val="auto"/>
              </w:rPr>
            </w:pPr>
          </w:p>
        </w:tc>
      </w:tr>
      <w:tr>
        <w:trPr>
          <w:trHeight w:val="212"/>
        </w:trPr>
        <w:tc>
          <w:tcPr>
            <w:tcW w:w="5340" w:type="dxa"/>
            <w:vAlign w:val="bottom"/>
            <w:shd w:val="clear" w:color="auto" w:fill="E0F0FB"/>
          </w:tcPr>
          <w:p>
            <w:pPr>
              <w:spacing w:after="0"/>
              <w:rPr>
                <w:sz w:val="18"/>
                <w:szCs w:val="18"/>
                <w:color w:val="auto"/>
              </w:rPr>
            </w:pPr>
          </w:p>
        </w:tc>
        <w:tc>
          <w:tcPr>
            <w:tcW w:w="5900" w:type="dxa"/>
            <w:vAlign w:val="bottom"/>
            <w:shd w:val="clear" w:color="auto" w:fill="E0F0FB"/>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5340" w:type="dxa"/>
            <w:vAlign w:val="bottom"/>
          </w:tcPr>
          <w:p>
            <w:pPr>
              <w:spacing w:after="0"/>
              <w:rPr>
                <w:sz w:val="20"/>
                <w:szCs w:val="20"/>
                <w:color w:val="auto"/>
              </w:rPr>
            </w:pPr>
            <w:r>
              <w:rPr>
                <w:rFonts w:ascii="Arial" w:cs="Arial" w:eastAsia="Arial" w:hAnsi="Arial"/>
                <w:sz w:val="18"/>
                <w:szCs w:val="18"/>
                <w:b w:val="1"/>
                <w:bCs w:val="1"/>
                <w:color w:val="00A0E0"/>
              </w:rPr>
              <w:t>Career Highlights:</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34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President and Chief Executive Officer of Hallmark Media</w:t>
            </w:r>
          </w:p>
        </w:tc>
        <w:tc>
          <w:tcPr>
            <w:tcW w:w="5900" w:type="dxa"/>
            <w:vAlign w:val="bottom"/>
          </w:tcPr>
          <w:p>
            <w:pPr>
              <w:ind w:left="50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Board of Trustees, Children’s Hospital of Atlanta</w:t>
            </w:r>
          </w:p>
        </w:tc>
        <w:tc>
          <w:tcPr>
            <w:tcW w:w="0" w:type="dxa"/>
            <w:vAlign w:val="bottom"/>
          </w:tcPr>
          <w:p>
            <w:pPr>
              <w:spacing w:after="0"/>
              <w:rPr>
                <w:sz w:val="1"/>
                <w:szCs w:val="1"/>
                <w:color w:val="auto"/>
              </w:rPr>
            </w:pPr>
          </w:p>
        </w:tc>
      </w:tr>
      <w:tr>
        <w:trPr>
          <w:trHeight w:val="203"/>
        </w:trPr>
        <w:tc>
          <w:tcPr>
            <w:tcW w:w="5340" w:type="dxa"/>
            <w:vAlign w:val="bottom"/>
          </w:tcPr>
          <w:p>
            <w:pPr>
              <w:ind w:left="260"/>
              <w:spacing w:after="0" w:line="202" w:lineRule="exact"/>
              <w:rPr>
                <w:sz w:val="20"/>
                <w:szCs w:val="20"/>
                <w:color w:val="auto"/>
              </w:rPr>
            </w:pPr>
            <w:r>
              <w:rPr>
                <w:rFonts w:ascii="Arial" w:cs="Arial" w:eastAsia="Arial" w:hAnsi="Arial"/>
                <w:sz w:val="18"/>
                <w:szCs w:val="18"/>
                <w:color w:val="auto"/>
              </w:rPr>
              <w:t>Networks, 2020 – 2023</w:t>
            </w:r>
          </w:p>
        </w:tc>
        <w:tc>
          <w:tcPr>
            <w:tcW w:w="5900" w:type="dxa"/>
            <w:vAlign w:val="bottom"/>
          </w:tcPr>
          <w:p>
            <w:pPr>
              <w:ind w:left="50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Board of Directors, Community Foundation for Greater Atlanta</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President and Chief Executive Officer of Public Broadcasting</w:t>
            </w:r>
          </w:p>
        </w:tc>
        <w:tc>
          <w:tcPr>
            <w:tcW w:w="5900" w:type="dxa"/>
            <w:vAlign w:val="bottom"/>
          </w:tcPr>
          <w:p>
            <w:pPr>
              <w:ind w:left="50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Board of Trustees, Georgia Tech Foundation</w:t>
            </w:r>
          </w:p>
        </w:tc>
        <w:tc>
          <w:tcPr>
            <w:tcW w:w="0" w:type="dxa"/>
            <w:vAlign w:val="bottom"/>
          </w:tcPr>
          <w:p>
            <w:pPr>
              <w:spacing w:after="0"/>
              <w:rPr>
                <w:sz w:val="1"/>
                <w:szCs w:val="1"/>
                <w:color w:val="auto"/>
              </w:rPr>
            </w:pPr>
          </w:p>
        </w:tc>
      </w:tr>
      <w:tr>
        <w:trPr>
          <w:trHeight w:val="203"/>
        </w:trPr>
        <w:tc>
          <w:tcPr>
            <w:tcW w:w="5340" w:type="dxa"/>
            <w:vAlign w:val="bottom"/>
          </w:tcPr>
          <w:p>
            <w:pPr>
              <w:ind w:left="260"/>
              <w:spacing w:after="0" w:line="202" w:lineRule="exact"/>
              <w:rPr>
                <w:sz w:val="20"/>
                <w:szCs w:val="20"/>
                <w:color w:val="auto"/>
              </w:rPr>
            </w:pPr>
            <w:r>
              <w:rPr>
                <w:rFonts w:ascii="Arial" w:cs="Arial" w:eastAsia="Arial" w:hAnsi="Arial"/>
                <w:sz w:val="18"/>
                <w:szCs w:val="18"/>
                <w:color w:val="auto"/>
              </w:rPr>
              <w:t>Atlanta, 2015 – 2020</w:t>
            </w:r>
          </w:p>
        </w:tc>
        <w:tc>
          <w:tcPr>
            <w:tcW w:w="5900" w:type="dxa"/>
            <w:vAlign w:val="bottom"/>
          </w:tcPr>
          <w:p>
            <w:pPr>
              <w:ind w:left="50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Board of Trustees, Sundance Institute</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President of Lucas Strategic Consultants LLC, 2013 – 2015</w:t>
            </w:r>
          </w:p>
        </w:tc>
        <w:tc>
          <w:tcPr>
            <w:tcW w:w="5900" w:type="dxa"/>
            <w:vAlign w:val="bottom"/>
          </w:tcPr>
          <w:p>
            <w:pPr>
              <w:ind w:left="50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Former Board Member, National Cable and Telecommunications</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President and Chief Executive Officer of TV One, 2011 – 2013</w:t>
            </w:r>
          </w:p>
        </w:tc>
        <w:tc>
          <w:tcPr>
            <w:tcW w:w="5900" w:type="dxa"/>
            <w:vAlign w:val="bottom"/>
          </w:tcPr>
          <w:p>
            <w:pPr>
              <w:ind w:left="760"/>
              <w:spacing w:after="0" w:line="202" w:lineRule="exact"/>
              <w:rPr>
                <w:sz w:val="20"/>
                <w:szCs w:val="20"/>
                <w:color w:val="auto"/>
              </w:rPr>
            </w:pPr>
            <w:r>
              <w:rPr>
                <w:rFonts w:ascii="Arial" w:cs="Arial" w:eastAsia="Arial" w:hAnsi="Arial"/>
                <w:sz w:val="18"/>
                <w:szCs w:val="18"/>
                <w:color w:val="auto"/>
              </w:rPr>
              <w:t>Association (NCTA)</w:t>
            </w:r>
          </w:p>
        </w:tc>
        <w:tc>
          <w:tcPr>
            <w:tcW w:w="0" w:type="dxa"/>
            <w:vAlign w:val="bottom"/>
          </w:tcPr>
          <w:p>
            <w:pPr>
              <w:spacing w:after="0"/>
              <w:rPr>
                <w:sz w:val="1"/>
                <w:szCs w:val="1"/>
                <w:color w:val="auto"/>
              </w:rPr>
            </w:pPr>
          </w:p>
        </w:tc>
      </w:tr>
      <w:tr>
        <w:trPr>
          <w:trHeight w:val="242"/>
        </w:trPr>
        <w:tc>
          <w:tcPr>
            <w:tcW w:w="534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Chair, Board of Jurors, Peabody Awards</w:t>
            </w:r>
          </w:p>
        </w:tc>
        <w:tc>
          <w:tcPr>
            <w:tcW w:w="5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-2239645</wp:posOffset>
            </wp:positionV>
            <wp:extent cx="805815" cy="8147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05815" cy="81470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Skills and Qualifications:</w:t>
      </w:r>
    </w:p>
    <w:p>
      <w:pPr>
        <w:spacing w:after="0" w:line="212" w:lineRule="exact"/>
        <w:rPr>
          <w:sz w:val="20"/>
          <w:szCs w:val="20"/>
          <w:color w:val="auto"/>
        </w:rPr>
      </w:pPr>
    </w:p>
    <w:p>
      <w:pPr>
        <w:ind w:right="440"/>
        <w:spacing w:after="0" w:line="301" w:lineRule="auto"/>
        <w:rPr>
          <w:sz w:val="20"/>
          <w:szCs w:val="20"/>
          <w:color w:val="auto"/>
        </w:rPr>
      </w:pPr>
      <w:r>
        <w:rPr>
          <w:rFonts w:ascii="Arial" w:cs="Arial" w:eastAsia="Arial" w:hAnsi="Arial"/>
          <w:sz w:val="17"/>
          <w:szCs w:val="17"/>
          <w:color w:val="auto"/>
        </w:rPr>
        <w:t>We believe that Ms. Lucas’ experience and leadership in the media and entertainment sector, her extensive marketing and strategy expertise, as well as her prior experience as a president and chief executive officer, render her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291465" cy="317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1465" cy="317500"/>
                    </a:xfrm>
                    <a:prstGeom prst="rect">
                      <a:avLst/>
                    </a:prstGeom>
                    <a:noFill/>
                  </pic:spPr>
                </pic:pic>
              </a:graphicData>
            </a:graphic>
          </wp:anchor>
        </w:drawing>
        <w:drawing>
          <wp:anchor simplePos="0" relativeHeight="251657728" behindDoc="1" locked="0" layoutInCell="0" allowOverlap="1">
            <wp:simplePos x="0" y="0"/>
            <wp:positionH relativeFrom="column">
              <wp:posOffset>1693545</wp:posOffset>
            </wp:positionH>
            <wp:positionV relativeFrom="paragraph">
              <wp:posOffset>103505</wp:posOffset>
            </wp:positionV>
            <wp:extent cx="291465" cy="2832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1465" cy="28321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103505</wp:posOffset>
            </wp:positionV>
            <wp:extent cx="291465" cy="2832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91465" cy="283210"/>
                    </a:xfrm>
                    <a:prstGeom prst="rect">
                      <a:avLst/>
                    </a:prstGeom>
                    <a:noFill/>
                  </pic:spPr>
                </pic:pic>
              </a:graphicData>
            </a:graphic>
          </wp:anchor>
        </w:drawing>
      </w:r>
    </w:p>
    <w:p>
      <w:pPr>
        <w:spacing w:after="0" w:line="151" w:lineRule="exact"/>
        <w:rPr>
          <w:sz w:val="20"/>
          <w:szCs w:val="20"/>
          <w:color w:val="auto"/>
        </w:rPr>
      </w:pPr>
    </w:p>
    <w:p>
      <w:pPr>
        <w:ind w:left="580"/>
        <w:spacing w:after="0"/>
        <w:tabs>
          <w:tab w:leader="none" w:pos="3220" w:val="left"/>
          <w:tab w:leader="none" w:pos="6040" w:val="left"/>
          <w:tab w:leader="none" w:pos="8940" w:val="left"/>
        </w:tabs>
        <w:rPr>
          <w:sz w:val="20"/>
          <w:szCs w:val="20"/>
          <w:color w:val="auto"/>
        </w:rPr>
      </w:pPr>
      <w:r>
        <w:rPr>
          <w:rFonts w:ascii="Arial" w:cs="Arial" w:eastAsia="Arial" w:hAnsi="Arial"/>
          <w:sz w:val="18"/>
          <w:szCs w:val="18"/>
          <w:color w:val="auto"/>
        </w:rPr>
        <w:t>Executive</w:t>
      </w:r>
      <w:r>
        <w:rPr>
          <w:sz w:val="20"/>
          <w:szCs w:val="20"/>
          <w:color w:val="auto"/>
        </w:rPr>
        <w:tab/>
      </w:r>
      <w:r>
        <w:rPr>
          <w:rFonts w:ascii="Arial" w:cs="Arial" w:eastAsia="Arial" w:hAnsi="Arial"/>
          <w:sz w:val="18"/>
          <w:szCs w:val="18"/>
          <w:color w:val="auto"/>
        </w:rPr>
        <w:t>Relevant Industry</w:t>
      </w:r>
      <w:r>
        <w:rPr>
          <w:sz w:val="20"/>
          <w:szCs w:val="20"/>
          <w:color w:val="auto"/>
        </w:rPr>
        <w:tab/>
      </w:r>
      <w:r>
        <w:rPr>
          <w:rFonts w:ascii="Arial" w:cs="Arial" w:eastAsia="Arial" w:hAnsi="Arial"/>
          <w:sz w:val="18"/>
          <w:szCs w:val="18"/>
          <w:color w:val="auto"/>
        </w:rPr>
        <w:t>Consumer Products/</w:t>
      </w:r>
      <w:r>
        <w:rPr>
          <w:sz w:val="20"/>
          <w:szCs w:val="20"/>
          <w:color w:val="auto"/>
        </w:rPr>
        <w:tab/>
      </w:r>
      <w:r>
        <w:rPr>
          <w:rFonts w:ascii="Arial" w:cs="Arial" w:eastAsia="Arial" w:hAnsi="Arial"/>
          <w:sz w:val="17"/>
          <w:szCs w:val="17"/>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-93345</wp:posOffset>
            </wp:positionV>
            <wp:extent cx="291465"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91465" cy="214630"/>
                    </a:xfrm>
                    <a:prstGeom prst="rect">
                      <a:avLst/>
                    </a:prstGeom>
                    <a:noFill/>
                  </pic:spPr>
                </pic:pic>
              </a:graphicData>
            </a:graphic>
          </wp:anchor>
        </w:drawing>
      </w:r>
    </w:p>
    <w:p>
      <w:pPr>
        <w:ind w:left="580"/>
        <w:spacing w:after="0"/>
        <w:tabs>
          <w:tab w:leader="none" w:pos="3220" w:val="left"/>
          <w:tab w:leader="none" w:pos="6040" w:val="left"/>
          <w:tab w:leader="none" w:pos="8940" w:val="left"/>
        </w:tabs>
        <w:rPr>
          <w:sz w:val="20"/>
          <w:szCs w:val="20"/>
          <w:color w:val="auto"/>
        </w:rPr>
      </w:pPr>
      <w:r>
        <w:rPr>
          <w:rFonts w:ascii="Arial" w:cs="Arial" w:eastAsia="Arial" w:hAnsi="Arial"/>
          <w:sz w:val="18"/>
          <w:szCs w:val="18"/>
          <w:color w:val="auto"/>
        </w:rPr>
        <w:t>Leadership</w:t>
      </w:r>
      <w:r>
        <w:rPr>
          <w:sz w:val="20"/>
          <w:szCs w:val="20"/>
          <w:color w:val="auto"/>
        </w:rPr>
        <w:tab/>
      </w:r>
      <w:r>
        <w:rPr>
          <w:rFonts w:ascii="Arial" w:cs="Arial" w:eastAsia="Arial" w:hAnsi="Arial"/>
          <w:sz w:val="18"/>
          <w:szCs w:val="18"/>
          <w:color w:val="auto"/>
        </w:rPr>
        <w:t>Experience</w:t>
      </w:r>
      <w:r>
        <w:rPr>
          <w:sz w:val="20"/>
          <w:szCs w:val="20"/>
          <w:color w:val="auto"/>
        </w:rPr>
        <w:tab/>
      </w:r>
      <w:r>
        <w:rPr>
          <w:rFonts w:ascii="Arial" w:cs="Arial" w:eastAsia="Arial" w:hAnsi="Arial"/>
          <w:sz w:val="18"/>
          <w:szCs w:val="18"/>
          <w:color w:val="auto"/>
        </w:rPr>
        <w:t>Customer-Oriented</w:t>
      </w:r>
      <w:r>
        <w:rPr>
          <w:sz w:val="20"/>
          <w:szCs w:val="20"/>
          <w:color w:val="auto"/>
        </w:rPr>
        <w:tab/>
      </w:r>
      <w:r>
        <w:rPr>
          <w:rFonts w:ascii="Arial" w:cs="Arial" w:eastAsia="Arial" w:hAnsi="Arial"/>
          <w:sz w:val="17"/>
          <w:szCs w:val="17"/>
          <w:color w:val="auto"/>
        </w:rPr>
        <w:t>Oversight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4920" w:type="dxa"/>
            <w:vAlign w:val="bottom"/>
            <w:shd w:val="clear" w:color="auto" w:fill="00A0E0"/>
          </w:tcPr>
          <w:p>
            <w:pPr>
              <w:ind w:left="180"/>
              <w:spacing w:after="0"/>
              <w:rPr>
                <w:sz w:val="20"/>
                <w:szCs w:val="20"/>
                <w:color w:val="auto"/>
              </w:rPr>
            </w:pPr>
            <w:r>
              <w:rPr>
                <w:rFonts w:ascii="Arial" w:cs="Arial" w:eastAsia="Arial" w:hAnsi="Arial"/>
                <w:sz w:val="22"/>
                <w:szCs w:val="22"/>
                <w:b w:val="1"/>
                <w:bCs w:val="1"/>
                <w:color w:val="FFFFFF"/>
              </w:rPr>
              <w:t>Asuka Nakahara</w:t>
            </w:r>
          </w:p>
        </w:tc>
        <w:tc>
          <w:tcPr>
            <w:tcW w:w="6320" w:type="dxa"/>
            <w:vAlign w:val="bottom"/>
            <w:shd w:val="clear" w:color="auto" w:fill="00A0E0"/>
          </w:tcPr>
          <w:p>
            <w:pPr>
              <w:ind w:left="5060"/>
              <w:spacing w:after="0"/>
              <w:rPr>
                <w:sz w:val="20"/>
                <w:szCs w:val="20"/>
                <w:color w:val="auto"/>
              </w:rPr>
            </w:pPr>
            <w:r>
              <w:rPr>
                <w:rFonts w:ascii="Arial" w:cs="Arial" w:eastAsia="Arial" w:hAnsi="Arial"/>
                <w:sz w:val="18"/>
                <w:szCs w:val="18"/>
                <w:b w:val="1"/>
                <w:bCs w:val="1"/>
                <w:color w:val="FFFFFF"/>
              </w:rPr>
              <w:t>Independent</w:t>
            </w:r>
          </w:p>
        </w:tc>
        <w:tc>
          <w:tcPr>
            <w:tcW w:w="0" w:type="dxa"/>
            <w:vAlign w:val="bottom"/>
          </w:tcPr>
          <w:p>
            <w:pPr>
              <w:spacing w:after="0"/>
              <w:rPr>
                <w:sz w:val="1"/>
                <w:szCs w:val="1"/>
                <w:color w:val="auto"/>
              </w:rPr>
            </w:pPr>
          </w:p>
        </w:tc>
      </w:tr>
      <w:tr>
        <w:trPr>
          <w:trHeight w:val="82"/>
        </w:trPr>
        <w:tc>
          <w:tcPr>
            <w:tcW w:w="4920" w:type="dxa"/>
            <w:vAlign w:val="bottom"/>
            <w:shd w:val="clear" w:color="auto" w:fill="00A0E0"/>
          </w:tcPr>
          <w:p>
            <w:pPr>
              <w:spacing w:after="0"/>
              <w:rPr>
                <w:sz w:val="7"/>
                <w:szCs w:val="7"/>
                <w:color w:val="auto"/>
              </w:rPr>
            </w:pPr>
          </w:p>
        </w:tc>
        <w:tc>
          <w:tcPr>
            <w:tcW w:w="6320" w:type="dxa"/>
            <w:vAlign w:val="bottom"/>
            <w:shd w:val="clear" w:color="auto" w:fill="00A0E0"/>
          </w:tcPr>
          <w:p>
            <w:pPr>
              <w:spacing w:after="0"/>
              <w:rPr>
                <w:sz w:val="7"/>
                <w:szCs w:val="7"/>
                <w:color w:val="auto"/>
              </w:rPr>
            </w:pPr>
          </w:p>
        </w:tc>
        <w:tc>
          <w:tcPr>
            <w:tcW w:w="0" w:type="dxa"/>
            <w:vAlign w:val="bottom"/>
          </w:tcPr>
          <w:p>
            <w:pPr>
              <w:spacing w:after="0"/>
              <w:rPr>
                <w:sz w:val="1"/>
                <w:szCs w:val="1"/>
                <w:color w:val="auto"/>
              </w:rPr>
            </w:pPr>
          </w:p>
        </w:tc>
      </w:tr>
      <w:tr>
        <w:trPr>
          <w:trHeight w:val="395"/>
        </w:trPr>
        <w:tc>
          <w:tcPr>
            <w:tcW w:w="4920" w:type="dxa"/>
            <w:vAlign w:val="bottom"/>
            <w:shd w:val="clear" w:color="auto" w:fill="E0F0FB"/>
          </w:tcPr>
          <w:p>
            <w:pPr>
              <w:ind w:left="1640"/>
              <w:spacing w:after="0"/>
              <w:rPr>
                <w:sz w:val="20"/>
                <w:szCs w:val="20"/>
                <w:color w:val="auto"/>
              </w:rPr>
            </w:pPr>
            <w:r>
              <w:rPr>
                <w:rFonts w:ascii="Arial" w:cs="Arial" w:eastAsia="Arial" w:hAnsi="Arial"/>
                <w:sz w:val="18"/>
                <w:szCs w:val="18"/>
                <w:color w:val="auto"/>
              </w:rPr>
              <w:t>Partner at Triton Atlantic Partners</w:t>
            </w:r>
          </w:p>
        </w:tc>
        <w:tc>
          <w:tcPr>
            <w:tcW w:w="6320" w:type="dxa"/>
            <w:vAlign w:val="bottom"/>
            <w:shd w:val="clear" w:color="auto" w:fill="E0F0FB"/>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920" w:type="dxa"/>
            <w:vAlign w:val="bottom"/>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p>
        </w:tc>
        <w:tc>
          <w:tcPr>
            <w:tcW w:w="6320" w:type="dxa"/>
            <w:vAlign w:val="bottom"/>
            <w:shd w:val="clear" w:color="auto" w:fill="E0F0FB"/>
          </w:tcPr>
          <w:p>
            <w:pPr>
              <w:ind w:left="600"/>
              <w:spacing w:after="0"/>
              <w:rPr>
                <w:sz w:val="20"/>
                <w:szCs w:val="20"/>
                <w:color w:val="auto"/>
              </w:rPr>
            </w:pPr>
            <w:r>
              <w:rPr>
                <w:rFonts w:ascii="Arial" w:cs="Arial" w:eastAsia="Arial" w:hAnsi="Arial"/>
                <w:sz w:val="18"/>
                <w:szCs w:val="18"/>
                <w:b w:val="1"/>
                <w:bCs w:val="1"/>
                <w:color w:val="auto"/>
              </w:rPr>
              <w:t>Other Current Public Company Directorships:</w:t>
            </w:r>
          </w:p>
        </w:tc>
        <w:tc>
          <w:tcPr>
            <w:tcW w:w="0" w:type="dxa"/>
            <w:vAlign w:val="bottom"/>
          </w:tcPr>
          <w:p>
            <w:pPr>
              <w:spacing w:after="0"/>
              <w:rPr>
                <w:sz w:val="1"/>
                <w:szCs w:val="1"/>
                <w:color w:val="auto"/>
              </w:rPr>
            </w:pPr>
          </w:p>
        </w:tc>
      </w:tr>
      <w:tr>
        <w:trPr>
          <w:trHeight w:val="239"/>
        </w:trPr>
        <w:tc>
          <w:tcPr>
            <w:tcW w:w="4920" w:type="dxa"/>
            <w:vAlign w:val="bottom"/>
            <w:vMerge w:val="restart"/>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February 2017</w:t>
            </w:r>
          </w:p>
        </w:tc>
        <w:tc>
          <w:tcPr>
            <w:tcW w:w="6320" w:type="dxa"/>
            <w:vAlign w:val="bottom"/>
            <w:shd w:val="clear" w:color="auto" w:fill="E0F0FB"/>
          </w:tcPr>
          <w:p>
            <w:pPr>
              <w:ind w:left="600"/>
              <w:spacing w:after="0"/>
              <w:rPr>
                <w:sz w:val="20"/>
                <w:szCs w:val="20"/>
                <w:color w:val="auto"/>
              </w:rPr>
            </w:pPr>
            <w:r>
              <w:rPr>
                <w:rFonts w:ascii="Arial" w:cs="Arial" w:eastAsia="Arial" w:hAnsi="Arial"/>
                <w:sz w:val="18"/>
                <w:szCs w:val="18"/>
                <w:color w:val="auto"/>
              </w:rPr>
              <w:t>CBRE Global Real Estate Income Fund</w:t>
            </w:r>
          </w:p>
        </w:tc>
        <w:tc>
          <w:tcPr>
            <w:tcW w:w="0" w:type="dxa"/>
            <w:vAlign w:val="bottom"/>
          </w:tcPr>
          <w:p>
            <w:pPr>
              <w:spacing w:after="0"/>
              <w:rPr>
                <w:sz w:val="1"/>
                <w:szCs w:val="1"/>
                <w:color w:val="auto"/>
              </w:rPr>
            </w:pPr>
          </w:p>
        </w:tc>
      </w:tr>
      <w:tr>
        <w:trPr>
          <w:trHeight w:val="75"/>
        </w:trPr>
        <w:tc>
          <w:tcPr>
            <w:tcW w:w="4920" w:type="dxa"/>
            <w:vAlign w:val="bottom"/>
            <w:vMerge w:val="continue"/>
            <w:shd w:val="clear" w:color="auto" w:fill="E0F0FB"/>
          </w:tcPr>
          <w:p>
            <w:pPr>
              <w:spacing w:after="0"/>
              <w:rPr>
                <w:sz w:val="6"/>
                <w:szCs w:val="6"/>
                <w:color w:val="auto"/>
              </w:rPr>
            </w:pPr>
          </w:p>
        </w:tc>
        <w:tc>
          <w:tcPr>
            <w:tcW w:w="6320" w:type="dxa"/>
            <w:vAlign w:val="bottom"/>
            <w:shd w:val="clear" w:color="auto" w:fill="E0F0FB"/>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4920" w:type="dxa"/>
            <w:vAlign w:val="bottom"/>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Audit</w:t>
            </w:r>
          </w:p>
        </w:tc>
        <w:tc>
          <w:tcPr>
            <w:tcW w:w="6320" w:type="dxa"/>
            <w:vAlign w:val="bottom"/>
            <w:shd w:val="clear" w:color="auto" w:fill="E0F0FB"/>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920" w:type="dxa"/>
            <w:vAlign w:val="bottom"/>
            <w:shd w:val="clear" w:color="auto" w:fill="E0F0FB"/>
          </w:tcPr>
          <w:p>
            <w:pPr>
              <w:spacing w:after="0"/>
              <w:rPr>
                <w:sz w:val="24"/>
                <w:szCs w:val="24"/>
                <w:color w:val="auto"/>
              </w:rPr>
            </w:pPr>
          </w:p>
        </w:tc>
        <w:tc>
          <w:tcPr>
            <w:tcW w:w="6320" w:type="dxa"/>
            <w:vAlign w:val="bottom"/>
            <w:shd w:val="clear" w:color="auto" w:fill="E0F0FB"/>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-916305</wp:posOffset>
            </wp:positionV>
            <wp:extent cx="805815" cy="8058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Career Highlights:</w:t>
      </w:r>
    </w:p>
    <w:p>
      <w:pPr>
        <w:spacing w:after="0" w:line="212" w:lineRule="exact"/>
        <w:rPr>
          <w:sz w:val="20"/>
          <w:szCs w:val="20"/>
          <w:color w:val="auto"/>
        </w:rPr>
      </w:pPr>
    </w:p>
    <w:p>
      <w:pPr>
        <w:ind w:left="260" w:hanging="252"/>
        <w:spacing w:after="0" w:line="245" w:lineRule="auto"/>
        <w:tabs>
          <w:tab w:leader="none" w:pos="260" w:val="left"/>
        </w:tabs>
        <w:numPr>
          <w:ilvl w:val="0"/>
          <w:numId w:val="26"/>
        </w:numPr>
        <w:rPr>
          <w:rFonts w:ascii="Arial" w:cs="Arial" w:eastAsia="Arial" w:hAnsi="Arial"/>
          <w:sz w:val="17"/>
          <w:szCs w:val="17"/>
          <w:color w:val="00A0E0"/>
        </w:rPr>
      </w:pPr>
      <w:r>
        <w:rPr>
          <w:rFonts w:ascii="Arial" w:cs="Arial" w:eastAsia="Arial" w:hAnsi="Arial"/>
          <w:sz w:val="18"/>
          <w:szCs w:val="18"/>
          <w:color w:val="auto"/>
        </w:rPr>
        <w:t>Co-Founder, Incompass Labs, Inc., a peer assessment software company, 2022 – Present</w:t>
      </w:r>
    </w:p>
    <w:p>
      <w:pPr>
        <w:ind w:left="260" w:right="80" w:hanging="252"/>
        <w:spacing w:after="0" w:line="234" w:lineRule="auto"/>
        <w:tabs>
          <w:tab w:leader="none" w:pos="260" w:val="left"/>
        </w:tabs>
        <w:numPr>
          <w:ilvl w:val="0"/>
          <w:numId w:val="26"/>
        </w:numPr>
        <w:rPr>
          <w:rFonts w:ascii="Arial" w:cs="Arial" w:eastAsia="Arial" w:hAnsi="Arial"/>
          <w:sz w:val="17"/>
          <w:szCs w:val="17"/>
          <w:color w:val="00A0E0"/>
        </w:rPr>
      </w:pPr>
      <w:r>
        <w:rPr>
          <w:rFonts w:ascii="Arial" w:cs="Arial" w:eastAsia="Arial" w:hAnsi="Arial"/>
          <w:sz w:val="18"/>
          <w:szCs w:val="18"/>
          <w:color w:val="auto"/>
        </w:rPr>
        <w:t>Partner, Triton Atlantic Partners, a real estate advisory firm and investment vehicle that he co-founded, 2009 – Present</w:t>
      </w:r>
    </w:p>
    <w:p>
      <w:pPr>
        <w:spacing w:after="0" w:line="1" w:lineRule="exact"/>
        <w:rPr>
          <w:rFonts w:ascii="Arial" w:cs="Arial" w:eastAsia="Arial" w:hAnsi="Arial"/>
          <w:sz w:val="17"/>
          <w:szCs w:val="17"/>
          <w:color w:val="00A0E0"/>
        </w:rPr>
      </w:pPr>
    </w:p>
    <w:p>
      <w:pPr>
        <w:ind w:left="260" w:right="140" w:hanging="252"/>
        <w:spacing w:after="0" w:line="242" w:lineRule="auto"/>
        <w:tabs>
          <w:tab w:leader="none" w:pos="260" w:val="left"/>
        </w:tabs>
        <w:numPr>
          <w:ilvl w:val="0"/>
          <w:numId w:val="26"/>
        </w:numPr>
        <w:rPr>
          <w:rFonts w:ascii="Arial" w:cs="Arial" w:eastAsia="Arial" w:hAnsi="Arial"/>
          <w:sz w:val="17"/>
          <w:szCs w:val="17"/>
          <w:color w:val="00A0E0"/>
        </w:rPr>
      </w:pPr>
      <w:r>
        <w:rPr>
          <w:rFonts w:ascii="Arial" w:cs="Arial" w:eastAsia="Arial" w:hAnsi="Arial"/>
          <w:sz w:val="18"/>
          <w:szCs w:val="18"/>
          <w:color w:val="auto"/>
        </w:rPr>
        <w:t>Associate Director, Zell-Lurie Real Estate Center, and Practice Professor, Real Estate Department, Wharton School of the University of Pennsylvania, 1999 – Present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Skills and Qualifications: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left="251" w:right="60" w:hanging="251"/>
        <w:spacing w:after="0" w:line="238" w:lineRule="auto"/>
        <w:tabs>
          <w:tab w:leader="none" w:pos="251" w:val="left"/>
        </w:tabs>
        <w:numPr>
          <w:ilvl w:val="0"/>
          <w:numId w:val="27"/>
        </w:numPr>
        <w:rPr>
          <w:rFonts w:ascii="Arial" w:cs="Arial" w:eastAsia="Arial" w:hAnsi="Arial"/>
          <w:sz w:val="17"/>
          <w:szCs w:val="17"/>
          <w:color w:val="00A0E0"/>
        </w:rPr>
      </w:pPr>
      <w:r>
        <w:rPr>
          <w:rFonts w:ascii="Arial" w:cs="Arial" w:eastAsia="Arial" w:hAnsi="Arial"/>
          <w:sz w:val="18"/>
          <w:szCs w:val="18"/>
          <w:color w:val="auto"/>
        </w:rPr>
        <w:t>Trammell Crow Company, various leadership roles including Chief Financial Officer (overseeing finance, capital markets, mergers and acquisitions, marketing, Trammell Crow University, human resources and other new business initiatives), 1980 – 1999</w:t>
      </w:r>
    </w:p>
    <w:p>
      <w:pPr>
        <w:spacing w:after="0" w:line="4" w:lineRule="exact"/>
        <w:rPr>
          <w:rFonts w:ascii="Arial" w:cs="Arial" w:eastAsia="Arial" w:hAnsi="Arial"/>
          <w:sz w:val="17"/>
          <w:szCs w:val="17"/>
          <w:color w:val="00A0E0"/>
        </w:rPr>
      </w:pPr>
    </w:p>
    <w:p>
      <w:pPr>
        <w:ind w:left="251" w:hanging="251"/>
        <w:spacing w:after="0"/>
        <w:tabs>
          <w:tab w:leader="none" w:pos="251" w:val="left"/>
        </w:tabs>
        <w:numPr>
          <w:ilvl w:val="0"/>
          <w:numId w:val="27"/>
        </w:numPr>
        <w:rPr>
          <w:rFonts w:ascii="Arial" w:cs="Arial" w:eastAsia="Arial" w:hAnsi="Arial"/>
          <w:sz w:val="17"/>
          <w:szCs w:val="17"/>
          <w:color w:val="00A0E0"/>
        </w:rPr>
      </w:pPr>
      <w:r>
        <w:rPr>
          <w:rFonts w:ascii="Arial" w:cs="Arial" w:eastAsia="Arial" w:hAnsi="Arial"/>
          <w:sz w:val="18"/>
          <w:szCs w:val="18"/>
          <w:color w:val="auto"/>
        </w:rPr>
        <w:t>Board of Trustees, Rice University</w:t>
      </w:r>
    </w:p>
    <w:p>
      <w:pPr>
        <w:spacing w:after="0" w:line="802" w:lineRule="exact"/>
        <w:rPr>
          <w:sz w:val="20"/>
          <w:szCs w:val="20"/>
          <w:color w:val="auto"/>
        </w:rPr>
      </w:pPr>
    </w:p>
    <w:p>
      <w:pPr>
        <w:sectPr>
          <w:pgSz w:w="11900" w:h="16838" w:orient="portrait"/>
          <w:cols w:equalWidth="0" w:num="2">
            <w:col w:w="5360" w:space="489"/>
            <w:col w:w="5391"/>
          </w:cols>
          <w:pgMar w:left="320" w:top="122" w:right="339" w:bottom="1440" w:gutter="0" w:footer="0" w:header="0"/>
          <w:type w:val="continuous"/>
        </w:sectPr>
      </w:pPr>
    </w:p>
    <w:p>
      <w:pPr>
        <w:spacing w:after="0" w:line="12"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We believe that Mr. Nakahara’s extensive knowledge of real estate and general advisory matters, including his leadership and academic experiences, as well as his prior experience as a chief financial officer, render him qualified to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91465" cy="3257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1465" cy="325755"/>
                    </a:xfrm>
                    <a:prstGeom prst="rect">
                      <a:avLst/>
                    </a:prstGeom>
                    <a:noFill/>
                  </pic:spPr>
                </pic:pic>
              </a:graphicData>
            </a:graphic>
          </wp:anchor>
        </w:drawing>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Executive Leadership               </w:t>
      </w:r>
      <w:r>
        <w:rPr>
          <w:sz w:val="1"/>
          <w:szCs w:val="1"/>
          <w:color w:val="auto"/>
        </w:rPr>
        <w:drawing>
          <wp:inline distT="0" distB="0" distL="0" distR="0">
            <wp:extent cx="291465" cy="29146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1465" cy="291465"/>
                    </a:xfrm>
                    <a:prstGeom prst="rect">
                      <a:avLst/>
                    </a:prstGeom>
                    <a:noFill/>
                    <a:ln>
                      <a:noFill/>
                    </a:ln>
                  </pic:spPr>
                </pic:pic>
              </a:graphicData>
            </a:graphic>
          </wp:inline>
        </w:drawing>
      </w:r>
      <w:r>
        <w:rPr>
          <w:rFonts w:ascii="Arial" w:cs="Arial" w:eastAsia="Arial" w:hAnsi="Arial"/>
          <w:sz w:val="18"/>
          <w:szCs w:val="18"/>
          <w:color w:val="auto"/>
        </w:rPr>
        <w:t xml:space="preserve"> Financial/Accounting              </w:t>
      </w:r>
      <w:r>
        <w:rPr>
          <w:sz w:val="1"/>
          <w:szCs w:val="1"/>
          <w:color w:val="auto"/>
        </w:rPr>
        <w:drawing>
          <wp:inline distT="0" distB="0" distL="0" distR="0">
            <wp:extent cx="291465" cy="21463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91465" cy="214630"/>
                    </a:xfrm>
                    <a:prstGeom prst="rect">
                      <a:avLst/>
                    </a:prstGeom>
                    <a:noFill/>
                    <a:ln>
                      <a:noFill/>
                    </a:ln>
                  </pic:spPr>
                </pic:pic>
              </a:graphicData>
            </a:graphic>
          </wp:inline>
        </w:drawing>
      </w:r>
      <w:r>
        <w:rPr>
          <w:rFonts w:ascii="Arial" w:cs="Arial" w:eastAsia="Arial" w:hAnsi="Arial"/>
          <w:sz w:val="18"/>
          <w:szCs w:val="18"/>
          <w:color w:val="auto"/>
        </w:rPr>
        <w:t xml:space="preserve"> Non-Profit/Educational/Philanthropic</w:t>
      </w:r>
    </w:p>
    <w:p>
      <w:pPr>
        <w:spacing w:after="0" w:line="255"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91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89" w:lineRule="exact"/>
        <w:rPr>
          <w:sz w:val="20"/>
          <w:szCs w:val="20"/>
          <w:color w:val="auto"/>
        </w:rPr>
      </w:pPr>
    </w:p>
    <w:p>
      <w:pPr>
        <w:ind w:left="180"/>
        <w:spacing w:after="0"/>
        <w:tabs>
          <w:tab w:leader="none" w:pos="9960" w:val="left"/>
        </w:tabs>
        <w:rPr>
          <w:sz w:val="20"/>
          <w:szCs w:val="20"/>
          <w:color w:val="auto"/>
        </w:rPr>
      </w:pPr>
      <w:r>
        <w:rPr>
          <w:rFonts w:ascii="Arial" w:cs="Arial" w:eastAsia="Arial" w:hAnsi="Arial"/>
          <w:sz w:val="22"/>
          <w:szCs w:val="22"/>
          <w:b w:val="1"/>
          <w:bCs w:val="1"/>
          <w:color w:val="FFFFFF"/>
        </w:rPr>
        <w:t>David C. Novak</w:t>
      </w:r>
      <w:r>
        <w:rPr>
          <w:sz w:val="20"/>
          <w:szCs w:val="20"/>
          <w:color w:val="auto"/>
        </w:rPr>
        <w:tab/>
      </w:r>
      <w:r>
        <w:rPr>
          <w:rFonts w:ascii="Arial" w:cs="Arial" w:eastAsia="Arial" w:hAnsi="Arial"/>
          <w:sz w:val="18"/>
          <w:szCs w:val="18"/>
          <w:b w:val="1"/>
          <w:bCs w:val="1"/>
          <w:color w:val="FFFFFF"/>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028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028700"/>
                    </a:xfrm>
                    <a:prstGeom prst="rect">
                      <a:avLst/>
                    </a:prstGeom>
                    <a:noFill/>
                  </pic:spPr>
                </pic:pic>
              </a:graphicData>
            </a:graphic>
          </wp:anchor>
        </w:drawing>
      </w:r>
    </w:p>
    <w:p>
      <w:pPr>
        <w:spacing w:after="0" w:line="2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Founder of David Novak Leadership, Inc.</w:t>
      </w:r>
    </w:p>
    <w:p>
      <w:pPr>
        <w:spacing w:after="0" w:line="158"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71</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December 2016</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Compensation and Human Capital</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Career Highlights:</w:t>
      </w:r>
    </w:p>
    <w:p>
      <w:pPr>
        <w:spacing w:after="0" w:line="212" w:lineRule="exact"/>
        <w:rPr>
          <w:sz w:val="20"/>
          <w:szCs w:val="20"/>
          <w:color w:val="auto"/>
        </w:rPr>
      </w:pPr>
    </w:p>
    <w:p>
      <w:pPr>
        <w:ind w:left="260" w:hanging="252"/>
        <w:spacing w:after="0" w:line="241" w:lineRule="auto"/>
        <w:tabs>
          <w:tab w:leader="none" w:pos="260" w:val="left"/>
        </w:tabs>
        <w:numPr>
          <w:ilvl w:val="0"/>
          <w:numId w:val="29"/>
        </w:numPr>
        <w:rPr>
          <w:rFonts w:ascii="Arial" w:cs="Arial" w:eastAsia="Arial" w:hAnsi="Arial"/>
          <w:sz w:val="17"/>
          <w:szCs w:val="17"/>
          <w:color w:val="00A0E0"/>
        </w:rPr>
      </w:pPr>
      <w:r>
        <w:rPr>
          <w:rFonts w:ascii="Arial" w:cs="Arial" w:eastAsia="Arial" w:hAnsi="Arial"/>
          <w:sz w:val="18"/>
          <w:szCs w:val="18"/>
          <w:color w:val="auto"/>
        </w:rPr>
        <w:t>Founder of David Novak Leadership, Inc., which provides online leadership training to transform managers into confident, capable, engaging leaders, 2020 – Present</w:t>
      </w:r>
    </w:p>
    <w:p>
      <w:pPr>
        <w:spacing w:after="0" w:line="1" w:lineRule="exact"/>
        <w:rPr>
          <w:rFonts w:ascii="Arial" w:cs="Arial" w:eastAsia="Arial" w:hAnsi="Arial"/>
          <w:sz w:val="17"/>
          <w:szCs w:val="17"/>
          <w:color w:val="00A0E0"/>
        </w:rPr>
      </w:pPr>
    </w:p>
    <w:p>
      <w:pPr>
        <w:ind w:left="260" w:right="240" w:hanging="252"/>
        <w:spacing w:after="0" w:line="234" w:lineRule="auto"/>
        <w:tabs>
          <w:tab w:leader="none" w:pos="260" w:val="left"/>
        </w:tabs>
        <w:numPr>
          <w:ilvl w:val="0"/>
          <w:numId w:val="29"/>
        </w:numPr>
        <w:rPr>
          <w:rFonts w:ascii="Arial" w:cs="Arial" w:eastAsia="Arial" w:hAnsi="Arial"/>
          <w:sz w:val="17"/>
          <w:szCs w:val="17"/>
          <w:color w:val="00A0E0"/>
        </w:rPr>
      </w:pPr>
      <w:r>
        <w:rPr>
          <w:rFonts w:ascii="Arial" w:cs="Arial" w:eastAsia="Arial" w:hAnsi="Arial"/>
          <w:sz w:val="18"/>
          <w:szCs w:val="18"/>
          <w:color w:val="auto"/>
        </w:rPr>
        <w:t>Executive Chairman of the Board, YUM! Brands, Inc., 2015 – 2016</w:t>
      </w:r>
    </w:p>
    <w:p>
      <w:pPr>
        <w:spacing w:after="0" w:line="1" w:lineRule="exact"/>
        <w:rPr>
          <w:rFonts w:ascii="Arial" w:cs="Arial" w:eastAsia="Arial" w:hAnsi="Arial"/>
          <w:sz w:val="17"/>
          <w:szCs w:val="17"/>
          <w:color w:val="00A0E0"/>
        </w:rPr>
      </w:pPr>
    </w:p>
    <w:p>
      <w:pPr>
        <w:ind w:left="260" w:hanging="252"/>
        <w:spacing w:after="0" w:line="234" w:lineRule="auto"/>
        <w:tabs>
          <w:tab w:leader="none" w:pos="260" w:val="left"/>
        </w:tabs>
        <w:numPr>
          <w:ilvl w:val="0"/>
          <w:numId w:val="29"/>
        </w:numPr>
        <w:rPr>
          <w:rFonts w:ascii="Arial" w:cs="Arial" w:eastAsia="Arial" w:hAnsi="Arial"/>
          <w:sz w:val="17"/>
          <w:szCs w:val="17"/>
          <w:color w:val="00A0E0"/>
        </w:rPr>
      </w:pPr>
      <w:r>
        <w:rPr>
          <w:rFonts w:ascii="Arial" w:cs="Arial" w:eastAsia="Arial" w:hAnsi="Arial"/>
          <w:sz w:val="18"/>
          <w:szCs w:val="18"/>
          <w:color w:val="auto"/>
        </w:rPr>
        <w:t>Chairman of the Board, YUM! Brands, Inc., 2001 – 2014</w:t>
      </w:r>
    </w:p>
    <w:p>
      <w:pPr>
        <w:ind w:left="260" w:hanging="252"/>
        <w:spacing w:after="0"/>
        <w:tabs>
          <w:tab w:leader="none" w:pos="260" w:val="left"/>
        </w:tabs>
        <w:numPr>
          <w:ilvl w:val="0"/>
          <w:numId w:val="29"/>
        </w:numPr>
        <w:rPr>
          <w:rFonts w:ascii="Arial" w:cs="Arial" w:eastAsia="Arial" w:hAnsi="Arial"/>
          <w:sz w:val="17"/>
          <w:szCs w:val="17"/>
          <w:color w:val="00A0E0"/>
        </w:rPr>
      </w:pPr>
      <w:r>
        <w:rPr>
          <w:rFonts w:ascii="Arial" w:cs="Arial" w:eastAsia="Arial" w:hAnsi="Arial"/>
          <w:sz w:val="18"/>
          <w:szCs w:val="18"/>
          <w:color w:val="auto"/>
        </w:rPr>
        <w:t>Chief Executive Officer, YUM! Brands, Inc., 2000 –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Skills and Qualifications: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51" w:hanging="251"/>
        <w:spacing w:after="0"/>
        <w:tabs>
          <w:tab w:leader="none" w:pos="251" w:val="left"/>
        </w:tabs>
        <w:numPr>
          <w:ilvl w:val="0"/>
          <w:numId w:val="30"/>
        </w:numPr>
        <w:rPr>
          <w:rFonts w:ascii="Arial" w:cs="Arial" w:eastAsia="Arial" w:hAnsi="Arial"/>
          <w:sz w:val="17"/>
          <w:szCs w:val="17"/>
          <w:color w:val="00A0E0"/>
        </w:rPr>
      </w:pPr>
      <w:r>
        <w:rPr>
          <w:rFonts w:ascii="Arial" w:cs="Arial" w:eastAsia="Arial" w:hAnsi="Arial"/>
          <w:sz w:val="18"/>
          <w:szCs w:val="18"/>
          <w:color w:val="auto"/>
        </w:rPr>
        <w:t>Board Member, Lift-a-Life Novak Family Foundation</w:t>
      </w:r>
    </w:p>
    <w:p>
      <w:pPr>
        <w:spacing w:after="0" w:line="13" w:lineRule="exact"/>
        <w:rPr>
          <w:rFonts w:ascii="Arial" w:cs="Arial" w:eastAsia="Arial" w:hAnsi="Arial"/>
          <w:sz w:val="17"/>
          <w:szCs w:val="17"/>
          <w:color w:val="00A0E0"/>
        </w:rPr>
      </w:pPr>
    </w:p>
    <w:p>
      <w:pPr>
        <w:ind w:left="251" w:right="180" w:hanging="251"/>
        <w:spacing w:after="0"/>
        <w:tabs>
          <w:tab w:leader="none" w:pos="251" w:val="left"/>
        </w:tabs>
        <w:numPr>
          <w:ilvl w:val="0"/>
          <w:numId w:val="30"/>
        </w:numPr>
        <w:rPr>
          <w:rFonts w:ascii="Arial" w:cs="Arial" w:eastAsia="Arial" w:hAnsi="Arial"/>
          <w:sz w:val="17"/>
          <w:szCs w:val="17"/>
          <w:color w:val="00A0E0"/>
        </w:rPr>
      </w:pPr>
      <w:r>
        <w:rPr>
          <w:rFonts w:ascii="Arial" w:cs="Arial" w:eastAsia="Arial" w:hAnsi="Arial"/>
          <w:sz w:val="18"/>
          <w:szCs w:val="18"/>
          <w:color w:val="auto"/>
        </w:rPr>
        <w:t xml:space="preserve">Author of </w:t>
      </w:r>
      <w:r>
        <w:rPr>
          <w:rFonts w:ascii="Arial" w:cs="Arial" w:eastAsia="Arial" w:hAnsi="Arial"/>
          <w:sz w:val="18"/>
          <w:szCs w:val="18"/>
          <w:i w:val="1"/>
          <w:iCs w:val="1"/>
          <w:color w:val="auto"/>
        </w:rPr>
        <w:t>O GREAT ONE! A Little Story About the Awesome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Power of Recognition, Taking People With You: The Only Way to Achieve Big Things </w:t>
      </w:r>
      <w:r>
        <w:rPr>
          <w:rFonts w:ascii="Arial" w:cs="Arial" w:eastAsia="Arial" w:hAnsi="Arial"/>
          <w:sz w:val="18"/>
          <w:szCs w:val="18"/>
          <w:color w:val="auto"/>
        </w:rPr>
        <w:t>and co-author of</w:t>
      </w:r>
      <w:r>
        <w:rPr>
          <w:rFonts w:ascii="Arial" w:cs="Arial" w:eastAsia="Arial" w:hAnsi="Arial"/>
          <w:sz w:val="18"/>
          <w:szCs w:val="18"/>
          <w:i w:val="1"/>
          <w:iCs w:val="1"/>
          <w:color w:val="auto"/>
        </w:rPr>
        <w:t xml:space="preserve"> Take Charge of You</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dedicated to developing leaders at every stage of life</w:t>
      </w:r>
    </w:p>
    <w:p>
      <w:pPr>
        <w:spacing w:after="0" w:line="992" w:lineRule="exact"/>
        <w:rPr>
          <w:sz w:val="20"/>
          <w:szCs w:val="20"/>
          <w:color w:val="auto"/>
        </w:rPr>
      </w:pPr>
    </w:p>
    <w:p>
      <w:pPr>
        <w:sectPr>
          <w:pgSz w:w="11900" w:h="16838" w:orient="portrait"/>
          <w:cols w:equalWidth="0" w:num="2">
            <w:col w:w="5360" w:space="489"/>
            <w:col w:w="5391"/>
          </w:cols>
          <w:pgMar w:left="320" w:top="122" w:right="339" w:bottom="1440" w:gutter="0" w:footer="0" w:header="0"/>
          <w:type w:val="continuous"/>
        </w:sectPr>
      </w:pPr>
    </w:p>
    <w:p>
      <w:pPr>
        <w:spacing w:after="0" w:line="1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believe that Mr. Novak’s extensive knowledge of customer service-oriented business practices, including marketing and talent management, as well as his prior experience as a chief executive officer and chairman, render him qualified to serve as one of our directors.</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540" w:type="dxa"/>
            <w:vAlign w:val="bottom"/>
            <w:vMerge w:val="restart"/>
          </w:tcPr>
          <w:p>
            <w:pPr>
              <w:spacing w:after="0"/>
              <w:rPr>
                <w:sz w:val="20"/>
                <w:szCs w:val="20"/>
                <w:color w:val="auto"/>
              </w:rPr>
            </w:pPr>
            <w:r>
              <w:rPr>
                <w:rFonts w:ascii="Arial" w:cs="Arial" w:eastAsia="Arial" w:hAnsi="Arial"/>
                <w:sz w:val="18"/>
                <w:szCs w:val="18"/>
                <w:color w:val="auto"/>
              </w:rPr>
              <w:t>Executive</w:t>
            </w:r>
          </w:p>
        </w:tc>
        <w:tc>
          <w:tcPr>
            <w:tcW w:w="2140" w:type="dxa"/>
            <w:vAlign w:val="bottom"/>
          </w:tcPr>
          <w:p>
            <w:pPr>
              <w:ind w:left="660"/>
              <w:spacing w:after="0"/>
              <w:rPr>
                <w:sz w:val="20"/>
                <w:szCs w:val="20"/>
                <w:color w:val="auto"/>
              </w:rPr>
            </w:pPr>
            <w:r>
              <w:rPr>
                <w:rFonts w:ascii="Arial" w:cs="Arial" w:eastAsia="Arial" w:hAnsi="Arial"/>
                <w:sz w:val="18"/>
                <w:szCs w:val="18"/>
                <w:color w:val="auto"/>
              </w:rPr>
              <w:t>Customer</w:t>
            </w:r>
          </w:p>
        </w:tc>
        <w:tc>
          <w:tcPr>
            <w:tcW w:w="2320" w:type="dxa"/>
            <w:vAlign w:val="bottom"/>
          </w:tcPr>
          <w:p>
            <w:pPr>
              <w:spacing w:after="0"/>
              <w:rPr>
                <w:sz w:val="17"/>
                <w:szCs w:val="17"/>
                <w:color w:val="auto"/>
              </w:rPr>
            </w:pPr>
          </w:p>
        </w:tc>
        <w:tc>
          <w:tcPr>
            <w:tcW w:w="2400" w:type="dxa"/>
            <w:vAlign w:val="bottom"/>
            <w:vMerge w:val="restart"/>
          </w:tcPr>
          <w:p>
            <w:pPr>
              <w:ind w:left="640"/>
              <w:spacing w:after="0"/>
              <w:rPr>
                <w:sz w:val="20"/>
                <w:szCs w:val="20"/>
                <w:color w:val="auto"/>
              </w:rPr>
            </w:pPr>
            <w:r>
              <w:rPr>
                <w:rFonts w:ascii="Arial" w:cs="Arial" w:eastAsia="Arial" w:hAnsi="Arial"/>
                <w:sz w:val="18"/>
                <w:szCs w:val="18"/>
                <w:color w:val="auto"/>
              </w:rPr>
              <w:t>Human Capital</w:t>
            </w:r>
          </w:p>
        </w:tc>
        <w:tc>
          <w:tcPr>
            <w:tcW w:w="1620" w:type="dxa"/>
            <w:vAlign w:val="bottom"/>
          </w:tcPr>
          <w:p>
            <w:pPr>
              <w:ind w:left="580"/>
              <w:spacing w:after="0"/>
              <w:rPr>
                <w:sz w:val="20"/>
                <w:szCs w:val="20"/>
                <w:color w:val="auto"/>
              </w:rPr>
            </w:pPr>
            <w:r>
              <w:rPr>
                <w:rFonts w:ascii="Arial" w:cs="Arial" w:eastAsia="Arial" w:hAnsi="Arial"/>
                <w:sz w:val="18"/>
                <w:szCs w:val="18"/>
                <w:color w:val="auto"/>
              </w:rPr>
              <w:t>Non-Profit/</w:t>
            </w:r>
          </w:p>
        </w:tc>
        <w:tc>
          <w:tcPr>
            <w:tcW w:w="0" w:type="dxa"/>
            <w:vAlign w:val="bottom"/>
          </w:tcPr>
          <w:p>
            <w:pPr>
              <w:spacing w:after="0"/>
              <w:rPr>
                <w:sz w:val="1"/>
                <w:szCs w:val="1"/>
                <w:color w:val="auto"/>
              </w:rPr>
            </w:pPr>
          </w:p>
        </w:tc>
      </w:tr>
      <w:tr>
        <w:trPr>
          <w:trHeight w:val="95"/>
        </w:trPr>
        <w:tc>
          <w:tcPr>
            <w:tcW w:w="1540" w:type="dxa"/>
            <w:vAlign w:val="bottom"/>
            <w:vMerge w:val="continue"/>
          </w:tcPr>
          <w:p>
            <w:pPr>
              <w:spacing w:after="0"/>
              <w:rPr>
                <w:sz w:val="8"/>
                <w:szCs w:val="8"/>
                <w:color w:val="auto"/>
              </w:rPr>
            </w:pPr>
          </w:p>
        </w:tc>
        <w:tc>
          <w:tcPr>
            <w:tcW w:w="2140" w:type="dxa"/>
            <w:vAlign w:val="bottom"/>
            <w:vMerge w:val="restart"/>
          </w:tcPr>
          <w:p>
            <w:pPr>
              <w:ind w:left="660"/>
              <w:spacing w:after="0" w:line="202" w:lineRule="exact"/>
              <w:rPr>
                <w:sz w:val="20"/>
                <w:szCs w:val="20"/>
                <w:color w:val="auto"/>
              </w:rPr>
            </w:pPr>
            <w:r>
              <w:rPr>
                <w:rFonts w:ascii="Arial" w:cs="Arial" w:eastAsia="Arial" w:hAnsi="Arial"/>
                <w:sz w:val="18"/>
                <w:szCs w:val="18"/>
                <w:color w:val="auto"/>
              </w:rPr>
              <w:t>Oriented/</w:t>
            </w:r>
          </w:p>
        </w:tc>
        <w:tc>
          <w:tcPr>
            <w:tcW w:w="2320" w:type="dxa"/>
            <w:vAlign w:val="bottom"/>
            <w:vMerge w:val="restart"/>
          </w:tcPr>
          <w:p>
            <w:pPr>
              <w:ind w:left="700"/>
              <w:spacing w:after="0" w:line="202" w:lineRule="exact"/>
              <w:rPr>
                <w:sz w:val="20"/>
                <w:szCs w:val="20"/>
                <w:color w:val="auto"/>
              </w:rPr>
            </w:pPr>
            <w:r>
              <w:rPr>
                <w:rFonts w:ascii="Arial" w:cs="Arial" w:eastAsia="Arial" w:hAnsi="Arial"/>
                <w:sz w:val="18"/>
                <w:szCs w:val="18"/>
                <w:color w:val="auto"/>
              </w:rPr>
              <w:t>International</w:t>
            </w:r>
          </w:p>
        </w:tc>
        <w:tc>
          <w:tcPr>
            <w:tcW w:w="2400" w:type="dxa"/>
            <w:vAlign w:val="bottom"/>
            <w:vMerge w:val="continue"/>
          </w:tcPr>
          <w:p>
            <w:pPr>
              <w:spacing w:after="0"/>
              <w:rPr>
                <w:sz w:val="8"/>
                <w:szCs w:val="8"/>
                <w:color w:val="auto"/>
              </w:rPr>
            </w:pPr>
          </w:p>
        </w:tc>
        <w:tc>
          <w:tcPr>
            <w:tcW w:w="1620" w:type="dxa"/>
            <w:vAlign w:val="bottom"/>
            <w:vMerge w:val="restart"/>
          </w:tcPr>
          <w:p>
            <w:pPr>
              <w:ind w:left="580"/>
              <w:spacing w:after="0" w:line="202" w:lineRule="exact"/>
              <w:rPr>
                <w:sz w:val="20"/>
                <w:szCs w:val="20"/>
                <w:color w:val="auto"/>
              </w:rPr>
            </w:pPr>
            <w:r>
              <w:rPr>
                <w:rFonts w:ascii="Arial" w:cs="Arial" w:eastAsia="Arial" w:hAnsi="Arial"/>
                <w:sz w:val="18"/>
                <w:szCs w:val="18"/>
                <w:color w:val="auto"/>
              </w:rPr>
              <w:t>Educational/</w:t>
            </w:r>
          </w:p>
        </w:tc>
        <w:tc>
          <w:tcPr>
            <w:tcW w:w="0" w:type="dxa"/>
            <w:vAlign w:val="bottom"/>
          </w:tcPr>
          <w:p>
            <w:pPr>
              <w:spacing w:after="0"/>
              <w:rPr>
                <w:sz w:val="1"/>
                <w:szCs w:val="1"/>
                <w:color w:val="auto"/>
              </w:rPr>
            </w:pPr>
          </w:p>
        </w:tc>
      </w:tr>
      <w:tr>
        <w:trPr>
          <w:trHeight w:val="108"/>
        </w:trPr>
        <w:tc>
          <w:tcPr>
            <w:tcW w:w="1540" w:type="dxa"/>
            <w:vAlign w:val="bottom"/>
            <w:vMerge w:val="restart"/>
          </w:tcPr>
          <w:p>
            <w:pPr>
              <w:spacing w:after="0"/>
              <w:rPr>
                <w:sz w:val="20"/>
                <w:szCs w:val="20"/>
                <w:color w:val="auto"/>
              </w:rPr>
            </w:pPr>
            <w:r>
              <w:rPr>
                <w:rFonts w:ascii="Arial" w:cs="Arial" w:eastAsia="Arial" w:hAnsi="Arial"/>
                <w:sz w:val="18"/>
                <w:szCs w:val="18"/>
                <w:color w:val="auto"/>
              </w:rPr>
              <w:t>Leadership</w:t>
            </w:r>
          </w:p>
        </w:tc>
        <w:tc>
          <w:tcPr>
            <w:tcW w:w="214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2400" w:type="dxa"/>
            <w:vAlign w:val="bottom"/>
            <w:vMerge w:val="restart"/>
          </w:tcPr>
          <w:p>
            <w:pPr>
              <w:ind w:left="640"/>
              <w:spacing w:after="0"/>
              <w:rPr>
                <w:sz w:val="20"/>
                <w:szCs w:val="20"/>
                <w:color w:val="auto"/>
              </w:rPr>
            </w:pPr>
            <w:r>
              <w:rPr>
                <w:rFonts w:ascii="Arial" w:cs="Arial" w:eastAsia="Arial" w:hAnsi="Arial"/>
                <w:sz w:val="18"/>
                <w:szCs w:val="18"/>
                <w:color w:val="auto"/>
              </w:rPr>
              <w:t>Management</w:t>
            </w: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540" w:type="dxa"/>
            <w:vAlign w:val="bottom"/>
            <w:vMerge w:val="continue"/>
          </w:tcPr>
          <w:p>
            <w:pPr>
              <w:spacing w:after="0"/>
              <w:rPr>
                <w:sz w:val="11"/>
                <w:szCs w:val="11"/>
                <w:color w:val="auto"/>
              </w:rPr>
            </w:pPr>
          </w:p>
        </w:tc>
        <w:tc>
          <w:tcPr>
            <w:tcW w:w="2140" w:type="dxa"/>
            <w:vAlign w:val="bottom"/>
            <w:vMerge w:val="restart"/>
          </w:tcPr>
          <w:p>
            <w:pPr>
              <w:ind w:left="660"/>
              <w:spacing w:after="0"/>
              <w:rPr>
                <w:sz w:val="20"/>
                <w:szCs w:val="20"/>
                <w:color w:val="auto"/>
              </w:rPr>
            </w:pPr>
            <w:r>
              <w:rPr>
                <w:rFonts w:ascii="Arial" w:cs="Arial" w:eastAsia="Arial" w:hAnsi="Arial"/>
                <w:sz w:val="18"/>
                <w:szCs w:val="18"/>
                <w:color w:val="auto"/>
              </w:rPr>
              <w:t>Marketing</w:t>
            </w:r>
          </w:p>
        </w:tc>
        <w:tc>
          <w:tcPr>
            <w:tcW w:w="2320" w:type="dxa"/>
            <w:vAlign w:val="bottom"/>
          </w:tcPr>
          <w:p>
            <w:pPr>
              <w:spacing w:after="0"/>
              <w:rPr>
                <w:sz w:val="11"/>
                <w:szCs w:val="11"/>
                <w:color w:val="auto"/>
              </w:rPr>
            </w:pPr>
          </w:p>
        </w:tc>
        <w:tc>
          <w:tcPr>
            <w:tcW w:w="2400" w:type="dxa"/>
            <w:vAlign w:val="bottom"/>
            <w:vMerge w:val="continue"/>
          </w:tcPr>
          <w:p>
            <w:pPr>
              <w:spacing w:after="0"/>
              <w:rPr>
                <w:sz w:val="11"/>
                <w:szCs w:val="11"/>
                <w:color w:val="auto"/>
              </w:rPr>
            </w:pPr>
          </w:p>
        </w:tc>
        <w:tc>
          <w:tcPr>
            <w:tcW w:w="1620" w:type="dxa"/>
            <w:vAlign w:val="bottom"/>
            <w:vMerge w:val="restart"/>
          </w:tcPr>
          <w:p>
            <w:pPr>
              <w:ind w:left="580"/>
              <w:spacing w:after="0"/>
              <w:rPr>
                <w:sz w:val="20"/>
                <w:szCs w:val="20"/>
                <w:color w:val="auto"/>
              </w:rPr>
            </w:pPr>
            <w:r>
              <w:rPr>
                <w:rFonts w:ascii="Arial" w:cs="Arial" w:eastAsia="Arial" w:hAnsi="Arial"/>
                <w:sz w:val="18"/>
                <w:szCs w:val="18"/>
                <w:color w:val="auto"/>
                <w:w w:val="97"/>
              </w:rPr>
              <w:t>Philanthropic</w:t>
            </w: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23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291465" cy="316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1465" cy="31686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-353060</wp:posOffset>
            </wp:positionV>
            <wp:extent cx="291465" cy="291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-370205</wp:posOffset>
            </wp:positionV>
            <wp:extent cx="291465" cy="3257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1465" cy="3257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-344805</wp:posOffset>
            </wp:positionV>
            <wp:extent cx="291465" cy="274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1465" cy="27432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-310515</wp:posOffset>
            </wp:positionV>
            <wp:extent cx="291465"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1465" cy="21463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377"/>
        </w:trPr>
        <w:tc>
          <w:tcPr>
            <w:tcW w:w="5740" w:type="dxa"/>
            <w:vAlign w:val="bottom"/>
            <w:shd w:val="clear" w:color="auto" w:fill="00A0E0"/>
          </w:tcPr>
          <w:p>
            <w:pPr>
              <w:ind w:left="180"/>
              <w:spacing w:after="0"/>
              <w:rPr>
                <w:sz w:val="20"/>
                <w:szCs w:val="20"/>
                <w:color w:val="auto"/>
              </w:rPr>
            </w:pPr>
            <w:r>
              <w:rPr>
                <w:rFonts w:ascii="Arial" w:cs="Arial" w:eastAsia="Arial" w:hAnsi="Arial"/>
                <w:sz w:val="22"/>
                <w:szCs w:val="22"/>
                <w:b w:val="1"/>
                <w:bCs w:val="1"/>
                <w:color w:val="FFFFFF"/>
              </w:rPr>
              <w:t>Brian L. Roberts</w:t>
            </w:r>
          </w:p>
        </w:tc>
        <w:tc>
          <w:tcPr>
            <w:tcW w:w="5500" w:type="dxa"/>
            <w:vAlign w:val="bottom"/>
            <w:shd w:val="clear" w:color="auto" w:fill="00A0E0"/>
          </w:tcPr>
          <w:p>
            <w:pPr>
              <w:ind w:left="4240"/>
              <w:spacing w:after="0"/>
              <w:rPr>
                <w:sz w:val="20"/>
                <w:szCs w:val="20"/>
                <w:color w:val="auto"/>
              </w:rPr>
            </w:pPr>
            <w:r>
              <w:rPr>
                <w:rFonts w:ascii="Arial" w:cs="Arial" w:eastAsia="Arial" w:hAnsi="Arial"/>
                <w:sz w:val="18"/>
                <w:szCs w:val="18"/>
                <w:b w:val="1"/>
                <w:bCs w:val="1"/>
                <w:color w:val="FFFFFF"/>
              </w:rPr>
              <w:t>Independent</w:t>
            </w:r>
          </w:p>
        </w:tc>
      </w:tr>
      <w:tr>
        <w:trPr>
          <w:trHeight w:val="82"/>
        </w:trPr>
        <w:tc>
          <w:tcPr>
            <w:tcW w:w="5740" w:type="dxa"/>
            <w:vAlign w:val="bottom"/>
            <w:shd w:val="clear" w:color="auto" w:fill="00A0E0"/>
          </w:tcPr>
          <w:p>
            <w:pPr>
              <w:spacing w:after="0"/>
              <w:rPr>
                <w:sz w:val="7"/>
                <w:szCs w:val="7"/>
                <w:color w:val="auto"/>
              </w:rPr>
            </w:pPr>
          </w:p>
        </w:tc>
        <w:tc>
          <w:tcPr>
            <w:tcW w:w="5500" w:type="dxa"/>
            <w:vAlign w:val="bottom"/>
            <w:shd w:val="clear" w:color="auto" w:fill="00A0E0"/>
          </w:tcPr>
          <w:p>
            <w:pPr>
              <w:spacing w:after="0"/>
              <w:rPr>
                <w:sz w:val="7"/>
                <w:szCs w:val="7"/>
                <w:color w:val="auto"/>
              </w:rPr>
            </w:pPr>
          </w:p>
        </w:tc>
      </w:tr>
      <w:tr>
        <w:trPr>
          <w:trHeight w:val="395"/>
        </w:trPr>
        <w:tc>
          <w:tcPr>
            <w:tcW w:w="5740" w:type="dxa"/>
            <w:vAlign w:val="bottom"/>
            <w:shd w:val="clear" w:color="auto" w:fill="E0F0FB"/>
          </w:tcPr>
          <w:p>
            <w:pPr>
              <w:ind w:left="1640"/>
              <w:spacing w:after="0"/>
              <w:rPr>
                <w:sz w:val="20"/>
                <w:szCs w:val="20"/>
                <w:color w:val="auto"/>
              </w:rPr>
            </w:pPr>
            <w:r>
              <w:rPr>
                <w:rFonts w:ascii="Arial" w:cs="Arial" w:eastAsia="Arial" w:hAnsi="Arial"/>
                <w:sz w:val="18"/>
                <w:szCs w:val="18"/>
                <w:color w:val="auto"/>
              </w:rPr>
              <w:t>Chairman and Chief Executive Officer of Comcast</w:t>
            </w:r>
          </w:p>
        </w:tc>
        <w:tc>
          <w:tcPr>
            <w:tcW w:w="5500" w:type="dxa"/>
            <w:vAlign w:val="bottom"/>
            <w:shd w:val="clear" w:color="auto" w:fill="E0F0FB"/>
          </w:tcPr>
          <w:p>
            <w:pPr>
              <w:spacing w:after="0"/>
              <w:rPr>
                <w:sz w:val="24"/>
                <w:szCs w:val="24"/>
                <w:color w:val="auto"/>
              </w:rPr>
            </w:pPr>
          </w:p>
        </w:tc>
      </w:tr>
      <w:tr>
        <w:trPr>
          <w:trHeight w:val="373"/>
        </w:trPr>
        <w:tc>
          <w:tcPr>
            <w:tcW w:w="5740" w:type="dxa"/>
            <w:vAlign w:val="bottom"/>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tc>
        <w:tc>
          <w:tcPr>
            <w:tcW w:w="5500" w:type="dxa"/>
            <w:vAlign w:val="bottom"/>
            <w:shd w:val="clear" w:color="auto" w:fill="E0F0FB"/>
          </w:tcPr>
          <w:p>
            <w:pPr>
              <w:spacing w:after="0"/>
              <w:rPr>
                <w:sz w:val="24"/>
                <w:szCs w:val="24"/>
                <w:color w:val="auto"/>
              </w:rPr>
            </w:pPr>
          </w:p>
        </w:tc>
      </w:tr>
      <w:tr>
        <w:trPr>
          <w:trHeight w:val="270"/>
        </w:trPr>
        <w:tc>
          <w:tcPr>
            <w:tcW w:w="5740" w:type="dxa"/>
            <w:vAlign w:val="bottom"/>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March 1988</w:t>
            </w:r>
          </w:p>
        </w:tc>
        <w:tc>
          <w:tcPr>
            <w:tcW w:w="5500" w:type="dxa"/>
            <w:vAlign w:val="bottom"/>
            <w:shd w:val="clear" w:color="auto" w:fill="E0F0FB"/>
          </w:tcPr>
          <w:p>
            <w:pPr>
              <w:spacing w:after="0"/>
              <w:rPr>
                <w:sz w:val="23"/>
                <w:szCs w:val="23"/>
                <w:color w:val="auto"/>
              </w:rPr>
            </w:pPr>
          </w:p>
        </w:tc>
      </w:tr>
      <w:tr>
        <w:trPr>
          <w:trHeight w:val="284"/>
        </w:trPr>
        <w:tc>
          <w:tcPr>
            <w:tcW w:w="5740" w:type="dxa"/>
            <w:vAlign w:val="bottom"/>
            <w:shd w:val="clear" w:color="auto" w:fill="E0F0FB"/>
          </w:tcPr>
          <w:p>
            <w:pPr>
              <w:ind w:left="1640"/>
              <w:spacing w:after="0"/>
              <w:rPr>
                <w:sz w:val="20"/>
                <w:szCs w:val="20"/>
                <w:color w:val="auto"/>
              </w:rPr>
            </w:pPr>
            <w:r>
              <w:rPr>
                <w:rFonts w:ascii="Arial" w:cs="Arial" w:eastAsia="Arial" w:hAnsi="Arial"/>
                <w:sz w:val="18"/>
                <w:szCs w:val="18"/>
                <w:b w:val="1"/>
                <w:bCs w:val="1"/>
                <w:color w:val="auto"/>
              </w:rPr>
              <w:t xml:space="preserve">Committees: </w:t>
            </w:r>
            <w:r>
              <w:rPr>
                <w:rFonts w:ascii="Arial" w:cs="Arial" w:eastAsia="Arial" w:hAnsi="Arial"/>
                <w:sz w:val="18"/>
                <w:szCs w:val="18"/>
                <w:color w:val="auto"/>
              </w:rPr>
              <w:t>None</w:t>
            </w:r>
          </w:p>
        </w:tc>
        <w:tc>
          <w:tcPr>
            <w:tcW w:w="5500" w:type="dxa"/>
            <w:vAlign w:val="bottom"/>
            <w:shd w:val="clear" w:color="auto" w:fill="E0F0FB"/>
          </w:tcPr>
          <w:p>
            <w:pPr>
              <w:spacing w:after="0"/>
              <w:rPr>
                <w:sz w:val="24"/>
                <w:szCs w:val="24"/>
                <w:color w:val="auto"/>
              </w:rPr>
            </w:pPr>
          </w:p>
        </w:tc>
      </w:tr>
      <w:tr>
        <w:trPr>
          <w:trHeight w:val="299"/>
        </w:trPr>
        <w:tc>
          <w:tcPr>
            <w:tcW w:w="5740" w:type="dxa"/>
            <w:vAlign w:val="bottom"/>
            <w:shd w:val="clear" w:color="auto" w:fill="E0F0FB"/>
          </w:tcPr>
          <w:p>
            <w:pPr>
              <w:spacing w:after="0"/>
              <w:rPr>
                <w:sz w:val="24"/>
                <w:szCs w:val="24"/>
                <w:color w:val="auto"/>
              </w:rPr>
            </w:pPr>
          </w:p>
        </w:tc>
        <w:tc>
          <w:tcPr>
            <w:tcW w:w="5500" w:type="dxa"/>
            <w:vAlign w:val="bottom"/>
            <w:shd w:val="clear" w:color="auto" w:fill="E0F0FB"/>
          </w:tcPr>
          <w:p>
            <w:pPr>
              <w:spacing w:after="0"/>
              <w:rPr>
                <w:sz w:val="24"/>
                <w:szCs w:val="24"/>
                <w:color w:val="auto"/>
              </w:rPr>
            </w:pPr>
          </w:p>
        </w:tc>
      </w:tr>
      <w:tr>
        <w:trPr>
          <w:trHeight w:val="444"/>
        </w:trPr>
        <w:tc>
          <w:tcPr>
            <w:tcW w:w="5740" w:type="dxa"/>
            <w:vAlign w:val="bottom"/>
          </w:tcPr>
          <w:p>
            <w:pPr>
              <w:spacing w:after="0"/>
              <w:rPr>
                <w:sz w:val="20"/>
                <w:szCs w:val="20"/>
                <w:color w:val="auto"/>
              </w:rPr>
            </w:pPr>
            <w:r>
              <w:rPr>
                <w:rFonts w:ascii="Arial" w:cs="Arial" w:eastAsia="Arial" w:hAnsi="Arial"/>
                <w:sz w:val="18"/>
                <w:szCs w:val="18"/>
                <w:b w:val="1"/>
                <w:bCs w:val="1"/>
                <w:color w:val="00A0E0"/>
              </w:rPr>
              <w:t>Career Highlights:</w:t>
            </w:r>
          </w:p>
        </w:tc>
        <w:tc>
          <w:tcPr>
            <w:tcW w:w="5500" w:type="dxa"/>
            <w:vAlign w:val="bottom"/>
          </w:tcPr>
          <w:p>
            <w:pPr>
              <w:spacing w:after="0"/>
              <w:rPr>
                <w:sz w:val="24"/>
                <w:szCs w:val="24"/>
                <w:color w:val="auto"/>
              </w:rPr>
            </w:pPr>
          </w:p>
        </w:tc>
      </w:tr>
      <w:tr>
        <w:trPr>
          <w:trHeight w:val="371"/>
        </w:trPr>
        <w:tc>
          <w:tcPr>
            <w:tcW w:w="574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Chairman of the Board, Comcast, 2004 – Present</w:t>
            </w:r>
          </w:p>
        </w:tc>
        <w:tc>
          <w:tcPr>
            <w:tcW w:w="5500" w:type="dxa"/>
            <w:vAlign w:val="bottom"/>
          </w:tcPr>
          <w:p>
            <w:pPr>
              <w:ind w:left="100"/>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Director Emeritus, CableLabs, the cable industry’s research and</w:t>
            </w:r>
          </w:p>
        </w:tc>
      </w:tr>
      <w:tr>
        <w:trPr>
          <w:trHeight w:val="218"/>
        </w:trPr>
        <w:tc>
          <w:tcPr>
            <w:tcW w:w="5740" w:type="dxa"/>
            <w:vAlign w:val="bottom"/>
          </w:tcPr>
          <w:p>
            <w:pPr>
              <w:spacing w:after="0"/>
              <w:rPr>
                <w:sz w:val="20"/>
                <w:szCs w:val="20"/>
                <w:color w:val="auto"/>
              </w:rPr>
            </w:pPr>
            <w:r>
              <w:rPr>
                <w:rFonts w:ascii="Arial" w:cs="Arial" w:eastAsia="Arial" w:hAnsi="Arial"/>
                <w:sz w:val="17"/>
                <w:szCs w:val="17"/>
                <w:color w:val="00A0E0"/>
              </w:rPr>
              <w:t xml:space="preserve">●  </w:t>
            </w:r>
            <w:r>
              <w:rPr>
                <w:rFonts w:ascii="Arial" w:cs="Arial" w:eastAsia="Arial" w:hAnsi="Arial"/>
                <w:sz w:val="17"/>
                <w:szCs w:val="17"/>
                <w:color w:val="000000"/>
              </w:rPr>
              <w:t>Chief Executive Officer, Comcast, 2002 – Present</w:t>
            </w:r>
          </w:p>
        </w:tc>
        <w:tc>
          <w:tcPr>
            <w:tcW w:w="5500" w:type="dxa"/>
            <w:vAlign w:val="bottom"/>
          </w:tcPr>
          <w:p>
            <w:pPr>
              <w:ind w:left="360"/>
              <w:spacing w:after="0"/>
              <w:rPr>
                <w:sz w:val="20"/>
                <w:szCs w:val="20"/>
                <w:color w:val="auto"/>
              </w:rPr>
            </w:pPr>
            <w:r>
              <w:rPr>
                <w:rFonts w:ascii="Arial" w:cs="Arial" w:eastAsia="Arial" w:hAnsi="Arial"/>
                <w:sz w:val="18"/>
                <w:szCs w:val="18"/>
                <w:color w:val="auto"/>
              </w:rPr>
              <w:t>development consortium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-1572895</wp:posOffset>
            </wp:positionV>
            <wp:extent cx="805815" cy="8058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05815" cy="805815"/>
                    </a:xfrm>
                    <a:prstGeom prst="rect">
                      <a:avLst/>
                    </a:prstGeom>
                    <a:noFill/>
                  </pic:spPr>
                </pic:pic>
              </a:graphicData>
            </a:graphic>
          </wp:anchor>
        </w:drawing>
      </w:r>
    </w:p>
    <w:p>
      <w:pPr>
        <w:ind w:left="260" w:hanging="252"/>
        <w:spacing w:after="0"/>
        <w:tabs>
          <w:tab w:leader="none" w:pos="260" w:val="left"/>
        </w:tabs>
        <w:numPr>
          <w:ilvl w:val="0"/>
          <w:numId w:val="31"/>
        </w:numPr>
        <w:rPr>
          <w:rFonts w:ascii="Arial" w:cs="Arial" w:eastAsia="Arial" w:hAnsi="Arial"/>
          <w:sz w:val="17"/>
          <w:szCs w:val="17"/>
          <w:color w:val="00A0E0"/>
        </w:rPr>
      </w:pPr>
      <w:r>
        <w:rPr>
          <w:rFonts w:ascii="Arial" w:cs="Arial" w:eastAsia="Arial" w:hAnsi="Arial"/>
          <w:sz w:val="18"/>
          <w:szCs w:val="18"/>
          <w:color w:val="auto"/>
        </w:rPr>
        <w:t>President, Comcast, 1990 – 2022</w:t>
      </w:r>
    </w:p>
    <w:p>
      <w:pPr>
        <w:spacing w:after="0" w:line="199"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As of December 31, 2023, Mr. Roberts, through his ownership of our Class B common stock, had sole voting power over 33 1/3% of the combined voting power of our two classes of voting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Skills and Qualifications:</w:t>
      </w:r>
    </w:p>
    <w:p>
      <w:pPr>
        <w:spacing w:after="0" w:line="21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We believe that Mr. Roberts’ extensive experience and leadership in the internet, video, phone, media and entertainment and wireless industries, including as our Chairman and Chief Executive Officer and in the oversight of business strategies and risk management efforts, render him qualified to serve as one of our directors.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vMerge w:val="restart"/>
          </w:tcPr>
          <w:p>
            <w:pPr>
              <w:ind w:left="580"/>
              <w:spacing w:after="0"/>
              <w:rPr>
                <w:sz w:val="20"/>
                <w:szCs w:val="20"/>
                <w:color w:val="auto"/>
              </w:rPr>
            </w:pPr>
            <w:r>
              <w:rPr>
                <w:rFonts w:ascii="Arial" w:cs="Arial" w:eastAsia="Arial" w:hAnsi="Arial"/>
                <w:sz w:val="18"/>
                <w:szCs w:val="18"/>
                <w:color w:val="auto"/>
              </w:rPr>
              <w:t>Executive</w:t>
            </w:r>
          </w:p>
        </w:tc>
        <w:tc>
          <w:tcPr>
            <w:tcW w:w="2120" w:type="dxa"/>
            <w:vAlign w:val="bottom"/>
          </w:tcPr>
          <w:p>
            <w:pPr>
              <w:ind w:left="600"/>
              <w:spacing w:after="0"/>
              <w:rPr>
                <w:sz w:val="20"/>
                <w:szCs w:val="20"/>
                <w:color w:val="auto"/>
              </w:rPr>
            </w:pPr>
            <w:r>
              <w:rPr>
                <w:rFonts w:ascii="Arial" w:cs="Arial" w:eastAsia="Arial" w:hAnsi="Arial"/>
                <w:sz w:val="18"/>
                <w:szCs w:val="18"/>
                <w:color w:val="auto"/>
              </w:rPr>
              <w:t>Relevant</w:t>
            </w:r>
          </w:p>
        </w:tc>
        <w:tc>
          <w:tcPr>
            <w:tcW w:w="2660" w:type="dxa"/>
            <w:vAlign w:val="bottom"/>
            <w:vMerge w:val="restart"/>
          </w:tcPr>
          <w:p>
            <w:pPr>
              <w:ind w:left="620"/>
              <w:spacing w:after="0"/>
              <w:rPr>
                <w:sz w:val="20"/>
                <w:szCs w:val="20"/>
                <w:color w:val="auto"/>
              </w:rPr>
            </w:pPr>
            <w:r>
              <w:rPr>
                <w:rFonts w:ascii="Arial" w:cs="Arial" w:eastAsia="Arial" w:hAnsi="Arial"/>
                <w:sz w:val="18"/>
                <w:szCs w:val="18"/>
                <w:color w:val="auto"/>
              </w:rPr>
              <w:t>Consumer Products/</w:t>
            </w:r>
          </w:p>
        </w:tc>
        <w:tc>
          <w:tcPr>
            <w:tcW w:w="2280" w:type="dxa"/>
            <w:vAlign w:val="bottom"/>
            <w:vMerge w:val="restart"/>
          </w:tcPr>
          <w:p>
            <w:pPr>
              <w:ind w:left="420"/>
              <w:spacing w:after="0"/>
              <w:rPr>
                <w:sz w:val="20"/>
                <w:szCs w:val="20"/>
                <w:color w:val="auto"/>
              </w:rPr>
            </w:pPr>
            <w:r>
              <w:rPr>
                <w:rFonts w:ascii="Arial" w:cs="Arial" w:eastAsia="Arial" w:hAnsi="Arial"/>
                <w:sz w:val="18"/>
                <w:szCs w:val="18"/>
                <w:color w:val="auto"/>
              </w:rPr>
              <w:t>Risk Management</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80" w:type="dxa"/>
            <w:vAlign w:val="bottom"/>
            <w:vMerge w:val="continue"/>
          </w:tcPr>
          <w:p>
            <w:pPr>
              <w:spacing w:after="0"/>
              <w:rPr>
                <w:sz w:val="8"/>
                <w:szCs w:val="8"/>
                <w:color w:val="auto"/>
              </w:rPr>
            </w:pPr>
          </w:p>
        </w:tc>
        <w:tc>
          <w:tcPr>
            <w:tcW w:w="2120" w:type="dxa"/>
            <w:vAlign w:val="bottom"/>
            <w:vMerge w:val="restart"/>
          </w:tcPr>
          <w:p>
            <w:pPr>
              <w:ind w:left="600"/>
              <w:spacing w:after="0" w:line="202" w:lineRule="exact"/>
              <w:rPr>
                <w:sz w:val="20"/>
                <w:szCs w:val="20"/>
                <w:color w:val="auto"/>
              </w:rPr>
            </w:pPr>
            <w:r>
              <w:rPr>
                <w:rFonts w:ascii="Arial" w:cs="Arial" w:eastAsia="Arial" w:hAnsi="Arial"/>
                <w:sz w:val="18"/>
                <w:szCs w:val="18"/>
                <w:color w:val="auto"/>
              </w:rPr>
              <w:t>Industry</w:t>
            </w:r>
          </w:p>
        </w:tc>
        <w:tc>
          <w:tcPr>
            <w:tcW w:w="266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2100" w:type="dxa"/>
            <w:vAlign w:val="bottom"/>
            <w:vMerge w:val="restart"/>
          </w:tcPr>
          <w:p>
            <w:pPr>
              <w:ind w:left="540"/>
              <w:spacing w:after="0" w:line="202" w:lineRule="exact"/>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108"/>
        </w:trPr>
        <w:tc>
          <w:tcPr>
            <w:tcW w:w="2080" w:type="dxa"/>
            <w:vAlign w:val="bottom"/>
            <w:vMerge w:val="restart"/>
          </w:tcPr>
          <w:p>
            <w:pPr>
              <w:ind w:left="580"/>
              <w:spacing w:after="0"/>
              <w:rPr>
                <w:sz w:val="20"/>
                <w:szCs w:val="20"/>
                <w:color w:val="auto"/>
              </w:rPr>
            </w:pPr>
            <w:r>
              <w:rPr>
                <w:rFonts w:ascii="Arial" w:cs="Arial" w:eastAsia="Arial" w:hAnsi="Arial"/>
                <w:sz w:val="18"/>
                <w:szCs w:val="18"/>
                <w:color w:val="auto"/>
              </w:rPr>
              <w:t>Leadership</w:t>
            </w:r>
          </w:p>
        </w:tc>
        <w:tc>
          <w:tcPr>
            <w:tcW w:w="2120" w:type="dxa"/>
            <w:vAlign w:val="bottom"/>
            <w:vMerge w:val="continue"/>
          </w:tcPr>
          <w:p>
            <w:pPr>
              <w:spacing w:after="0"/>
              <w:rPr>
                <w:sz w:val="9"/>
                <w:szCs w:val="9"/>
                <w:color w:val="auto"/>
              </w:rPr>
            </w:pPr>
          </w:p>
        </w:tc>
        <w:tc>
          <w:tcPr>
            <w:tcW w:w="2660" w:type="dxa"/>
            <w:vAlign w:val="bottom"/>
            <w:vMerge w:val="restart"/>
          </w:tcPr>
          <w:p>
            <w:pPr>
              <w:ind w:left="620"/>
              <w:spacing w:after="0"/>
              <w:rPr>
                <w:sz w:val="20"/>
                <w:szCs w:val="20"/>
                <w:color w:val="auto"/>
              </w:rPr>
            </w:pPr>
            <w:r>
              <w:rPr>
                <w:rFonts w:ascii="Arial" w:cs="Arial" w:eastAsia="Arial" w:hAnsi="Arial"/>
                <w:sz w:val="18"/>
                <w:szCs w:val="18"/>
                <w:color w:val="auto"/>
              </w:rPr>
              <w:t>Customer-Oriented</w:t>
            </w:r>
          </w:p>
        </w:tc>
        <w:tc>
          <w:tcPr>
            <w:tcW w:w="2280" w:type="dxa"/>
            <w:vAlign w:val="bottom"/>
            <w:vMerge w:val="restart"/>
          </w:tcPr>
          <w:p>
            <w:pPr>
              <w:ind w:left="420"/>
              <w:spacing w:after="0"/>
              <w:rPr>
                <w:sz w:val="20"/>
                <w:szCs w:val="20"/>
                <w:color w:val="auto"/>
              </w:rPr>
            </w:pPr>
            <w:r>
              <w:rPr>
                <w:rFonts w:ascii="Arial" w:cs="Arial" w:eastAsia="Arial" w:hAnsi="Arial"/>
                <w:sz w:val="18"/>
                <w:szCs w:val="18"/>
                <w:color w:val="auto"/>
              </w:rPr>
              <w:t>Oversight</w:t>
            </w:r>
          </w:p>
        </w:tc>
        <w:tc>
          <w:tcPr>
            <w:tcW w:w="2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80" w:type="dxa"/>
            <w:vAlign w:val="bottom"/>
            <w:vMerge w:val="continue"/>
          </w:tcPr>
          <w:p>
            <w:pPr>
              <w:spacing w:after="0"/>
              <w:rPr>
                <w:sz w:val="11"/>
                <w:szCs w:val="11"/>
                <w:color w:val="auto"/>
              </w:rPr>
            </w:pPr>
          </w:p>
        </w:tc>
        <w:tc>
          <w:tcPr>
            <w:tcW w:w="2120" w:type="dxa"/>
            <w:vAlign w:val="bottom"/>
            <w:vMerge w:val="restart"/>
          </w:tcPr>
          <w:p>
            <w:pPr>
              <w:ind w:left="600"/>
              <w:spacing w:after="0"/>
              <w:rPr>
                <w:sz w:val="20"/>
                <w:szCs w:val="20"/>
                <w:color w:val="auto"/>
              </w:rPr>
            </w:pPr>
            <w:r>
              <w:rPr>
                <w:rFonts w:ascii="Arial" w:cs="Arial" w:eastAsia="Arial" w:hAnsi="Arial"/>
                <w:sz w:val="18"/>
                <w:szCs w:val="18"/>
                <w:color w:val="auto"/>
              </w:rPr>
              <w:t>Experience</w:t>
            </w:r>
          </w:p>
        </w:tc>
        <w:tc>
          <w:tcPr>
            <w:tcW w:w="266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26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7"/>
        </w:trPr>
        <w:tc>
          <w:tcPr>
            <w:tcW w:w="2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00" w:type="dxa"/>
            <w:vAlign w:val="bottom"/>
          </w:tcPr>
          <w:p>
            <w:pPr>
              <w:ind w:left="38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r>
              <w:rPr>
                <w:rFonts w:ascii="Arial" w:cs="Arial" w:eastAsia="Arial" w:hAnsi="Arial"/>
                <w:sz w:val="13"/>
                <w:szCs w:val="13"/>
                <w:b w:val="1"/>
                <w:bCs w:val="1"/>
                <w:color w:val="auto"/>
              </w:rPr>
              <w:t xml:space="preserve">   16</w:t>
            </w:r>
          </w:p>
        </w:tc>
        <w:tc>
          <w:tcPr>
            <w:tcW w:w="0" w:type="dxa"/>
            <w:vAlign w:val="bottom"/>
          </w:tcPr>
          <w:p>
            <w:pPr>
              <w:spacing w:after="0"/>
              <w:rPr>
                <w:sz w:val="1"/>
                <w:szCs w:val="1"/>
                <w:color w:val="auto"/>
              </w:rPr>
            </w:pPr>
          </w:p>
        </w:tc>
      </w:tr>
      <w:tr>
        <w:trPr>
          <w:trHeight w:val="362"/>
        </w:trPr>
        <w:tc>
          <w:tcPr>
            <w:tcW w:w="2080" w:type="dxa"/>
            <w:vAlign w:val="bottom"/>
            <w:tcBorders>
              <w:bottom w:val="single" w:sz="8" w:color="A1A1A1"/>
            </w:tcBorders>
          </w:tcPr>
          <w:p>
            <w:pPr>
              <w:spacing w:after="0"/>
              <w:rPr>
                <w:sz w:val="24"/>
                <w:szCs w:val="24"/>
                <w:color w:val="auto"/>
              </w:rPr>
            </w:pPr>
          </w:p>
        </w:tc>
        <w:tc>
          <w:tcPr>
            <w:tcW w:w="2120" w:type="dxa"/>
            <w:vAlign w:val="bottom"/>
            <w:tcBorders>
              <w:bottom w:val="single" w:sz="8" w:color="A1A1A1"/>
            </w:tcBorders>
          </w:tcPr>
          <w:p>
            <w:pPr>
              <w:spacing w:after="0"/>
              <w:rPr>
                <w:sz w:val="24"/>
                <w:szCs w:val="24"/>
                <w:color w:val="auto"/>
              </w:rPr>
            </w:pPr>
          </w:p>
        </w:tc>
        <w:tc>
          <w:tcPr>
            <w:tcW w:w="2660" w:type="dxa"/>
            <w:vAlign w:val="bottom"/>
            <w:tcBorders>
              <w:bottom w:val="single" w:sz="8" w:color="A1A1A1"/>
            </w:tcBorders>
          </w:tcPr>
          <w:p>
            <w:pPr>
              <w:spacing w:after="0"/>
              <w:rPr>
                <w:sz w:val="24"/>
                <w:szCs w:val="24"/>
                <w:color w:val="auto"/>
              </w:rPr>
            </w:pPr>
          </w:p>
        </w:tc>
        <w:tc>
          <w:tcPr>
            <w:tcW w:w="2280" w:type="dxa"/>
            <w:vAlign w:val="bottom"/>
            <w:tcBorders>
              <w:bottom w:val="single" w:sz="8" w:color="A1A1A1"/>
            </w:tcBorders>
          </w:tcPr>
          <w:p>
            <w:pPr>
              <w:spacing w:after="0"/>
              <w:rPr>
                <w:sz w:val="24"/>
                <w:szCs w:val="24"/>
                <w:color w:val="auto"/>
              </w:rPr>
            </w:pPr>
          </w:p>
        </w:tc>
        <w:tc>
          <w:tcPr>
            <w:tcW w:w="2100" w:type="dxa"/>
            <w:vAlign w:val="bottom"/>
            <w:tcBorders>
              <w:bottom w:val="single" w:sz="8" w:color="A1A1A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-856615</wp:posOffset>
            </wp:positionV>
            <wp:extent cx="291465" cy="3257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1465" cy="3257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-796290</wp:posOffset>
            </wp:positionV>
            <wp:extent cx="291465"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1465" cy="19685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-847725</wp:posOffset>
            </wp:positionV>
            <wp:extent cx="291465" cy="3003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1465" cy="3003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-847725</wp:posOffset>
            </wp:positionV>
            <wp:extent cx="291465"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-864870</wp:posOffset>
            </wp:positionV>
            <wp:extent cx="291465" cy="3257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1465" cy="3257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Independence Determinations</w:t>
      </w: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Our Board has determined that each of our nonemployee directors and director nominees is independent in accordance with the director independence definition specified in our corporate governance guidelines, which are posted under “Corporate Governance” in the Investors section of our website at </w:t>
      </w:r>
      <w:r>
        <w:rPr>
          <w:rFonts w:ascii="Arial" w:cs="Arial" w:eastAsia="Arial" w:hAnsi="Arial"/>
          <w:sz w:val="18"/>
          <w:szCs w:val="18"/>
          <w:i w:val="1"/>
          <w:iCs w:val="1"/>
          <w:color w:val="auto"/>
        </w:rPr>
        <w:t>www.cmcsa.com</w:t>
      </w:r>
      <w:r>
        <w:rPr>
          <w:rFonts w:ascii="Arial" w:cs="Arial" w:eastAsia="Arial" w:hAnsi="Arial"/>
          <w:sz w:val="18"/>
          <w:szCs w:val="18"/>
          <w:color w:val="auto"/>
        </w:rPr>
        <w:t>, and in accordance with the applicable rules of The Nasdaq Stock Market LLC (“Nasdaq”). In making its independence determinations, our Board considered transactions and relationships between each director or any member of his or her immediate family and us, including those reported under “Related Party Transactions Policy and Certain Transactions” below. The Board also considered that in the ordinary course of business we have, during the current year and the past three fiscal years, sold products and services to, purchased products and services from, and/or made charitable donations (including by certain of our executive officers) to companies and organizations at which certain of our directors are currently an executive officer or a significant shareholder. In each case, the amount paid or donated to or received from these companies and organizations each year was below 1% of the recipient company’s or organization’s total consolidated gross revenues, which is far below the 5% limit prescribed by Nasdaq rules.</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color w:val="auto"/>
        </w:rPr>
        <w:t>Retirement Age, Director Tenure and Director Emeritus Program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corporate governance guidelines require that our independent directors not stand for re-election to the Board after reaching the age of</w:t>
      </w:r>
    </w:p>
    <w:p>
      <w:pPr>
        <w:spacing w:after="0" w:line="14" w:lineRule="exact"/>
        <w:rPr>
          <w:sz w:val="20"/>
          <w:szCs w:val="20"/>
          <w:color w:val="auto"/>
        </w:rPr>
      </w:pPr>
    </w:p>
    <w:p>
      <w:pPr>
        <w:ind w:right="320" w:firstLine="8"/>
        <w:spacing w:after="0" w:line="250"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believe that our retirement policy and natural turnover achieve the appropriate balance between maintaining longer-term directors with deep institutional knowledge and refreshing the Board with new directors and different areas of expertise and knowledge.</w:t>
      </w:r>
    </w:p>
    <w:p>
      <w:pPr>
        <w:spacing w:after="0" w:line="172"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Our Board considers director tenure in connection with its independence determinations, even though neither our corporate governance guidelines nor Nasdaq or SEC rules deem a long-tenured director not independent. Following the annual meeting of shareholders, if all director nominees are elected to serve as our directors, the average tenure of our independent directors will be 8.4 years.</w:t>
      </w:r>
    </w:p>
    <w:p>
      <w:pPr>
        <w:spacing w:after="0" w:line="169"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Our Board has created a director emeritus program to avail itself of the counsel of retiring directors who have made and can continue to make a unique contribution to the deliberations of the Board. A director emeritus may provide advisory services as requested from time to time and may be invited to attend meetings of the Board, but may not vote, be counted for quorum purposes or have any of the duties or obligations imposed on our directors or officers under applicable law or otherwise be considered a director. Sheldon M. Bonovitz was designated as a director emeritus following our 2020 annual meeting, and following our 2024 annual meeting Gerald L. Hassell and Maritza G. Montiel will become directors emeritus for a period of one year.</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color w:val="auto"/>
        </w:rPr>
        <w:t>Director Nominations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A0E0"/>
        </w:rPr>
        <w:t>Identifying and Evaluating Director Nominees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GCR Committee will consider director candidates recommended by shareholders and will evaluate any such candidates in a similar manner as any other candidates. In identifying and evaluating candidates, whether recommended by the GCR Committee or by shareholders, the GCR Committee will consider an individual’s professional knowledge, business, financial and management expertise, industry knowledge, entrepreneurial background and experience, as well as applicable independence requirements. The GCR Committee also gives significant consideration to the current composition and diversity of our Board, including with respect to the skills set forth above, as well as age, backgrounds, cultures, experiences, qualifications, viewpoints and perspectives. All of our nominees are current directors and were elected by the shareholders at our 2023 annual meeting, other than Louise F. Brady and Wonya Y. Lucas, who joined the Board in October 2023 and April 2024,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00A0E0"/>
        </w:rPr>
        <w:t>Shareholder Nominees</w:t>
      </w:r>
    </w:p>
    <w:p>
      <w:pPr>
        <w:spacing w:after="0" w:line="214"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To submit a nomination for the election of directors, shareholders must provide a written notice in accordance with Section 3.10 of our bylaws. For the election of directors at the 2025 annual meeting of shareholders, if such meeting is called for a date between May 11, 2025 and July 10, 2025, we must receive written notice at the mailing address given on page 61 on or after February 10, 2025 and no later than the close of business on March 12, 2025. If we call the 2025 annual meeting of shareholders for any other date, we must receive written notice no later than the close of business on the tenth day following the day on which we first make a public announcement of the date of the meeting.</w:t>
      </w:r>
    </w:p>
    <w:p>
      <w:pPr>
        <w:spacing w:after="0" w:line="17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In addition, in accordance with Section 3.11 of our bylaws, a shareholder or group of up to 20 shareholders owning at least 3% of the aggregate number of our outstanding shares of common stock continuously for at least three years may nominate and include in our proxy materials director nominees constituting up to the greater of 20% of our Board or two directors, provided the shareholder(s) and nominee(s) satisfy the requirements in our bylaws. Written notice of</w:t>
      </w:r>
    </w:p>
    <w:p>
      <w:pPr>
        <w:spacing w:after="0" w:line="178"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jc w:val="both"/>
        <w:ind w:right="140"/>
        <w:spacing w:after="0" w:line="244" w:lineRule="auto"/>
        <w:rPr>
          <w:sz w:val="20"/>
          <w:szCs w:val="20"/>
          <w:color w:val="auto"/>
        </w:rPr>
      </w:pPr>
      <w:r>
        <w:rPr>
          <w:rFonts w:ascii="Arial" w:cs="Arial" w:eastAsia="Arial" w:hAnsi="Arial"/>
          <w:sz w:val="18"/>
          <w:szCs w:val="18"/>
          <w:color w:val="auto"/>
        </w:rPr>
        <w:t>proxy access director nominees for the election of directors at the 2025 annual meeting of shareholders, if such meeting is called for a date between May 11, 2025 and July 10, 2025, must be received at the mailing address given on page 61 on or after November 27, 2024 and no later than the close of business on December 27, 2024. If such meeting is called for any other date, we must receive written notice no later than the close of business on the later of the date that is 180 days prior to such meeting or the tenth day following the day on which we first make a public announcement of the date of the meeting.</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 xml:space="preserve">Shareholders can obtain a copy of our bylaws by writing to Thomas J. Reid, Secretary, Comcast Corporation, at the mailing address given on page 61. A copy of our bylaws is filed with the SEC as an exhibit to our Annual Report on Form 10-K for the year ended December 31, 2023 and is posted under “Corporate Governance” in the Investors section of our website at </w:t>
      </w:r>
      <w:r>
        <w:rPr>
          <w:rFonts w:ascii="Arial" w:cs="Arial" w:eastAsia="Arial" w:hAnsi="Arial"/>
          <w:sz w:val="18"/>
          <w:szCs w:val="18"/>
          <w:i w:val="1"/>
          <w:iCs w:val="1"/>
          <w:color w:val="auto"/>
        </w:rPr>
        <w:t>www.cmcsa.com</w:t>
      </w:r>
      <w:r>
        <w:rPr>
          <w:rFonts w:ascii="Arial" w:cs="Arial" w:eastAsia="Arial" w:hAnsi="Arial"/>
          <w:sz w:val="18"/>
          <w:szCs w:val="18"/>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Board Structure and Responsibilities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color w:val="auto"/>
        </w:rPr>
        <w:t>Board Leadership Structure</w:t>
      </w:r>
    </w:p>
    <w:p>
      <w:pPr>
        <w:spacing w:after="0" w:line="229"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Our Board believes that we and our shareholders are best served by maintaining the flexibility for the Board to split or combine the offices of Chairman and Chief Executive Officer depending upon the best interests of our company at a given point in time. To that end, our GCR Committee and Board regularly review our Board leadership structure to ensure that the most appropriate structure is in place. These reviews may consider a variety of factors, such as our state corporation laws, our governance practices, the efficiency and effectiveness of our existing board leadership structure and feedback from our Board members as well as shareholders on our Board and its leadership structure.</w:t>
      </w:r>
    </w:p>
    <w:p>
      <w:pPr>
        <w:spacing w:after="0" w:line="17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Board currently believes that we and our shareholders continue to be best served by having Mr. Roberts serve as both our Chairman and Chief Executive Officer – working together with a strong Lead Independent Director. Mr. Roberts is a strong and effective leader, at both the company and Board levels, who provides critical leadership in carrying out our strategic initiatives and confronting our challenges. Mr. Roberts serves as an effective bridge between the Board and management, facilitating strong collaboration and encouraging open lines of communication with the Board. In his role as Chairman, he also brings to Board discussions extensive knowledge of all aspects of our current business, operations and risks.</w:t>
      </w:r>
    </w:p>
    <w:p>
      <w:pPr>
        <w:spacing w:after="0" w:line="17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In addition to our combined Chairman and CEO role, our independent directors are led by our Lead Independent Director, who ensures a strong, independent and active Board by promoting effective communication and consideration of strategy and 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86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Edward D. Breen</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FFFFFF"/>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3056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2305685"/>
                    </a:xfrm>
                    <a:prstGeom prst="rect">
                      <a:avLst/>
                    </a:prstGeom>
                    <a:noFill/>
                  </pic:spPr>
                </pic:pic>
              </a:graphicData>
            </a:graphic>
          </wp:anchor>
        </w:drawing>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accordance with our corporate governance guidelines, our Board has a strong Lead Independent Director position, currently filled by</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Mr. Breen. The Lead Independent Director:</w:t>
      </w:r>
    </w:p>
    <w:p>
      <w:pPr>
        <w:sectPr>
          <w:pgSz w:w="11900" w:h="16838" w:orient="portrait"/>
          <w:cols w:equalWidth="0" w:num="1">
            <w:col w:w="11240"/>
          </w:cols>
          <w:pgMar w:left="320" w:top="121" w:right="339" w:bottom="1440" w:gutter="0" w:footer="0" w:header="0"/>
        </w:sectPr>
      </w:pPr>
    </w:p>
    <w:p>
      <w:pPr>
        <w:spacing w:after="0" w:line="86" w:lineRule="exact"/>
        <w:rPr>
          <w:sz w:val="20"/>
          <w:szCs w:val="20"/>
          <w:color w:val="auto"/>
        </w:rPr>
      </w:pPr>
    </w:p>
    <w:p>
      <w:pPr>
        <w:ind w:left="460" w:right="180" w:hanging="263"/>
        <w:spacing w:after="0" w:line="281" w:lineRule="auto"/>
        <w:tabs>
          <w:tab w:leader="none" w:pos="443" w:val="left"/>
        </w:tabs>
        <w:numPr>
          <w:ilvl w:val="0"/>
          <w:numId w:val="34"/>
        </w:numPr>
        <w:rPr>
          <w:rFonts w:ascii="Times New Roman" w:cs="Times New Roman" w:eastAsia="Times New Roman" w:hAnsi="Times New Roman"/>
          <w:sz w:val="18"/>
          <w:szCs w:val="18"/>
          <w:color w:val="00A0E0"/>
        </w:rPr>
      </w:pPr>
      <w:r>
        <w:rPr>
          <w:rFonts w:ascii="Arial" w:cs="Arial" w:eastAsia="Arial" w:hAnsi="Arial"/>
          <w:sz w:val="18"/>
          <w:szCs w:val="18"/>
          <w:color w:val="auto"/>
        </w:rPr>
        <w:t>Chairs executive sessions, which are held at substantially all regularly scheduled Board meetings.</w:t>
      </w:r>
    </w:p>
    <w:p>
      <w:pPr>
        <w:ind w:left="460" w:hanging="263"/>
        <w:spacing w:after="0" w:line="252" w:lineRule="auto"/>
        <w:tabs>
          <w:tab w:leader="none" w:pos="443" w:val="left"/>
        </w:tabs>
        <w:numPr>
          <w:ilvl w:val="0"/>
          <w:numId w:val="34"/>
        </w:numPr>
        <w:rPr>
          <w:rFonts w:ascii="Times New Roman" w:cs="Times New Roman" w:eastAsia="Times New Roman" w:hAnsi="Times New Roman"/>
          <w:sz w:val="18"/>
          <w:szCs w:val="18"/>
          <w:color w:val="00A0E0"/>
        </w:rPr>
      </w:pPr>
      <w:r>
        <w:rPr>
          <w:rFonts w:ascii="Arial" w:cs="Arial" w:eastAsia="Arial" w:hAnsi="Arial"/>
          <w:sz w:val="18"/>
          <w:szCs w:val="18"/>
          <w:color w:val="auto"/>
        </w:rPr>
        <w:t>Facilitates communication between the Chairman and the independent directors and encourages director participation by fostering an environment of open dialogue and constructive feedback.</w:t>
      </w:r>
    </w:p>
    <w:p>
      <w:pPr>
        <w:spacing w:after="0" w:line="34" w:lineRule="exact"/>
        <w:rPr>
          <w:rFonts w:ascii="Times New Roman" w:cs="Times New Roman" w:eastAsia="Times New Roman" w:hAnsi="Times New Roman"/>
          <w:sz w:val="18"/>
          <w:szCs w:val="18"/>
          <w:color w:val="00A0E0"/>
        </w:rPr>
      </w:pPr>
    </w:p>
    <w:p>
      <w:pPr>
        <w:ind w:left="460" w:right="60" w:hanging="263"/>
        <w:spacing w:after="0" w:line="252" w:lineRule="auto"/>
        <w:tabs>
          <w:tab w:leader="none" w:pos="443" w:val="left"/>
        </w:tabs>
        <w:numPr>
          <w:ilvl w:val="0"/>
          <w:numId w:val="34"/>
        </w:numPr>
        <w:rPr>
          <w:rFonts w:ascii="Times New Roman" w:cs="Times New Roman" w:eastAsia="Times New Roman" w:hAnsi="Times New Roman"/>
          <w:sz w:val="18"/>
          <w:szCs w:val="18"/>
          <w:color w:val="00A0E0"/>
        </w:rPr>
      </w:pPr>
      <w:r>
        <w:rPr>
          <w:rFonts w:ascii="Arial" w:cs="Arial" w:eastAsia="Arial" w:hAnsi="Arial"/>
          <w:sz w:val="18"/>
          <w:szCs w:val="18"/>
          <w:color w:val="auto"/>
        </w:rPr>
        <w:t>Communicates periodically as necessary between Board meetings and executive sessions with our independent directors and with management on topics of importance to our independent directors.</w:t>
      </w:r>
    </w:p>
    <w:p>
      <w:pPr>
        <w:spacing w:after="0" w:line="20" w:lineRule="exact"/>
        <w:rPr>
          <w:rFonts w:ascii="Times New Roman" w:cs="Times New Roman" w:eastAsia="Times New Roman" w:hAnsi="Times New Roman"/>
          <w:sz w:val="18"/>
          <w:szCs w:val="18"/>
          <w:color w:val="00A0E0"/>
        </w:rPr>
      </w:pPr>
    </w:p>
    <w:p>
      <w:pPr>
        <w:ind w:left="440" w:hanging="243"/>
        <w:spacing w:after="0"/>
        <w:tabs>
          <w:tab w:leader="none" w:pos="440" w:val="left"/>
        </w:tabs>
        <w:numPr>
          <w:ilvl w:val="0"/>
          <w:numId w:val="34"/>
        </w:numPr>
        <w:rPr>
          <w:rFonts w:ascii="Times New Roman" w:cs="Times New Roman" w:eastAsia="Times New Roman" w:hAnsi="Times New Roman"/>
          <w:sz w:val="18"/>
          <w:szCs w:val="18"/>
          <w:color w:val="00A0E0"/>
        </w:rPr>
      </w:pPr>
      <w:r>
        <w:rPr>
          <w:rFonts w:ascii="Arial" w:cs="Arial" w:eastAsia="Arial" w:hAnsi="Arial"/>
          <w:sz w:val="18"/>
          <w:szCs w:val="18"/>
          <w:color w:val="auto"/>
        </w:rPr>
        <w:t>Is authorized to schedule meetings of the independent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65" w:right="300" w:hanging="265"/>
        <w:spacing w:after="0" w:line="252" w:lineRule="auto"/>
        <w:tabs>
          <w:tab w:leader="none" w:pos="248" w:val="left"/>
        </w:tabs>
        <w:numPr>
          <w:ilvl w:val="0"/>
          <w:numId w:val="35"/>
        </w:numPr>
        <w:rPr>
          <w:rFonts w:ascii="Times New Roman" w:cs="Times New Roman" w:eastAsia="Times New Roman" w:hAnsi="Times New Roman"/>
          <w:sz w:val="18"/>
          <w:szCs w:val="18"/>
          <w:color w:val="00A0E0"/>
        </w:rPr>
      </w:pPr>
      <w:r>
        <w:rPr>
          <w:rFonts w:ascii="Arial" w:cs="Arial" w:eastAsia="Arial" w:hAnsi="Arial"/>
          <w:sz w:val="18"/>
          <w:szCs w:val="18"/>
          <w:color w:val="auto"/>
        </w:rPr>
        <w:t>Consults, reviews and has the opportunity to provide input on meeting agendas and meeting schedules for the Board, which may include matters relating to significant risks of our company.</w:t>
      </w:r>
    </w:p>
    <w:p>
      <w:pPr>
        <w:spacing w:after="0" w:line="20" w:lineRule="exact"/>
        <w:rPr>
          <w:rFonts w:ascii="Times New Roman" w:cs="Times New Roman" w:eastAsia="Times New Roman" w:hAnsi="Times New Roman"/>
          <w:sz w:val="18"/>
          <w:szCs w:val="18"/>
          <w:color w:val="00A0E0"/>
        </w:rPr>
      </w:pPr>
    </w:p>
    <w:p>
      <w:pPr>
        <w:ind w:left="265" w:right="460" w:hanging="265"/>
        <w:spacing w:after="0" w:line="260" w:lineRule="auto"/>
        <w:tabs>
          <w:tab w:leader="none" w:pos="248" w:val="left"/>
        </w:tabs>
        <w:numPr>
          <w:ilvl w:val="0"/>
          <w:numId w:val="35"/>
        </w:numPr>
        <w:rPr>
          <w:rFonts w:ascii="Times New Roman" w:cs="Times New Roman" w:eastAsia="Times New Roman" w:hAnsi="Times New Roman"/>
          <w:sz w:val="18"/>
          <w:szCs w:val="18"/>
          <w:color w:val="00A0E0"/>
        </w:rPr>
      </w:pPr>
      <w:r>
        <w:rPr>
          <w:rFonts w:ascii="Arial" w:cs="Arial" w:eastAsia="Arial" w:hAnsi="Arial"/>
          <w:sz w:val="18"/>
          <w:szCs w:val="18"/>
          <w:color w:val="auto"/>
        </w:rPr>
        <w:t>With the CHC Committee, organizes the annual Board evaluation of the performance of our Chief Executive Officer and senior management.</w:t>
      </w:r>
    </w:p>
    <w:p>
      <w:pPr>
        <w:spacing w:after="0" w:line="28" w:lineRule="exact"/>
        <w:rPr>
          <w:rFonts w:ascii="Times New Roman" w:cs="Times New Roman" w:eastAsia="Times New Roman" w:hAnsi="Times New Roman"/>
          <w:sz w:val="18"/>
          <w:szCs w:val="18"/>
          <w:color w:val="00A0E0"/>
        </w:rPr>
      </w:pPr>
    </w:p>
    <w:p>
      <w:pPr>
        <w:ind w:left="265" w:right="380" w:hanging="265"/>
        <w:spacing w:after="0" w:line="260" w:lineRule="auto"/>
        <w:tabs>
          <w:tab w:leader="none" w:pos="248" w:val="left"/>
        </w:tabs>
        <w:numPr>
          <w:ilvl w:val="0"/>
          <w:numId w:val="35"/>
        </w:numPr>
        <w:rPr>
          <w:rFonts w:ascii="Times New Roman" w:cs="Times New Roman" w:eastAsia="Times New Roman" w:hAnsi="Times New Roman"/>
          <w:sz w:val="18"/>
          <w:szCs w:val="18"/>
          <w:color w:val="00A0E0"/>
        </w:rPr>
      </w:pPr>
      <w:r>
        <w:rPr>
          <w:rFonts w:ascii="Arial" w:cs="Arial" w:eastAsia="Arial" w:hAnsi="Arial"/>
          <w:sz w:val="18"/>
          <w:szCs w:val="18"/>
          <w:color w:val="auto"/>
        </w:rPr>
        <w:t>With the GCR Committee, reviews and approves the process for the annual self-assessment of our Board and its committees.</w:t>
      </w:r>
    </w:p>
    <w:p>
      <w:pPr>
        <w:spacing w:after="0" w:line="14" w:lineRule="exact"/>
        <w:rPr>
          <w:rFonts w:ascii="Times New Roman" w:cs="Times New Roman" w:eastAsia="Times New Roman" w:hAnsi="Times New Roman"/>
          <w:sz w:val="18"/>
          <w:szCs w:val="18"/>
          <w:color w:val="00A0E0"/>
        </w:rPr>
      </w:pPr>
    </w:p>
    <w:p>
      <w:pPr>
        <w:ind w:left="245" w:hanging="245"/>
        <w:spacing w:after="0"/>
        <w:tabs>
          <w:tab w:leader="none" w:pos="245" w:val="left"/>
        </w:tabs>
        <w:numPr>
          <w:ilvl w:val="0"/>
          <w:numId w:val="35"/>
        </w:numPr>
        <w:rPr>
          <w:rFonts w:ascii="Times New Roman" w:cs="Times New Roman" w:eastAsia="Times New Roman" w:hAnsi="Times New Roman"/>
          <w:sz w:val="18"/>
          <w:szCs w:val="18"/>
          <w:color w:val="00A0E0"/>
        </w:rPr>
      </w:pPr>
      <w:r>
        <w:rPr>
          <w:rFonts w:ascii="Arial" w:cs="Arial" w:eastAsia="Arial" w:hAnsi="Arial"/>
          <w:sz w:val="18"/>
          <w:szCs w:val="18"/>
          <w:color w:val="auto"/>
        </w:rPr>
        <w:t>Represents independent directors in communications with</w:t>
      </w:r>
    </w:p>
    <w:p>
      <w:pPr>
        <w:spacing w:after="0" w:line="26" w:lineRule="exact"/>
        <w:rPr>
          <w:sz w:val="20"/>
          <w:szCs w:val="20"/>
          <w:color w:val="auto"/>
        </w:rPr>
      </w:pPr>
    </w:p>
    <w:p>
      <w:pPr>
        <w:sectPr>
          <w:pgSz w:w="11900" w:h="16838" w:orient="portrait"/>
          <w:cols w:equalWidth="0" w:num="2">
            <w:col w:w="5440" w:space="315"/>
            <w:col w:w="5485"/>
          </w:cols>
          <w:pgMar w:left="320" w:top="121" w:right="339" w:bottom="1440" w:gutter="0" w:footer="0" w:header="0"/>
          <w:type w:val="continuous"/>
        </w:sectPr>
      </w:pPr>
    </w:p>
    <w:p>
      <w:pPr>
        <w:ind w:left="460" w:right="240"/>
        <w:spacing w:after="0" w:line="250" w:lineRule="auto"/>
        <w:rPr>
          <w:sz w:val="20"/>
          <w:szCs w:val="20"/>
          <w:color w:val="auto"/>
        </w:rPr>
      </w:pPr>
      <w:r>
        <w:rPr>
          <w:rFonts w:ascii="Arial" w:cs="Arial" w:eastAsia="Arial" w:hAnsi="Arial"/>
          <w:sz w:val="18"/>
          <w:szCs w:val="18"/>
          <w:color w:val="auto"/>
        </w:rPr>
        <w:t>directors, including executive sessions of the independent directors.</w:t>
      </w:r>
    </w:p>
    <w:p>
      <w:pPr>
        <w:spacing w:after="0" w:line="20" w:lineRule="exact"/>
        <w:rPr>
          <w:sz w:val="20"/>
          <w:szCs w:val="20"/>
          <w:color w:val="auto"/>
        </w:rPr>
      </w:pPr>
      <w:r>
        <w:rPr>
          <w:sz w:val="20"/>
          <w:szCs w:val="20"/>
          <w:color w:val="auto"/>
        </w:rPr>
        <w:br w:type="column"/>
      </w:r>
    </w:p>
    <w:p>
      <w:pPr>
        <w:ind w:right="360"/>
        <w:spacing w:after="0" w:line="250" w:lineRule="auto"/>
        <w:rPr>
          <w:sz w:val="20"/>
          <w:szCs w:val="20"/>
          <w:color w:val="auto"/>
        </w:rPr>
      </w:pPr>
      <w:r>
        <w:rPr>
          <w:rFonts w:ascii="Arial" w:cs="Arial" w:eastAsia="Arial" w:hAnsi="Arial"/>
          <w:sz w:val="18"/>
          <w:szCs w:val="18"/>
          <w:color w:val="auto"/>
        </w:rPr>
        <w:t>external constituencies, including significant shareholders, as appropriate.</w:t>
      </w:r>
    </w:p>
    <w:p>
      <w:pPr>
        <w:spacing w:after="0" w:line="200" w:lineRule="exact"/>
        <w:rPr>
          <w:sz w:val="20"/>
          <w:szCs w:val="20"/>
          <w:color w:val="auto"/>
        </w:rPr>
      </w:pPr>
    </w:p>
    <w:p>
      <w:pPr>
        <w:sectPr>
          <w:pgSz w:w="11900" w:h="16838" w:orient="portrait"/>
          <w:cols w:equalWidth="0" w:num="2">
            <w:col w:w="5300" w:space="720"/>
            <w:col w:w="5220"/>
          </w:cols>
          <w:pgMar w:left="320" w:top="121" w:right="339" w:bottom="1440" w:gutter="0" w:footer="0" w:header="0"/>
          <w:type w:val="continuous"/>
        </w:sectPr>
      </w:pPr>
    </w:p>
    <w:p>
      <w:pPr>
        <w:spacing w:after="0" w:line="80"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role of Lead Independent Director is filled by an independent director recommended by the GCR Committee, which is chaired by and composed entirely of independent directors, and appointed by the Board annually. In recommending Mr. Breen to serve as our Lead Independent Director, our GCR Committee considered, among other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60" w:type="dxa"/>
            <w:vAlign w:val="bottom"/>
          </w:tcPr>
          <w:p>
            <w:pPr>
              <w:ind w:left="948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18</w:t>
            </w:r>
          </w:p>
        </w:tc>
      </w:tr>
      <w:tr>
        <w:trPr>
          <w:trHeight w:val="362"/>
        </w:trPr>
        <w:tc>
          <w:tcPr>
            <w:tcW w:w="10960" w:type="dxa"/>
            <w:vAlign w:val="bottom"/>
            <w:tcBorders>
              <w:bottom w:val="single" w:sz="8" w:color="A1A1A1"/>
            </w:tcBorders>
          </w:tcPr>
          <w:p>
            <w:pPr>
              <w:spacing w:after="0"/>
              <w:rPr>
                <w:sz w:val="24"/>
                <w:szCs w:val="24"/>
                <w:color w:val="auto"/>
              </w:rPr>
            </w:pPr>
          </w:p>
        </w:tc>
        <w:tc>
          <w:tcPr>
            <w:tcW w:w="28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qualifications, his extensive experience as a board chairman and chief executive officer seasoned in board-level risk oversight.</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Board believes that board independence and oversight of management are effectively maintained, and management plans are critically reviewed, with our current board leadership and oversight structure and practices. The composition of our Board evolves gradually over time, which provides stability and experience, but the processes by which the Board works are dynamic and are designed to address the most critical risks and circumstances prevailing at any point in time. In addition to the Lead Independent Director position, we have strong and effective governance practices that support independent Board oversight, including:</w:t>
      </w:r>
    </w:p>
    <w:p>
      <w:pPr>
        <w:spacing w:after="0" w:line="176" w:lineRule="exact"/>
        <w:rPr>
          <w:sz w:val="20"/>
          <w:szCs w:val="20"/>
          <w:color w:val="auto"/>
        </w:rPr>
      </w:pPr>
    </w:p>
    <w:p>
      <w:pPr>
        <w:ind w:left="260" w:right="460" w:hanging="252"/>
        <w:spacing w:after="0" w:line="271" w:lineRule="auto"/>
        <w:tabs>
          <w:tab w:leader="none" w:pos="260" w:val="left"/>
        </w:tabs>
        <w:numPr>
          <w:ilvl w:val="0"/>
          <w:numId w:val="36"/>
        </w:numPr>
        <w:rPr>
          <w:rFonts w:ascii="Arial" w:cs="Arial" w:eastAsia="Arial" w:hAnsi="Arial"/>
          <w:sz w:val="18"/>
          <w:szCs w:val="18"/>
          <w:color w:val="00A0E0"/>
        </w:rPr>
      </w:pPr>
      <w:r>
        <w:rPr>
          <w:rFonts w:ascii="Arial" w:cs="Arial" w:eastAsia="Arial" w:hAnsi="Arial"/>
          <w:sz w:val="18"/>
          <w:szCs w:val="18"/>
          <w:color w:val="auto"/>
        </w:rPr>
        <w:t>Board independence and oversight of management effectively maintained through the Board’s composition, where all but one of our director nominees are independent.</w:t>
      </w:r>
    </w:p>
    <w:p>
      <w:pPr>
        <w:spacing w:after="0" w:line="5" w:lineRule="exact"/>
        <w:rPr>
          <w:rFonts w:ascii="Arial" w:cs="Arial" w:eastAsia="Arial" w:hAnsi="Arial"/>
          <w:sz w:val="18"/>
          <w:szCs w:val="18"/>
          <w:color w:val="00A0E0"/>
        </w:rPr>
      </w:pPr>
    </w:p>
    <w:p>
      <w:pPr>
        <w:ind w:left="260" w:right="120" w:hanging="252"/>
        <w:spacing w:after="0" w:line="271" w:lineRule="auto"/>
        <w:tabs>
          <w:tab w:leader="none" w:pos="260" w:val="left"/>
        </w:tabs>
        <w:numPr>
          <w:ilvl w:val="0"/>
          <w:numId w:val="36"/>
        </w:numPr>
        <w:rPr>
          <w:rFonts w:ascii="Arial" w:cs="Arial" w:eastAsia="Arial" w:hAnsi="Arial"/>
          <w:sz w:val="18"/>
          <w:szCs w:val="18"/>
          <w:color w:val="00A0E0"/>
        </w:rPr>
      </w:pPr>
      <w:r>
        <w:rPr>
          <w:rFonts w:ascii="Arial" w:cs="Arial" w:eastAsia="Arial" w:hAnsi="Arial"/>
          <w:sz w:val="18"/>
          <w:szCs w:val="18"/>
          <w:color w:val="auto"/>
        </w:rPr>
        <w:t>All Board-level committees (Audit, CHC and GCR) are chaired by and composed entirely of independent directors, and appointed by the Board annually.</w:t>
      </w:r>
    </w:p>
    <w:p>
      <w:pPr>
        <w:spacing w:after="0" w:line="5" w:lineRule="exact"/>
        <w:rPr>
          <w:rFonts w:ascii="Arial" w:cs="Arial" w:eastAsia="Arial" w:hAnsi="Arial"/>
          <w:sz w:val="18"/>
          <w:szCs w:val="18"/>
          <w:color w:val="00A0E0"/>
        </w:rPr>
      </w:pPr>
    </w:p>
    <w:p>
      <w:pPr>
        <w:ind w:left="260" w:hanging="252"/>
        <w:spacing w:after="0"/>
        <w:tabs>
          <w:tab w:leader="none" w:pos="260" w:val="left"/>
        </w:tabs>
        <w:numPr>
          <w:ilvl w:val="0"/>
          <w:numId w:val="36"/>
        </w:numPr>
        <w:rPr>
          <w:rFonts w:ascii="Arial" w:cs="Arial" w:eastAsia="Arial" w:hAnsi="Arial"/>
          <w:sz w:val="18"/>
          <w:szCs w:val="18"/>
          <w:color w:val="00A0E0"/>
        </w:rPr>
      </w:pPr>
      <w:r>
        <w:rPr>
          <w:rFonts w:ascii="Arial" w:cs="Arial" w:eastAsia="Arial" w:hAnsi="Arial"/>
          <w:sz w:val="18"/>
          <w:szCs w:val="18"/>
          <w:color w:val="auto"/>
        </w:rPr>
        <w:t>All directors have access to management, external experts and independent auditors.</w:t>
      </w:r>
    </w:p>
    <w:p>
      <w:pPr>
        <w:spacing w:after="0" w:line="63" w:lineRule="exact"/>
        <w:rPr>
          <w:rFonts w:ascii="Arial" w:cs="Arial" w:eastAsia="Arial" w:hAnsi="Arial"/>
          <w:sz w:val="18"/>
          <w:szCs w:val="18"/>
          <w:color w:val="00A0E0"/>
        </w:rPr>
      </w:pPr>
    </w:p>
    <w:p>
      <w:pPr>
        <w:ind w:left="260" w:right="100" w:hanging="252"/>
        <w:spacing w:after="0" w:line="253" w:lineRule="auto"/>
        <w:tabs>
          <w:tab w:leader="none" w:pos="260" w:val="left"/>
        </w:tabs>
        <w:numPr>
          <w:ilvl w:val="0"/>
          <w:numId w:val="36"/>
        </w:numPr>
        <w:rPr>
          <w:rFonts w:ascii="Arial" w:cs="Arial" w:eastAsia="Arial" w:hAnsi="Arial"/>
          <w:sz w:val="18"/>
          <w:szCs w:val="18"/>
          <w:color w:val="00A0E0"/>
        </w:rPr>
      </w:pPr>
      <w:r>
        <w:rPr>
          <w:rFonts w:ascii="Arial" w:cs="Arial" w:eastAsia="Arial" w:hAnsi="Arial"/>
          <w:sz w:val="18"/>
          <w:szCs w:val="18"/>
          <w:color w:val="auto"/>
        </w:rPr>
        <w:t>Independent directors regularly meet in executive sessions without management present, chaired at our Board by our Lead Independent Director and at committees by committee chairs, to review, among other things, our strategy and risks, operating and financial performance, management effectiveness and succession planning.</w:t>
      </w:r>
    </w:p>
    <w:p>
      <w:pPr>
        <w:spacing w:after="0" w:line="20" w:lineRule="exact"/>
        <w:rPr>
          <w:rFonts w:ascii="Arial" w:cs="Arial" w:eastAsia="Arial" w:hAnsi="Arial"/>
          <w:sz w:val="18"/>
          <w:szCs w:val="18"/>
          <w:color w:val="00A0E0"/>
        </w:rPr>
      </w:pPr>
    </w:p>
    <w:p>
      <w:pPr>
        <w:ind w:left="260" w:hanging="252"/>
        <w:spacing w:after="0" w:line="253" w:lineRule="auto"/>
        <w:tabs>
          <w:tab w:leader="none" w:pos="260" w:val="left"/>
        </w:tabs>
        <w:numPr>
          <w:ilvl w:val="0"/>
          <w:numId w:val="36"/>
        </w:numPr>
        <w:rPr>
          <w:rFonts w:ascii="Arial" w:cs="Arial" w:eastAsia="Arial" w:hAnsi="Arial"/>
          <w:sz w:val="18"/>
          <w:szCs w:val="18"/>
          <w:color w:val="00A0E0"/>
        </w:rPr>
      </w:pPr>
      <w:r>
        <w:rPr>
          <w:rFonts w:ascii="Arial" w:cs="Arial" w:eastAsia="Arial" w:hAnsi="Arial"/>
          <w:sz w:val="18"/>
          <w:szCs w:val="18"/>
          <w:color w:val="auto"/>
        </w:rPr>
        <w:t>Annual Board assessment process includes independent director input (which includes the Lead Independent Director) for Board and committee meeting agendas on key business and risk topics, director educational topics and the design, composition and effectiveness of our Board, its leadership structure and Board committees.</w:t>
      </w:r>
    </w:p>
    <w:p>
      <w:pPr>
        <w:spacing w:after="0" w:line="20" w:lineRule="exact"/>
        <w:rPr>
          <w:rFonts w:ascii="Arial" w:cs="Arial" w:eastAsia="Arial" w:hAnsi="Arial"/>
          <w:sz w:val="18"/>
          <w:szCs w:val="18"/>
          <w:color w:val="00A0E0"/>
        </w:rPr>
      </w:pPr>
    </w:p>
    <w:p>
      <w:pPr>
        <w:ind w:left="260" w:hanging="252"/>
        <w:spacing w:after="0"/>
        <w:tabs>
          <w:tab w:leader="none" w:pos="260" w:val="left"/>
        </w:tabs>
        <w:numPr>
          <w:ilvl w:val="0"/>
          <w:numId w:val="36"/>
        </w:numPr>
        <w:rPr>
          <w:rFonts w:ascii="Arial" w:cs="Arial" w:eastAsia="Arial" w:hAnsi="Arial"/>
          <w:sz w:val="18"/>
          <w:szCs w:val="18"/>
          <w:color w:val="00A0E0"/>
        </w:rPr>
      </w:pPr>
      <w:r>
        <w:rPr>
          <w:rFonts w:ascii="Arial" w:cs="Arial" w:eastAsia="Arial" w:hAnsi="Arial"/>
          <w:sz w:val="18"/>
          <w:szCs w:val="18"/>
          <w:color w:val="auto"/>
        </w:rPr>
        <w:t>All directors may suggest inclusion of additional subjects on Board or committee agendas.</w:t>
      </w:r>
    </w:p>
    <w:p>
      <w:pPr>
        <w:spacing w:after="0" w:line="63" w:lineRule="exact"/>
        <w:rPr>
          <w:rFonts w:ascii="Arial" w:cs="Arial" w:eastAsia="Arial" w:hAnsi="Arial"/>
          <w:sz w:val="18"/>
          <w:szCs w:val="18"/>
          <w:color w:val="00A0E0"/>
        </w:rPr>
      </w:pPr>
    </w:p>
    <w:p>
      <w:pPr>
        <w:ind w:left="260" w:right="40" w:hanging="252"/>
        <w:spacing w:after="0" w:line="271" w:lineRule="auto"/>
        <w:tabs>
          <w:tab w:leader="none" w:pos="260" w:val="left"/>
        </w:tabs>
        <w:numPr>
          <w:ilvl w:val="0"/>
          <w:numId w:val="36"/>
        </w:numPr>
        <w:rPr>
          <w:rFonts w:ascii="Arial" w:cs="Arial" w:eastAsia="Arial" w:hAnsi="Arial"/>
          <w:sz w:val="18"/>
          <w:szCs w:val="18"/>
          <w:color w:val="00A0E0"/>
        </w:rPr>
      </w:pPr>
      <w:r>
        <w:rPr>
          <w:rFonts w:ascii="Arial" w:cs="Arial" w:eastAsia="Arial" w:hAnsi="Arial"/>
          <w:sz w:val="18"/>
          <w:szCs w:val="18"/>
          <w:color w:val="auto"/>
        </w:rPr>
        <w:t>Independent director participation in and oversight of key governance processes, such as Chief Executive Officer performance, executive compensation and succession planning.</w:t>
      </w:r>
    </w:p>
    <w:p>
      <w:pPr>
        <w:spacing w:after="0" w:line="5" w:lineRule="exact"/>
        <w:rPr>
          <w:rFonts w:ascii="Arial" w:cs="Arial" w:eastAsia="Arial" w:hAnsi="Arial"/>
          <w:sz w:val="18"/>
          <w:szCs w:val="18"/>
          <w:color w:val="00A0E0"/>
        </w:rPr>
      </w:pPr>
    </w:p>
    <w:p>
      <w:pPr>
        <w:ind w:left="260" w:right="60" w:hanging="252"/>
        <w:spacing w:after="0" w:line="271" w:lineRule="auto"/>
        <w:tabs>
          <w:tab w:leader="none" w:pos="260" w:val="left"/>
        </w:tabs>
        <w:numPr>
          <w:ilvl w:val="0"/>
          <w:numId w:val="36"/>
        </w:numPr>
        <w:rPr>
          <w:rFonts w:ascii="Arial" w:cs="Arial" w:eastAsia="Arial" w:hAnsi="Arial"/>
          <w:sz w:val="18"/>
          <w:szCs w:val="18"/>
          <w:color w:val="00A0E0"/>
        </w:rPr>
      </w:pPr>
      <w:r>
        <w:rPr>
          <w:rFonts w:ascii="Arial" w:cs="Arial" w:eastAsia="Arial" w:hAnsi="Arial"/>
          <w:sz w:val="18"/>
          <w:szCs w:val="18"/>
          <w:color w:val="auto"/>
        </w:rPr>
        <w:t>Our Chairman and Chief Executive Officer and our Lead Independent Director meet and speak with each other regularly about our Board and our company.</w:t>
      </w:r>
    </w:p>
    <w:p>
      <w:pPr>
        <w:spacing w:after="0" w:line="15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In addition, having one individual perform the roles of Chairman and Chief Executive Officer is not restricted or prohibited by current laws or regulations. Board action is the product of consensus following informed and thorough discussion, relying on external expertise when appropriate to supplement management resources or provide the independent directors with additional support. No director has the right to override the vote of any other director, but in practical terms Board action is based on consensus not contested votes.</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Ultimately, we believe that our current leadership structure, together with our strong governance practices, creates a productive relationship between our Board and management, including strong and effective leadership of our company, as well as strong independent oversight that benefits our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color w:val="auto"/>
        </w:rPr>
        <w:t>Board Meetings and Attendance</w:t>
      </w:r>
    </w:p>
    <w:p>
      <w:pPr>
        <w:spacing w:after="0" w:line="229"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Our Board and various committees of the Board meet throughout the year. During 2023, there were seven meetings of our Board and a total of 22 committee meetings. Each director attended more than 75% of the aggregate number of Board meetings and the number of meetings held by all of the committees on which he or she served.</w:t>
      </w:r>
    </w:p>
    <w:p>
      <w:pPr>
        <w:spacing w:after="0" w:line="16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We require our directors to participate in the annual meeting of shareholders, barring unusual circumstances. Each director then in office participated in the 2023 annual meeting of shareholders.</w:t>
      </w:r>
    </w:p>
    <w:p>
      <w:pPr>
        <w:spacing w:after="0" w:line="15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Our independent directors have the opportunity to meet separately in executive session following each regularly scheduled Board and committee meeting and, under our corporate governance guidelines, are required to meet in executive session at least two times each year. In 2023, executive sessions were held at each regularly scheduled Board meeting, and most regularly scheduled committee meetings.</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color w:val="auto"/>
        </w:rPr>
        <w:t>Committees of Our Board</w:t>
      </w:r>
    </w:p>
    <w:p>
      <w:pPr>
        <w:spacing w:after="0" w:line="22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Our Board has three standing committees: Audit, CHC and GCR. All of these committees are composed entirely of independent directors under applicable Nasdaq and SEC requirements.</w:t>
      </w:r>
    </w:p>
    <w:p>
      <w:pPr>
        <w:spacing w:after="0" w:line="154"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The Board makes committee and committee chair assignments annually at its meeting immediately preceding the annual meeting of shareholders, although further changes may be made from time to time as deemed appropriate by the Board.</w:t>
      </w:r>
    </w:p>
    <w:p>
      <w:pPr>
        <w:spacing w:after="0" w:line="154"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Each committee has a Board-approved charter, which is reviewed annually by the respective committee, with the GCR Committee annually reviewing all charters and our corporate governance guidelines. Each committee has the authority</w:t>
      </w:r>
    </w:p>
    <w:p>
      <w:pPr>
        <w:spacing w:after="0" w:line="158"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 xml:space="preserve">to retain independent advisors to assist it in carrying out its responsibilities. Committee charters are posted under “Corporate Governance” in the Investors section of our website at </w:t>
      </w:r>
      <w:r>
        <w:rPr>
          <w:rFonts w:ascii="Arial" w:cs="Arial" w:eastAsia="Arial" w:hAnsi="Arial"/>
          <w:sz w:val="18"/>
          <w:szCs w:val="18"/>
          <w:i w:val="1"/>
          <w:iCs w:val="1"/>
          <w:color w:val="auto"/>
        </w:rPr>
        <w:t>www.cmcsa.com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1165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1658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1" w:lineRule="exact"/>
        <w:rPr>
          <w:sz w:val="20"/>
          <w:szCs w:val="20"/>
          <w:color w:val="auto"/>
        </w:rPr>
      </w:pPr>
    </w:p>
    <w:p>
      <w:pPr>
        <w:ind w:left="1640"/>
        <w:spacing w:after="0"/>
        <w:rPr>
          <w:sz w:val="20"/>
          <w:szCs w:val="20"/>
          <w:color w:val="auto"/>
        </w:rPr>
      </w:pPr>
      <w:r>
        <w:rPr>
          <w:rFonts w:ascii="Arial" w:cs="Arial" w:eastAsia="Arial" w:hAnsi="Arial"/>
          <w:sz w:val="20"/>
          <w:szCs w:val="20"/>
          <w:b w:val="1"/>
          <w:bCs w:val="1"/>
          <w:color w:val="auto"/>
        </w:rPr>
        <w:t>Jeffrey A. Honickman (Chair)</w:t>
      </w:r>
    </w:p>
    <w:p>
      <w:pPr>
        <w:spacing w:after="0" w:line="9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00A0E0"/>
        </w:rPr>
        <w:t>Members</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Thomas J. Baltimore, Jr.</w:t>
      </w:r>
    </w:p>
    <w:p>
      <w:pPr>
        <w:spacing w:after="0" w:line="7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Louise F. Brady</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Maritza G. Montiel*</w:t>
      </w:r>
    </w:p>
    <w:p>
      <w:pPr>
        <w:spacing w:after="0" w:line="6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Asuka Nakahara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Key Responsibilities</w:t>
      </w:r>
    </w:p>
    <w:p>
      <w:pPr>
        <w:spacing w:after="0" w:line="212"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7"/>
          <w:szCs w:val="17"/>
          <w:color w:val="00A0E0"/>
        </w:rPr>
      </w:pPr>
      <w:r>
        <w:rPr>
          <w:rFonts w:ascii="Arial" w:cs="Arial" w:eastAsia="Arial" w:hAnsi="Arial"/>
          <w:sz w:val="18"/>
          <w:szCs w:val="18"/>
          <w:color w:val="auto"/>
        </w:rPr>
        <w:t>Reviews the quality and integrity of our financial statements.</w:t>
      </w:r>
    </w:p>
    <w:p>
      <w:pPr>
        <w:spacing w:after="0" w:line="63" w:lineRule="exact"/>
        <w:rPr>
          <w:rFonts w:ascii="Arial" w:cs="Arial" w:eastAsia="Arial" w:hAnsi="Arial"/>
          <w:sz w:val="17"/>
          <w:szCs w:val="17"/>
          <w:color w:val="00A0E0"/>
        </w:rPr>
      </w:pPr>
    </w:p>
    <w:p>
      <w:pPr>
        <w:ind w:left="260" w:hanging="252"/>
        <w:spacing w:after="0" w:line="247" w:lineRule="auto"/>
        <w:tabs>
          <w:tab w:leader="none" w:pos="260" w:val="left"/>
        </w:tabs>
        <w:numPr>
          <w:ilvl w:val="0"/>
          <w:numId w:val="38"/>
        </w:numPr>
        <w:rPr>
          <w:rFonts w:ascii="Arial" w:cs="Arial" w:eastAsia="Arial" w:hAnsi="Arial"/>
          <w:sz w:val="17"/>
          <w:szCs w:val="17"/>
          <w:color w:val="00A0E0"/>
        </w:rPr>
      </w:pPr>
      <w:r>
        <w:rPr>
          <w:rFonts w:ascii="Arial" w:cs="Arial" w:eastAsia="Arial" w:hAnsi="Arial"/>
          <w:sz w:val="18"/>
          <w:szCs w:val="18"/>
          <w:color w:val="auto"/>
        </w:rPr>
        <w:t>Reviews the financial statements and “Management’s Discussion and Analysis of Financial Condition and Results of Operations” in our Forms 10-Q and 10-K and our quarterly earnings press releases.</w:t>
      </w:r>
    </w:p>
    <w:p>
      <w:pPr>
        <w:spacing w:after="0" w:line="25" w:lineRule="exact"/>
        <w:rPr>
          <w:rFonts w:ascii="Arial" w:cs="Arial" w:eastAsia="Arial" w:hAnsi="Arial"/>
          <w:sz w:val="17"/>
          <w:szCs w:val="17"/>
          <w:color w:val="00A0E0"/>
        </w:rPr>
      </w:pPr>
    </w:p>
    <w:p>
      <w:pPr>
        <w:ind w:left="260" w:right="460" w:hanging="252"/>
        <w:spacing w:after="0" w:line="271" w:lineRule="auto"/>
        <w:tabs>
          <w:tab w:leader="none" w:pos="260" w:val="left"/>
        </w:tabs>
        <w:numPr>
          <w:ilvl w:val="0"/>
          <w:numId w:val="38"/>
        </w:numPr>
        <w:rPr>
          <w:rFonts w:ascii="Arial" w:cs="Arial" w:eastAsia="Arial" w:hAnsi="Arial"/>
          <w:sz w:val="17"/>
          <w:szCs w:val="17"/>
          <w:color w:val="00A0E0"/>
        </w:rPr>
      </w:pPr>
      <w:r>
        <w:rPr>
          <w:rFonts w:ascii="Arial" w:cs="Arial" w:eastAsia="Arial" w:hAnsi="Arial"/>
          <w:sz w:val="18"/>
          <w:szCs w:val="18"/>
          <w:color w:val="auto"/>
        </w:rPr>
        <w:t>Monitors our internal control over financial reporting and disclosure controls and procedures.</w:t>
      </w:r>
    </w:p>
    <w:p>
      <w:pPr>
        <w:spacing w:after="0" w:line="5" w:lineRule="exact"/>
        <w:rPr>
          <w:rFonts w:ascii="Arial" w:cs="Arial" w:eastAsia="Arial" w:hAnsi="Arial"/>
          <w:sz w:val="17"/>
          <w:szCs w:val="17"/>
          <w:color w:val="00A0E0"/>
        </w:rPr>
      </w:pPr>
    </w:p>
    <w:p>
      <w:pPr>
        <w:ind w:left="260" w:right="140" w:hanging="252"/>
        <w:spacing w:after="0" w:line="271" w:lineRule="auto"/>
        <w:tabs>
          <w:tab w:leader="none" w:pos="260" w:val="left"/>
        </w:tabs>
        <w:numPr>
          <w:ilvl w:val="0"/>
          <w:numId w:val="38"/>
        </w:numPr>
        <w:rPr>
          <w:rFonts w:ascii="Arial" w:cs="Arial" w:eastAsia="Arial" w:hAnsi="Arial"/>
          <w:sz w:val="17"/>
          <w:szCs w:val="17"/>
          <w:color w:val="00A0E0"/>
        </w:rPr>
      </w:pPr>
      <w:r>
        <w:rPr>
          <w:rFonts w:ascii="Arial" w:cs="Arial" w:eastAsia="Arial" w:hAnsi="Arial"/>
          <w:sz w:val="18"/>
          <w:szCs w:val="18"/>
          <w:color w:val="auto"/>
        </w:rPr>
        <w:t>Reviews the performance and responsibilities of our internal audit function and activities.</w:t>
      </w:r>
    </w:p>
    <w:p>
      <w:pPr>
        <w:spacing w:after="0" w:line="5" w:lineRule="exact"/>
        <w:rPr>
          <w:rFonts w:ascii="Arial" w:cs="Arial" w:eastAsia="Arial" w:hAnsi="Arial"/>
          <w:sz w:val="17"/>
          <w:szCs w:val="17"/>
          <w:color w:val="00A0E0"/>
        </w:rPr>
      </w:pPr>
    </w:p>
    <w:p>
      <w:pPr>
        <w:ind w:left="260" w:right="280" w:hanging="252"/>
        <w:spacing w:after="0" w:line="271" w:lineRule="auto"/>
        <w:tabs>
          <w:tab w:leader="none" w:pos="260" w:val="left"/>
        </w:tabs>
        <w:numPr>
          <w:ilvl w:val="0"/>
          <w:numId w:val="38"/>
        </w:numPr>
        <w:rPr>
          <w:rFonts w:ascii="Arial" w:cs="Arial" w:eastAsia="Arial" w:hAnsi="Arial"/>
          <w:sz w:val="17"/>
          <w:szCs w:val="17"/>
          <w:color w:val="00A0E0"/>
        </w:rPr>
      </w:pPr>
      <w:r>
        <w:rPr>
          <w:rFonts w:ascii="Arial" w:cs="Arial" w:eastAsia="Arial" w:hAnsi="Arial"/>
          <w:sz w:val="18"/>
          <w:szCs w:val="18"/>
          <w:color w:val="auto"/>
        </w:rPr>
        <w:t>Appoints and evaluates the qualification, performance and independence of our independent auditors.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 xml:space="preserve">Meetings in 2023: </w:t>
      </w:r>
      <w:r>
        <w:rPr>
          <w:rFonts w:ascii="Arial" w:cs="Arial" w:eastAsia="Arial" w:hAnsi="Arial"/>
          <w:sz w:val="18"/>
          <w:szCs w:val="18"/>
          <w:b w:val="1"/>
          <w:bCs w:val="1"/>
          <w:color w:val="000000"/>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80" w:right="840" w:hanging="251"/>
        <w:spacing w:after="0" w:line="288" w:lineRule="auto"/>
        <w:tabs>
          <w:tab w:leader="none" w:pos="580" w:val="left"/>
        </w:tabs>
        <w:numPr>
          <w:ilvl w:val="0"/>
          <w:numId w:val="39"/>
        </w:numPr>
        <w:rPr>
          <w:rFonts w:ascii="Arial" w:cs="Arial" w:eastAsia="Arial" w:hAnsi="Arial"/>
          <w:sz w:val="16"/>
          <w:szCs w:val="16"/>
          <w:color w:val="00A0E0"/>
        </w:rPr>
      </w:pPr>
      <w:r>
        <w:rPr>
          <w:rFonts w:ascii="Arial" w:cs="Arial" w:eastAsia="Arial" w:hAnsi="Arial"/>
          <w:sz w:val="17"/>
          <w:szCs w:val="17"/>
          <w:color w:val="auto"/>
        </w:rPr>
        <w:t>Reviews financial risk assessment and management, cybersecurity and significant business continuity risks.</w:t>
      </w:r>
    </w:p>
    <w:p>
      <w:pPr>
        <w:spacing w:after="0" w:line="3" w:lineRule="exact"/>
        <w:rPr>
          <w:rFonts w:ascii="Arial" w:cs="Arial" w:eastAsia="Arial" w:hAnsi="Arial"/>
          <w:sz w:val="16"/>
          <w:szCs w:val="16"/>
          <w:color w:val="00A0E0"/>
        </w:rPr>
      </w:pPr>
    </w:p>
    <w:p>
      <w:pPr>
        <w:ind w:left="580" w:hanging="251"/>
        <w:spacing w:after="0"/>
        <w:tabs>
          <w:tab w:leader="none" w:pos="580" w:val="left"/>
        </w:tabs>
        <w:numPr>
          <w:ilvl w:val="0"/>
          <w:numId w:val="39"/>
        </w:numPr>
        <w:rPr>
          <w:rFonts w:ascii="Arial" w:cs="Arial" w:eastAsia="Arial" w:hAnsi="Arial"/>
          <w:sz w:val="17"/>
          <w:szCs w:val="17"/>
          <w:color w:val="00A0E0"/>
        </w:rPr>
      </w:pPr>
      <w:r>
        <w:rPr>
          <w:rFonts w:ascii="Arial" w:cs="Arial" w:eastAsia="Arial" w:hAnsi="Arial"/>
          <w:sz w:val="18"/>
          <w:szCs w:val="18"/>
          <w:color w:val="auto"/>
        </w:rPr>
        <w:t>Reviews process with respect to our ERM assessment.</w:t>
      </w:r>
    </w:p>
    <w:p>
      <w:pPr>
        <w:spacing w:after="0" w:line="63" w:lineRule="exact"/>
        <w:rPr>
          <w:rFonts w:ascii="Arial" w:cs="Arial" w:eastAsia="Arial" w:hAnsi="Arial"/>
          <w:sz w:val="17"/>
          <w:szCs w:val="17"/>
          <w:color w:val="00A0E0"/>
        </w:rPr>
      </w:pPr>
    </w:p>
    <w:p>
      <w:pPr>
        <w:ind w:left="580" w:right="20" w:hanging="251"/>
        <w:spacing w:after="0" w:line="271" w:lineRule="auto"/>
        <w:tabs>
          <w:tab w:leader="none" w:pos="580" w:val="left"/>
        </w:tabs>
        <w:numPr>
          <w:ilvl w:val="0"/>
          <w:numId w:val="39"/>
        </w:numPr>
        <w:rPr>
          <w:rFonts w:ascii="Arial" w:cs="Arial" w:eastAsia="Arial" w:hAnsi="Arial"/>
          <w:sz w:val="17"/>
          <w:szCs w:val="17"/>
          <w:color w:val="00A0E0"/>
        </w:rPr>
      </w:pPr>
      <w:r>
        <w:rPr>
          <w:rFonts w:ascii="Arial" w:cs="Arial" w:eastAsia="Arial" w:hAnsi="Arial"/>
          <w:sz w:val="18"/>
          <w:szCs w:val="18"/>
          <w:color w:val="auto"/>
        </w:rPr>
        <w:t>Reviews risks facing our company as disclosed in “Risk Factors” in our Form 10-K.</w:t>
      </w:r>
    </w:p>
    <w:p>
      <w:pPr>
        <w:spacing w:after="0" w:line="5" w:lineRule="exact"/>
        <w:rPr>
          <w:rFonts w:ascii="Arial" w:cs="Arial" w:eastAsia="Arial" w:hAnsi="Arial"/>
          <w:sz w:val="17"/>
          <w:szCs w:val="17"/>
          <w:color w:val="00A0E0"/>
        </w:rPr>
      </w:pPr>
    </w:p>
    <w:p>
      <w:pPr>
        <w:ind w:left="580" w:right="260" w:hanging="251"/>
        <w:spacing w:after="0" w:line="271" w:lineRule="auto"/>
        <w:tabs>
          <w:tab w:leader="none" w:pos="580" w:val="left"/>
        </w:tabs>
        <w:numPr>
          <w:ilvl w:val="0"/>
          <w:numId w:val="39"/>
        </w:numPr>
        <w:rPr>
          <w:rFonts w:ascii="Arial" w:cs="Arial" w:eastAsia="Arial" w:hAnsi="Arial"/>
          <w:sz w:val="17"/>
          <w:szCs w:val="17"/>
          <w:color w:val="00A0E0"/>
        </w:rPr>
      </w:pPr>
      <w:r>
        <w:rPr>
          <w:rFonts w:ascii="Arial" w:cs="Arial" w:eastAsia="Arial" w:hAnsi="Arial"/>
          <w:sz w:val="18"/>
          <w:szCs w:val="18"/>
          <w:color w:val="auto"/>
        </w:rPr>
        <w:t>Reports its discussions to the full Board for consideration and action when appropriate.</w:t>
      </w:r>
    </w:p>
    <w:p>
      <w:pPr>
        <w:spacing w:after="0" w:line="1031" w:lineRule="exact"/>
        <w:rPr>
          <w:sz w:val="20"/>
          <w:szCs w:val="20"/>
          <w:color w:val="auto"/>
        </w:rPr>
      </w:pPr>
    </w:p>
    <w:p>
      <w:pPr>
        <w:sectPr>
          <w:pgSz w:w="11900" w:h="16838" w:orient="portrait"/>
          <w:cols w:equalWidth="0" w:num="2">
            <w:col w:w="5180" w:space="340"/>
            <w:col w:w="5720"/>
          </w:cols>
          <w:pgMar w:left="320" w:top="121" w:right="339" w:bottom="1440" w:gutter="0" w:footer="0" w:header="0"/>
          <w:type w:val="continuous"/>
        </w:sectPr>
      </w:pPr>
    </w:p>
    <w:p>
      <w:pPr>
        <w:spacing w:after="0"/>
        <w:rPr>
          <w:sz w:val="20"/>
          <w:szCs w:val="20"/>
          <w:color w:val="auto"/>
        </w:rPr>
      </w:pPr>
      <w:r>
        <w:rPr>
          <w:rFonts w:ascii="Arial" w:cs="Arial" w:eastAsia="Arial" w:hAnsi="Arial"/>
          <w:sz w:val="17"/>
          <w:szCs w:val="17"/>
          <w:color w:val="auto"/>
        </w:rPr>
        <w:t>Each member of our Audit Committee is financially literate for audit committee purposes, and our Board has concluded that Jeffrey A.</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Honickman and Maritza G. Montiel* qualify as audit committee financial experts.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 Report is included on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91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90"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Compensation and Human Capital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9429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pacing w:after="0" w:line="191" w:lineRule="exact"/>
        <w:rPr>
          <w:sz w:val="20"/>
          <w:szCs w:val="20"/>
          <w:color w:val="auto"/>
        </w:rPr>
      </w:pPr>
    </w:p>
    <w:p>
      <w:pPr>
        <w:ind w:left="1640"/>
        <w:spacing w:after="0"/>
        <w:rPr>
          <w:sz w:val="20"/>
          <w:szCs w:val="20"/>
          <w:color w:val="auto"/>
        </w:rPr>
      </w:pPr>
      <w:r>
        <w:rPr>
          <w:rFonts w:ascii="Arial" w:cs="Arial" w:eastAsia="Arial" w:hAnsi="Arial"/>
          <w:sz w:val="20"/>
          <w:szCs w:val="20"/>
          <w:b w:val="1"/>
          <w:bCs w:val="1"/>
          <w:color w:val="auto"/>
        </w:rPr>
        <w:t>Edward D. Breen (Chair)</w:t>
      </w:r>
    </w:p>
    <w:p>
      <w:pPr>
        <w:spacing w:after="0" w:line="153" w:lineRule="exact"/>
        <w:rPr>
          <w:sz w:val="20"/>
          <w:szCs w:val="20"/>
          <w:color w:val="auto"/>
        </w:rPr>
      </w:pPr>
    </w:p>
    <w:p>
      <w:pPr>
        <w:ind w:left="1640"/>
        <w:spacing w:after="0"/>
        <w:tabs>
          <w:tab w:leader="none" w:pos="5500" w:val="left"/>
        </w:tabs>
        <w:rPr>
          <w:sz w:val="20"/>
          <w:szCs w:val="20"/>
          <w:color w:val="auto"/>
        </w:rPr>
      </w:pPr>
      <w:r>
        <w:rPr>
          <w:rFonts w:ascii="Arial" w:cs="Arial" w:eastAsia="Arial" w:hAnsi="Arial"/>
          <w:sz w:val="18"/>
          <w:szCs w:val="18"/>
          <w:b w:val="1"/>
          <w:bCs w:val="1"/>
          <w:color w:val="00A0E0"/>
        </w:rPr>
        <w:t>Members</w:t>
      </w:r>
      <w:r>
        <w:rPr>
          <w:sz w:val="20"/>
          <w:szCs w:val="20"/>
          <w:color w:val="auto"/>
        </w:rPr>
        <w:tab/>
      </w:r>
      <w:r>
        <w:rPr>
          <w:rFonts w:ascii="Arial" w:cs="Arial" w:eastAsia="Arial" w:hAnsi="Arial"/>
          <w:sz w:val="18"/>
          <w:szCs w:val="18"/>
          <w:b w:val="1"/>
          <w:bCs w:val="1"/>
          <w:color w:val="00A0E0"/>
        </w:rPr>
        <w:t xml:space="preserve">Meetings in 2023: </w:t>
      </w:r>
      <w:r>
        <w:rPr>
          <w:rFonts w:ascii="Arial" w:cs="Arial" w:eastAsia="Arial" w:hAnsi="Arial"/>
          <w:sz w:val="18"/>
          <w:szCs w:val="18"/>
          <w:b w:val="1"/>
          <w:bCs w:val="1"/>
          <w:color w:val="000000"/>
        </w:rPr>
        <w:t>7</w:t>
      </w:r>
    </w:p>
    <w:p>
      <w:pPr>
        <w:spacing w:after="0" w:line="6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Gerald L. Hassell*</w:t>
      </w:r>
    </w:p>
    <w:p>
      <w:pPr>
        <w:spacing w:after="0" w:line="7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David C. Novak</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Key Responsibilities</w:t>
      </w:r>
    </w:p>
    <w:p>
      <w:pPr>
        <w:spacing w:after="0" w:line="212"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7"/>
          <w:szCs w:val="17"/>
          <w:color w:val="00A0E0"/>
        </w:rPr>
      </w:pPr>
      <w:r>
        <w:rPr>
          <w:rFonts w:ascii="Arial" w:cs="Arial" w:eastAsia="Arial" w:hAnsi="Arial"/>
          <w:sz w:val="18"/>
          <w:szCs w:val="18"/>
          <w:color w:val="auto"/>
        </w:rPr>
        <w:t>Oversees and sets compensation for our senior executives.</w:t>
      </w:r>
    </w:p>
    <w:p>
      <w:pPr>
        <w:spacing w:after="0" w:line="63" w:lineRule="exact"/>
        <w:rPr>
          <w:rFonts w:ascii="Arial" w:cs="Arial" w:eastAsia="Arial" w:hAnsi="Arial"/>
          <w:sz w:val="17"/>
          <w:szCs w:val="17"/>
          <w:color w:val="00A0E0"/>
        </w:rPr>
      </w:pPr>
    </w:p>
    <w:p>
      <w:pPr>
        <w:ind w:left="260" w:right="240" w:hanging="252"/>
        <w:spacing w:after="0" w:line="247" w:lineRule="auto"/>
        <w:tabs>
          <w:tab w:leader="none" w:pos="260" w:val="left"/>
        </w:tabs>
        <w:numPr>
          <w:ilvl w:val="0"/>
          <w:numId w:val="40"/>
        </w:numPr>
        <w:rPr>
          <w:rFonts w:ascii="Arial" w:cs="Arial" w:eastAsia="Arial" w:hAnsi="Arial"/>
          <w:sz w:val="17"/>
          <w:szCs w:val="17"/>
          <w:color w:val="00A0E0"/>
        </w:rPr>
      </w:pPr>
      <w:r>
        <w:rPr>
          <w:rFonts w:ascii="Arial" w:cs="Arial" w:eastAsia="Arial" w:hAnsi="Arial"/>
          <w:sz w:val="18"/>
          <w:szCs w:val="18"/>
          <w:color w:val="auto"/>
        </w:rPr>
        <w:t>Performs an annual review of our compensation philosophy, executive compensation programs and the performance of senior executives, including our named executive officers (“NEOs”).</w:t>
      </w:r>
    </w:p>
    <w:p>
      <w:pPr>
        <w:spacing w:after="0" w:line="25" w:lineRule="exact"/>
        <w:rPr>
          <w:rFonts w:ascii="Arial" w:cs="Arial" w:eastAsia="Arial" w:hAnsi="Arial"/>
          <w:sz w:val="17"/>
          <w:szCs w:val="17"/>
          <w:color w:val="00A0E0"/>
        </w:rPr>
      </w:pPr>
    </w:p>
    <w:p>
      <w:pPr>
        <w:ind w:left="260" w:hanging="252"/>
        <w:spacing w:after="0" w:line="271" w:lineRule="auto"/>
        <w:tabs>
          <w:tab w:leader="none" w:pos="260" w:val="left"/>
        </w:tabs>
        <w:numPr>
          <w:ilvl w:val="0"/>
          <w:numId w:val="40"/>
        </w:numPr>
        <w:rPr>
          <w:rFonts w:ascii="Arial" w:cs="Arial" w:eastAsia="Arial" w:hAnsi="Arial"/>
          <w:sz w:val="17"/>
          <w:szCs w:val="17"/>
          <w:color w:val="00A0E0"/>
        </w:rPr>
      </w:pPr>
      <w:r>
        <w:rPr>
          <w:rFonts w:ascii="Arial" w:cs="Arial" w:eastAsia="Arial" w:hAnsi="Arial"/>
          <w:sz w:val="18"/>
          <w:szCs w:val="18"/>
          <w:color w:val="auto"/>
        </w:rPr>
        <w:t>Evaluates annually whether there are any risks associated with our executive compensation program.</w:t>
      </w:r>
    </w:p>
    <w:p>
      <w:pPr>
        <w:spacing w:after="0" w:line="5" w:lineRule="exact"/>
        <w:rPr>
          <w:rFonts w:ascii="Arial" w:cs="Arial" w:eastAsia="Arial" w:hAnsi="Arial"/>
          <w:sz w:val="17"/>
          <w:szCs w:val="17"/>
          <w:color w:val="00A0E0"/>
        </w:rPr>
      </w:pPr>
    </w:p>
    <w:p>
      <w:pPr>
        <w:ind w:left="260" w:hanging="252"/>
        <w:spacing w:after="0"/>
        <w:tabs>
          <w:tab w:leader="none" w:pos="260" w:val="left"/>
        </w:tabs>
        <w:numPr>
          <w:ilvl w:val="0"/>
          <w:numId w:val="40"/>
        </w:numPr>
        <w:rPr>
          <w:rFonts w:ascii="Arial" w:cs="Arial" w:eastAsia="Arial" w:hAnsi="Arial"/>
          <w:sz w:val="17"/>
          <w:szCs w:val="17"/>
          <w:color w:val="00A0E0"/>
        </w:rPr>
      </w:pPr>
      <w:r>
        <w:rPr>
          <w:rFonts w:ascii="Arial" w:cs="Arial" w:eastAsia="Arial" w:hAnsi="Arial"/>
          <w:sz w:val="18"/>
          <w:szCs w:val="18"/>
          <w:color w:val="auto"/>
        </w:rPr>
        <w:t>Oversees succession planning for senior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251" w:right="40" w:hanging="251"/>
        <w:spacing w:after="0" w:line="253" w:lineRule="auto"/>
        <w:tabs>
          <w:tab w:leader="none" w:pos="251" w:val="left"/>
        </w:tabs>
        <w:numPr>
          <w:ilvl w:val="0"/>
          <w:numId w:val="41"/>
        </w:numPr>
        <w:rPr>
          <w:rFonts w:ascii="Arial" w:cs="Arial" w:eastAsia="Arial" w:hAnsi="Arial"/>
          <w:sz w:val="17"/>
          <w:szCs w:val="17"/>
          <w:color w:val="00A0E0"/>
        </w:rPr>
      </w:pPr>
      <w:r>
        <w:rPr>
          <w:rFonts w:ascii="Arial" w:cs="Arial" w:eastAsia="Arial" w:hAnsi="Arial"/>
          <w:sz w:val="18"/>
          <w:szCs w:val="18"/>
          <w:color w:val="auto"/>
        </w:rPr>
        <w:t>Reviews compensation and benefit plans and policies generally, including with respect to compensation of our senior executives and other employees.</w:t>
      </w:r>
    </w:p>
    <w:p>
      <w:pPr>
        <w:spacing w:after="0" w:line="20" w:lineRule="exact"/>
        <w:rPr>
          <w:rFonts w:ascii="Arial" w:cs="Arial" w:eastAsia="Arial" w:hAnsi="Arial"/>
          <w:sz w:val="17"/>
          <w:szCs w:val="17"/>
          <w:color w:val="00A0E0"/>
        </w:rPr>
      </w:pPr>
    </w:p>
    <w:p>
      <w:pPr>
        <w:ind w:left="251" w:right="80" w:hanging="251"/>
        <w:spacing w:after="0" w:line="247" w:lineRule="auto"/>
        <w:tabs>
          <w:tab w:leader="none" w:pos="251" w:val="left"/>
        </w:tabs>
        <w:numPr>
          <w:ilvl w:val="0"/>
          <w:numId w:val="41"/>
        </w:numPr>
        <w:rPr>
          <w:rFonts w:ascii="Arial" w:cs="Arial" w:eastAsia="Arial" w:hAnsi="Arial"/>
          <w:sz w:val="17"/>
          <w:szCs w:val="17"/>
          <w:color w:val="00A0E0"/>
        </w:rPr>
      </w:pPr>
      <w:r>
        <w:rPr>
          <w:rFonts w:ascii="Arial" w:cs="Arial" w:eastAsia="Arial" w:hAnsi="Arial"/>
          <w:sz w:val="18"/>
          <w:szCs w:val="18"/>
          <w:color w:val="auto"/>
        </w:rPr>
        <w:t>Reviews programs and strategies with respect to human capital management, including with respect to talent recruitment, development and retention, employee engagement and workforce composition.</w:t>
      </w:r>
    </w:p>
    <w:p>
      <w:pPr>
        <w:spacing w:after="0" w:line="25" w:lineRule="exact"/>
        <w:rPr>
          <w:rFonts w:ascii="Arial" w:cs="Arial" w:eastAsia="Arial" w:hAnsi="Arial"/>
          <w:sz w:val="17"/>
          <w:szCs w:val="17"/>
          <w:color w:val="00A0E0"/>
        </w:rPr>
      </w:pPr>
    </w:p>
    <w:p>
      <w:pPr>
        <w:ind w:left="251" w:right="260" w:hanging="251"/>
        <w:spacing w:after="0" w:line="271" w:lineRule="auto"/>
        <w:tabs>
          <w:tab w:leader="none" w:pos="251" w:val="left"/>
        </w:tabs>
        <w:numPr>
          <w:ilvl w:val="0"/>
          <w:numId w:val="41"/>
        </w:numPr>
        <w:rPr>
          <w:rFonts w:ascii="Arial" w:cs="Arial" w:eastAsia="Arial" w:hAnsi="Arial"/>
          <w:sz w:val="17"/>
          <w:szCs w:val="17"/>
          <w:color w:val="00A0E0"/>
        </w:rPr>
      </w:pPr>
      <w:r>
        <w:rPr>
          <w:rFonts w:ascii="Arial" w:cs="Arial" w:eastAsia="Arial" w:hAnsi="Arial"/>
          <w:sz w:val="18"/>
          <w:szCs w:val="18"/>
          <w:color w:val="auto"/>
        </w:rPr>
        <w:t>Reports its discussions to the full Board for consideration and action when appropriate.</w:t>
      </w:r>
    </w:p>
    <w:p>
      <w:pPr>
        <w:spacing w:after="0" w:line="154" w:lineRule="exact"/>
        <w:rPr>
          <w:sz w:val="20"/>
          <w:szCs w:val="20"/>
          <w:color w:val="auto"/>
        </w:rPr>
      </w:pPr>
    </w:p>
    <w:p>
      <w:pPr>
        <w:sectPr>
          <w:pgSz w:w="11900" w:h="16838" w:orient="portrait"/>
          <w:cols w:equalWidth="0" w:num="2">
            <w:col w:w="5280" w:space="569"/>
            <w:col w:w="5391"/>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Each member of our CHC Committee qualifies as a “non-employee director” under Rule 16b-3 under the Exchange 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CHC Committee Report is included on page 40.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Ms. Montiel and Mr. Hassell are not nominees for director at our 2024 annual meeting.</w:t>
      </w:r>
    </w:p>
    <w:p>
      <w:pPr>
        <w:sectPr>
          <w:pgSz w:w="11900" w:h="16838" w:orient="portrait"/>
          <w:cols w:equalWidth="0" w:num="1">
            <w:col w:w="11240"/>
          </w:cols>
          <w:pgMar w:left="320" w:top="121" w:right="339" w:bottom="1440" w:gutter="0" w:footer="0" w:header="0"/>
          <w:type w:val="continuous"/>
        </w:sectPr>
      </w:pPr>
    </w:p>
    <w:p>
      <w:pPr>
        <w:spacing w:after="0" w:line="214" w:lineRule="exact"/>
        <w:rPr>
          <w:sz w:val="20"/>
          <w:szCs w:val="20"/>
          <w:color w:val="auto"/>
        </w:rPr>
      </w:pPr>
    </w:p>
    <w:p>
      <w:pPr>
        <w:ind w:left="9480"/>
        <w:spacing w:after="0"/>
        <w:tabs>
          <w:tab w:leader="none" w:pos="11080" w:val="left"/>
        </w:tabs>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r>
        <w:rPr>
          <w:sz w:val="20"/>
          <w:szCs w:val="20"/>
          <w:color w:val="auto"/>
        </w:rPr>
        <w:tab/>
      </w:r>
      <w:r>
        <w:rPr>
          <w:rFonts w:ascii="Arial" w:cs="Arial" w:eastAsia="Arial" w:hAnsi="Arial"/>
          <w:sz w:val="12"/>
          <w:szCs w:val="12"/>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91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Governance and Corporate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9429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pacing w:after="0" w:line="191" w:lineRule="exact"/>
        <w:rPr>
          <w:sz w:val="20"/>
          <w:szCs w:val="20"/>
          <w:color w:val="auto"/>
        </w:rPr>
      </w:pPr>
    </w:p>
    <w:p>
      <w:pPr>
        <w:ind w:left="1640"/>
        <w:spacing w:after="0"/>
        <w:rPr>
          <w:sz w:val="20"/>
          <w:szCs w:val="20"/>
          <w:color w:val="auto"/>
        </w:rPr>
      </w:pPr>
      <w:r>
        <w:rPr>
          <w:rFonts w:ascii="Arial" w:cs="Arial" w:eastAsia="Arial" w:hAnsi="Arial"/>
          <w:sz w:val="20"/>
          <w:szCs w:val="20"/>
          <w:b w:val="1"/>
          <w:bCs w:val="1"/>
          <w:color w:val="auto"/>
        </w:rPr>
        <w:t>Kenneth J. Bacon (Chair)</w:t>
      </w:r>
    </w:p>
    <w:p>
      <w:pPr>
        <w:spacing w:after="0" w:line="153" w:lineRule="exact"/>
        <w:rPr>
          <w:sz w:val="20"/>
          <w:szCs w:val="20"/>
          <w:color w:val="auto"/>
        </w:rPr>
      </w:pPr>
    </w:p>
    <w:p>
      <w:pPr>
        <w:jc w:val="both"/>
        <w:ind w:left="1640"/>
        <w:spacing w:after="0"/>
        <w:tabs>
          <w:tab w:leader="none" w:pos="5520" w:val="left"/>
        </w:tabs>
        <w:rPr>
          <w:sz w:val="20"/>
          <w:szCs w:val="20"/>
          <w:color w:val="auto"/>
        </w:rPr>
      </w:pPr>
      <w:r>
        <w:rPr>
          <w:rFonts w:ascii="Arial" w:cs="Arial" w:eastAsia="Arial" w:hAnsi="Arial"/>
          <w:sz w:val="18"/>
          <w:szCs w:val="18"/>
          <w:b w:val="1"/>
          <w:bCs w:val="1"/>
          <w:color w:val="00A0E0"/>
        </w:rPr>
        <w:t>Members</w:t>
      </w:r>
      <w:r>
        <w:rPr>
          <w:sz w:val="20"/>
          <w:szCs w:val="20"/>
          <w:color w:val="auto"/>
        </w:rPr>
        <w:tab/>
      </w:r>
      <w:r>
        <w:rPr>
          <w:rFonts w:ascii="Arial" w:cs="Arial" w:eastAsia="Arial" w:hAnsi="Arial"/>
          <w:sz w:val="18"/>
          <w:szCs w:val="18"/>
          <w:b w:val="1"/>
          <w:bCs w:val="1"/>
          <w:color w:val="00A0E0"/>
        </w:rPr>
        <w:t xml:space="preserve">Meetings in 2023: </w:t>
      </w:r>
      <w:r>
        <w:rPr>
          <w:rFonts w:ascii="Arial" w:cs="Arial" w:eastAsia="Arial" w:hAnsi="Arial"/>
          <w:sz w:val="18"/>
          <w:szCs w:val="18"/>
          <w:b w:val="1"/>
          <w:bCs w:val="1"/>
          <w:color w:val="000000"/>
        </w:rPr>
        <w:t>5</w:t>
      </w:r>
    </w:p>
    <w:p>
      <w:pPr>
        <w:spacing w:after="0" w:line="6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Madeline S. Bell</w:t>
      </w:r>
    </w:p>
    <w:p>
      <w:pPr>
        <w:spacing w:after="0" w:line="7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Jeffrey A. Honickman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Key Responsibilities</w:t>
      </w:r>
    </w:p>
    <w:p>
      <w:pPr>
        <w:spacing w:after="0" w:line="212" w:lineRule="exact"/>
        <w:rPr>
          <w:sz w:val="20"/>
          <w:szCs w:val="20"/>
          <w:color w:val="auto"/>
        </w:rPr>
      </w:pPr>
    </w:p>
    <w:p>
      <w:pPr>
        <w:ind w:left="260" w:hanging="252"/>
        <w:spacing w:after="0"/>
        <w:tabs>
          <w:tab w:leader="none" w:pos="260" w:val="left"/>
        </w:tabs>
        <w:numPr>
          <w:ilvl w:val="0"/>
          <w:numId w:val="42"/>
        </w:numPr>
        <w:rPr>
          <w:rFonts w:ascii="Arial" w:cs="Arial" w:eastAsia="Arial" w:hAnsi="Arial"/>
          <w:sz w:val="17"/>
          <w:szCs w:val="17"/>
          <w:color w:val="00A0E0"/>
        </w:rPr>
      </w:pPr>
      <w:r>
        <w:rPr>
          <w:rFonts w:ascii="Arial" w:cs="Arial" w:eastAsia="Arial" w:hAnsi="Arial"/>
          <w:sz w:val="18"/>
          <w:szCs w:val="18"/>
          <w:color w:val="auto"/>
        </w:rPr>
        <w:t>Provides general oversight of corporate governance.</w:t>
      </w:r>
    </w:p>
    <w:p>
      <w:pPr>
        <w:spacing w:after="0" w:line="63" w:lineRule="exact"/>
        <w:rPr>
          <w:rFonts w:ascii="Arial" w:cs="Arial" w:eastAsia="Arial" w:hAnsi="Arial"/>
          <w:sz w:val="17"/>
          <w:szCs w:val="17"/>
          <w:color w:val="00A0E0"/>
        </w:rPr>
      </w:pPr>
    </w:p>
    <w:p>
      <w:pPr>
        <w:ind w:left="260" w:right="140" w:hanging="252"/>
        <w:spacing w:after="0" w:line="271" w:lineRule="auto"/>
        <w:tabs>
          <w:tab w:leader="none" w:pos="260" w:val="left"/>
        </w:tabs>
        <w:numPr>
          <w:ilvl w:val="0"/>
          <w:numId w:val="42"/>
        </w:numPr>
        <w:rPr>
          <w:rFonts w:ascii="Arial" w:cs="Arial" w:eastAsia="Arial" w:hAnsi="Arial"/>
          <w:sz w:val="17"/>
          <w:szCs w:val="17"/>
          <w:color w:val="00A0E0"/>
        </w:rPr>
      </w:pPr>
      <w:r>
        <w:rPr>
          <w:rFonts w:ascii="Arial" w:cs="Arial" w:eastAsia="Arial" w:hAnsi="Arial"/>
          <w:sz w:val="18"/>
          <w:szCs w:val="18"/>
          <w:color w:val="auto"/>
        </w:rPr>
        <w:t>Oversees culture of compliance and ethical business conduct, including compliance program.</w:t>
      </w:r>
    </w:p>
    <w:p>
      <w:pPr>
        <w:spacing w:after="0" w:line="5" w:lineRule="exact"/>
        <w:rPr>
          <w:rFonts w:ascii="Arial" w:cs="Arial" w:eastAsia="Arial" w:hAnsi="Arial"/>
          <w:sz w:val="17"/>
          <w:szCs w:val="17"/>
          <w:color w:val="00A0E0"/>
        </w:rPr>
      </w:pPr>
    </w:p>
    <w:p>
      <w:pPr>
        <w:ind w:left="260" w:right="60" w:hanging="252"/>
        <w:spacing w:after="0" w:line="271" w:lineRule="auto"/>
        <w:tabs>
          <w:tab w:leader="none" w:pos="260" w:val="left"/>
        </w:tabs>
        <w:numPr>
          <w:ilvl w:val="0"/>
          <w:numId w:val="42"/>
        </w:numPr>
        <w:rPr>
          <w:rFonts w:ascii="Arial" w:cs="Arial" w:eastAsia="Arial" w:hAnsi="Arial"/>
          <w:sz w:val="17"/>
          <w:szCs w:val="17"/>
          <w:color w:val="00A0E0"/>
        </w:rPr>
      </w:pPr>
      <w:r>
        <w:rPr>
          <w:rFonts w:ascii="Arial" w:cs="Arial" w:eastAsia="Arial" w:hAnsi="Arial"/>
          <w:sz w:val="18"/>
          <w:szCs w:val="18"/>
          <w:color w:val="auto"/>
        </w:rPr>
        <w:t>Reviews significant legal and regulatory compliance risks, such as privacy.</w:t>
      </w:r>
    </w:p>
    <w:p>
      <w:pPr>
        <w:spacing w:after="0" w:line="5" w:lineRule="exact"/>
        <w:rPr>
          <w:rFonts w:ascii="Arial" w:cs="Arial" w:eastAsia="Arial" w:hAnsi="Arial"/>
          <w:sz w:val="17"/>
          <w:szCs w:val="17"/>
          <w:color w:val="00A0E0"/>
        </w:rPr>
      </w:pPr>
    </w:p>
    <w:p>
      <w:pPr>
        <w:ind w:left="260" w:right="720" w:hanging="252"/>
        <w:spacing w:after="0" w:line="271" w:lineRule="auto"/>
        <w:tabs>
          <w:tab w:leader="none" w:pos="260" w:val="left"/>
        </w:tabs>
        <w:numPr>
          <w:ilvl w:val="0"/>
          <w:numId w:val="42"/>
        </w:numPr>
        <w:rPr>
          <w:rFonts w:ascii="Arial" w:cs="Arial" w:eastAsia="Arial" w:hAnsi="Arial"/>
          <w:sz w:val="17"/>
          <w:szCs w:val="17"/>
          <w:color w:val="00A0E0"/>
        </w:rPr>
      </w:pPr>
      <w:r>
        <w:rPr>
          <w:rFonts w:ascii="Arial" w:cs="Arial" w:eastAsia="Arial" w:hAnsi="Arial"/>
          <w:sz w:val="18"/>
          <w:szCs w:val="18"/>
          <w:color w:val="auto"/>
        </w:rPr>
        <w:t>Oversees, monitors and receives reports on workplace harassment and discrimination matters.</w:t>
      </w:r>
    </w:p>
    <w:p>
      <w:pPr>
        <w:spacing w:after="0" w:line="5" w:lineRule="exact"/>
        <w:rPr>
          <w:rFonts w:ascii="Arial" w:cs="Arial" w:eastAsia="Arial" w:hAnsi="Arial"/>
          <w:sz w:val="17"/>
          <w:szCs w:val="17"/>
          <w:color w:val="00A0E0"/>
        </w:rPr>
      </w:pPr>
    </w:p>
    <w:p>
      <w:pPr>
        <w:ind w:left="260" w:hanging="252"/>
        <w:spacing w:after="0" w:line="253" w:lineRule="auto"/>
        <w:tabs>
          <w:tab w:leader="none" w:pos="260" w:val="left"/>
        </w:tabs>
        <w:numPr>
          <w:ilvl w:val="0"/>
          <w:numId w:val="42"/>
        </w:numPr>
        <w:rPr>
          <w:rFonts w:ascii="Arial" w:cs="Arial" w:eastAsia="Arial" w:hAnsi="Arial"/>
          <w:sz w:val="17"/>
          <w:szCs w:val="17"/>
          <w:color w:val="00A0E0"/>
        </w:rPr>
      </w:pPr>
      <w:r>
        <w:rPr>
          <w:rFonts w:ascii="Arial" w:cs="Arial" w:eastAsia="Arial" w:hAnsi="Arial"/>
          <w:sz w:val="18"/>
          <w:szCs w:val="18"/>
          <w:color w:val="auto"/>
        </w:rPr>
        <w:t>Reviews and assesses our corporate social responsibility report and significant environmental and social issues, risks and trends.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51" w:right="520" w:hanging="251"/>
        <w:spacing w:after="0" w:line="253" w:lineRule="auto"/>
        <w:tabs>
          <w:tab w:leader="none" w:pos="251" w:val="left"/>
        </w:tabs>
        <w:numPr>
          <w:ilvl w:val="0"/>
          <w:numId w:val="43"/>
        </w:numPr>
        <w:rPr>
          <w:rFonts w:ascii="Arial" w:cs="Arial" w:eastAsia="Arial" w:hAnsi="Arial"/>
          <w:sz w:val="17"/>
          <w:szCs w:val="17"/>
          <w:color w:val="00A0E0"/>
        </w:rPr>
      </w:pPr>
      <w:r>
        <w:rPr>
          <w:rFonts w:ascii="Arial" w:cs="Arial" w:eastAsia="Arial" w:hAnsi="Arial"/>
          <w:sz w:val="18"/>
          <w:szCs w:val="18"/>
          <w:color w:val="auto"/>
        </w:rPr>
        <w:t>Oversees our approach to political and lobbying activities, including by receiving periodic reports on our political contributions, lobbying and trade association activities.</w:t>
      </w:r>
    </w:p>
    <w:p>
      <w:pPr>
        <w:spacing w:after="0" w:line="20" w:lineRule="exact"/>
        <w:rPr>
          <w:rFonts w:ascii="Arial" w:cs="Arial" w:eastAsia="Arial" w:hAnsi="Arial"/>
          <w:sz w:val="17"/>
          <w:szCs w:val="17"/>
          <w:color w:val="00A0E0"/>
        </w:rPr>
      </w:pPr>
    </w:p>
    <w:p>
      <w:pPr>
        <w:ind w:left="251" w:right="240" w:hanging="251"/>
        <w:spacing w:after="0" w:line="271" w:lineRule="auto"/>
        <w:tabs>
          <w:tab w:leader="none" w:pos="251" w:val="left"/>
        </w:tabs>
        <w:numPr>
          <w:ilvl w:val="0"/>
          <w:numId w:val="43"/>
        </w:numPr>
        <w:rPr>
          <w:rFonts w:ascii="Arial" w:cs="Arial" w:eastAsia="Arial" w:hAnsi="Arial"/>
          <w:sz w:val="17"/>
          <w:szCs w:val="17"/>
          <w:color w:val="00A0E0"/>
        </w:rPr>
      </w:pPr>
      <w:r>
        <w:rPr>
          <w:rFonts w:ascii="Arial" w:cs="Arial" w:eastAsia="Arial" w:hAnsi="Arial"/>
          <w:sz w:val="18"/>
          <w:szCs w:val="18"/>
          <w:color w:val="auto"/>
        </w:rPr>
        <w:t>Reports its discussions to the full Board for consideration and action when appropriate.</w:t>
      </w:r>
    </w:p>
    <w:p>
      <w:pPr>
        <w:spacing w:after="0" w:line="1364" w:lineRule="exact"/>
        <w:rPr>
          <w:sz w:val="20"/>
          <w:szCs w:val="20"/>
          <w:color w:val="auto"/>
        </w:rPr>
      </w:pPr>
    </w:p>
    <w:p>
      <w:pPr>
        <w:sectPr>
          <w:pgSz w:w="11900" w:h="16838" w:orient="portrait"/>
          <w:cols w:equalWidth="0" w:num="2">
            <w:col w:w="5340" w:space="509"/>
            <w:col w:w="5371"/>
          </w:cols>
          <w:pgMar w:left="320" w:top="121" w:right="359" w:bottom="1440" w:gutter="0" w:footer="0" w:header="0"/>
          <w:type w:val="continuous"/>
        </w:sectPr>
      </w:pPr>
    </w:p>
    <w:p>
      <w:pPr>
        <w:spacing w:after="0"/>
        <w:rPr>
          <w:sz w:val="20"/>
          <w:szCs w:val="20"/>
          <w:color w:val="auto"/>
        </w:rPr>
      </w:pPr>
      <w:r>
        <w:rPr>
          <w:rFonts w:ascii="Arial" w:cs="Arial" w:eastAsia="Arial" w:hAnsi="Arial"/>
          <w:sz w:val="25"/>
          <w:szCs w:val="25"/>
          <w:color w:val="auto"/>
        </w:rPr>
        <w:t>Board and Committee Strategy, Risk and Oversight Responsibilities</w:t>
      </w:r>
    </w:p>
    <w:p>
      <w:pPr>
        <w:spacing w:after="0" w:line="229"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Our Board and its committees provide guidance to and oversight of management with respect to our business strategy throughout the year. Various elements of strategy are discussed at every Board meeting, and our management is charged with executing the business strategy and updating the Board on progress.</w:t>
      </w:r>
    </w:p>
    <w:p>
      <w:pPr>
        <w:spacing w:after="0" w:line="16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While active risk management and responsibility for disclosure controls is primarily the responsibility of our management, our Board understands the significant risks facing our company, including those related to material corporate responsibility issues. Our Board, as a whole and through its committees, exercises an appropriate degree of risk oversight, including risks associated with the design and operation of disclosure controls. Our management, with involvement and input from our Board, performs an annual ERM assessment to identify and manage key existing and emerging risks for our company. Our ERM process assesses the characteristics and circumstances of the evolving business environment at the time and seeks to identify both the potential impacts to our company of a particular risk and the velocity with which the risk may manifest (e.g., rapidly in less than three months or more slowly in more than twelve months). Members of our disclosure committee participate in the ERM process, and the ERM output helps inform how we present the risks facing our company in the “Risk Factors” section of our Annual Report on Form 10-K, which is also reviewed with our Audit Committee.</w:t>
      </w:r>
    </w:p>
    <w:p>
      <w:pPr>
        <w:spacing w:after="0" w:line="183"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color w:val="auto"/>
        </w:rPr>
        <w:t>Our senior executive management team has the overall responsibility for, and oversight of, our ERM process, and an ERM steering committee manages the process, with one or more senior business executives then monitoring and managing each of the identified risks. Regular business presentations and discussions throughout the year at the Board or its committees, both from management and external experts as appropriate, highlight significant relevant risks and exposures, including those listed below as core enterprise risks identified through our ERM process. In addition to the ERM process, our Corporate Chief Compliance Officer, who reports to our Chief Legal Officer, leads an annual compliance risk assessment process, which is presented to our GCR Committee.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Board and its committees exercise their respective roles in strategy, risk oversight and oversight of significant corporate responsibility matters in a variety of ways, as set forth below. We believe the Board as a whole is ultimately accountable for risk oversight, but various Board committees may lead and inform the Board with regard to specific risks. To that end, our full Board receives an annual presentation on the results of the core enterprise risks identified through our ERM process for Board-level oversight, with our Audit Committee overseeing the process by which we perform our ERM exercise. Certain risks may be addressed by both the Board and its committees (such as succession planning and cybersecurity) or only by our Board or a committee, depending on the subject matter and significance of a particular risk. If discussion of a risk is covered during a committee meeting, the committee chair reports on the committee’s discussion to the full Board for consideration and action when appropriate.</w:t>
      </w:r>
    </w:p>
    <w:p>
      <w:pPr>
        <w:spacing w:after="0" w:line="184" w:lineRule="exact"/>
        <w:rPr>
          <w:sz w:val="20"/>
          <w:szCs w:val="20"/>
          <w:color w:val="auto"/>
        </w:rPr>
      </w:pPr>
    </w:p>
    <w:p>
      <w:pPr>
        <w:ind w:left="420" w:hanging="412"/>
        <w:spacing w:after="0"/>
        <w:tabs>
          <w:tab w:leader="none" w:pos="42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14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Board of Directors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0E0"/>
        </w:rPr>
        <w:t>Oversight of Core Enterprise Risks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1480" w:type="dxa"/>
            <w:vAlign w:val="bottom"/>
            <w:shd w:val="clear" w:color="auto" w:fill="EAF4FB"/>
          </w:tcPr>
          <w:p>
            <w:pPr>
              <w:jc w:val="center"/>
              <w:ind w:left="250"/>
              <w:spacing w:after="0"/>
              <w:rPr>
                <w:sz w:val="20"/>
                <w:szCs w:val="20"/>
                <w:color w:val="auto"/>
              </w:rPr>
            </w:pPr>
            <w:r>
              <w:rPr>
                <w:rFonts w:ascii="Arial" w:cs="Arial" w:eastAsia="Arial" w:hAnsi="Arial"/>
                <w:sz w:val="18"/>
                <w:szCs w:val="18"/>
                <w:color w:val="auto"/>
                <w:w w:val="98"/>
              </w:rPr>
              <w:t>Competitive</w:t>
            </w:r>
          </w:p>
        </w:tc>
        <w:tc>
          <w:tcPr>
            <w:tcW w:w="2280" w:type="dxa"/>
            <w:vAlign w:val="bottom"/>
            <w:shd w:val="clear" w:color="auto" w:fill="EAF4FB"/>
          </w:tcPr>
          <w:p>
            <w:pPr>
              <w:jc w:val="center"/>
              <w:ind w:left="110"/>
              <w:spacing w:after="0"/>
              <w:rPr>
                <w:sz w:val="20"/>
                <w:szCs w:val="20"/>
                <w:color w:val="auto"/>
              </w:rPr>
            </w:pPr>
            <w:r>
              <w:rPr>
                <w:rFonts w:ascii="Arial" w:cs="Arial" w:eastAsia="Arial" w:hAnsi="Arial"/>
                <w:sz w:val="18"/>
                <w:szCs w:val="18"/>
                <w:color w:val="auto"/>
                <w:w w:val="98"/>
              </w:rPr>
              <w:t>Reputational</w:t>
            </w:r>
          </w:p>
        </w:tc>
        <w:tc>
          <w:tcPr>
            <w:tcW w:w="1920" w:type="dxa"/>
            <w:vAlign w:val="bottom"/>
            <w:shd w:val="clear" w:color="auto" w:fill="EAF4FB"/>
          </w:tcPr>
          <w:p>
            <w:pPr>
              <w:jc w:val="center"/>
              <w:spacing w:after="0"/>
              <w:rPr>
                <w:sz w:val="20"/>
                <w:szCs w:val="20"/>
                <w:color w:val="auto"/>
              </w:rPr>
            </w:pPr>
            <w:r>
              <w:rPr>
                <w:rFonts w:ascii="Arial" w:cs="Arial" w:eastAsia="Arial" w:hAnsi="Arial"/>
                <w:sz w:val="18"/>
                <w:szCs w:val="18"/>
                <w:color w:val="auto"/>
                <w:w w:val="99"/>
              </w:rPr>
              <w:t>Succession</w:t>
            </w:r>
          </w:p>
        </w:tc>
        <w:tc>
          <w:tcPr>
            <w:tcW w:w="1740" w:type="dxa"/>
            <w:vAlign w:val="bottom"/>
            <w:shd w:val="clear" w:color="auto" w:fill="EAF4FB"/>
          </w:tcPr>
          <w:p>
            <w:pPr>
              <w:jc w:val="center"/>
              <w:spacing w:after="0"/>
              <w:rPr>
                <w:sz w:val="20"/>
                <w:szCs w:val="20"/>
                <w:color w:val="auto"/>
              </w:rPr>
            </w:pPr>
            <w:r>
              <w:rPr>
                <w:rFonts w:ascii="Arial" w:cs="Arial" w:eastAsia="Arial" w:hAnsi="Arial"/>
                <w:sz w:val="18"/>
                <w:szCs w:val="18"/>
                <w:color w:val="auto"/>
                <w:w w:val="99"/>
              </w:rPr>
              <w:t>Capital</w:t>
            </w:r>
          </w:p>
        </w:tc>
        <w:tc>
          <w:tcPr>
            <w:tcW w:w="2120" w:type="dxa"/>
            <w:vAlign w:val="bottom"/>
            <w:shd w:val="clear" w:color="auto" w:fill="EAF4FB"/>
          </w:tcPr>
          <w:p>
            <w:pPr>
              <w:jc w:val="center"/>
              <w:ind w:left="50"/>
              <w:spacing w:after="0"/>
              <w:rPr>
                <w:sz w:val="20"/>
                <w:szCs w:val="20"/>
                <w:color w:val="auto"/>
              </w:rPr>
            </w:pPr>
            <w:r>
              <w:rPr>
                <w:rFonts w:ascii="Arial" w:cs="Arial" w:eastAsia="Arial" w:hAnsi="Arial"/>
                <w:sz w:val="18"/>
                <w:szCs w:val="18"/>
                <w:color w:val="auto"/>
                <w:w w:val="99"/>
              </w:rPr>
              <w:t>Cybersecurity &amp;</w:t>
            </w:r>
          </w:p>
        </w:tc>
        <w:tc>
          <w:tcPr>
            <w:tcW w:w="1700" w:type="dxa"/>
            <w:vAlign w:val="bottom"/>
            <w:shd w:val="clear" w:color="auto" w:fill="EAF4FB"/>
          </w:tcPr>
          <w:p>
            <w:pPr>
              <w:jc w:val="center"/>
              <w:ind w:right="10"/>
              <w:spacing w:after="0"/>
              <w:rPr>
                <w:sz w:val="20"/>
                <w:szCs w:val="20"/>
                <w:color w:val="auto"/>
              </w:rPr>
            </w:pPr>
            <w:r>
              <w:rPr>
                <w:rFonts w:ascii="Arial" w:cs="Arial" w:eastAsia="Arial" w:hAnsi="Arial"/>
                <w:sz w:val="18"/>
                <w:szCs w:val="18"/>
                <w:color w:val="auto"/>
                <w:w w:val="98"/>
              </w:rPr>
              <w:t>Legal &amp;</w:t>
            </w:r>
          </w:p>
        </w:tc>
      </w:tr>
      <w:tr>
        <w:trPr>
          <w:trHeight w:val="239"/>
        </w:trPr>
        <w:tc>
          <w:tcPr>
            <w:tcW w:w="1480" w:type="dxa"/>
            <w:vAlign w:val="bottom"/>
            <w:shd w:val="clear" w:color="auto" w:fill="EAF4FB"/>
          </w:tcPr>
          <w:p>
            <w:pPr>
              <w:jc w:val="center"/>
              <w:ind w:left="270"/>
              <w:spacing w:after="0"/>
              <w:rPr>
                <w:sz w:val="20"/>
                <w:szCs w:val="20"/>
                <w:color w:val="auto"/>
              </w:rPr>
            </w:pPr>
            <w:r>
              <w:rPr>
                <w:rFonts w:ascii="Arial" w:cs="Arial" w:eastAsia="Arial" w:hAnsi="Arial"/>
                <w:sz w:val="18"/>
                <w:szCs w:val="18"/>
                <w:color w:val="auto"/>
                <w:w w:val="99"/>
              </w:rPr>
              <w:t>Risks</w:t>
            </w:r>
          </w:p>
        </w:tc>
        <w:tc>
          <w:tcPr>
            <w:tcW w:w="2280" w:type="dxa"/>
            <w:vAlign w:val="bottom"/>
            <w:shd w:val="clear" w:color="auto" w:fill="EAF4FB"/>
          </w:tcPr>
          <w:p>
            <w:pPr>
              <w:jc w:val="center"/>
              <w:ind w:left="110"/>
              <w:spacing w:after="0"/>
              <w:rPr>
                <w:sz w:val="20"/>
                <w:szCs w:val="20"/>
                <w:color w:val="auto"/>
              </w:rPr>
            </w:pPr>
            <w:r>
              <w:rPr>
                <w:rFonts w:ascii="Arial" w:cs="Arial" w:eastAsia="Arial" w:hAnsi="Arial"/>
                <w:sz w:val="18"/>
                <w:szCs w:val="18"/>
                <w:color w:val="auto"/>
                <w:w w:val="99"/>
              </w:rPr>
              <w:t>Risks</w:t>
            </w:r>
          </w:p>
        </w:tc>
        <w:tc>
          <w:tcPr>
            <w:tcW w:w="1920" w:type="dxa"/>
            <w:vAlign w:val="bottom"/>
            <w:shd w:val="clear" w:color="auto" w:fill="EAF4FB"/>
          </w:tcPr>
          <w:p>
            <w:pPr>
              <w:jc w:val="center"/>
              <w:spacing w:after="0"/>
              <w:rPr>
                <w:sz w:val="20"/>
                <w:szCs w:val="20"/>
                <w:color w:val="auto"/>
              </w:rPr>
            </w:pPr>
            <w:r>
              <w:rPr>
                <w:rFonts w:ascii="Arial" w:cs="Arial" w:eastAsia="Arial" w:hAnsi="Arial"/>
                <w:sz w:val="18"/>
                <w:szCs w:val="18"/>
                <w:color w:val="auto"/>
                <w:w w:val="99"/>
              </w:rPr>
              <w:t>Planning</w:t>
            </w:r>
          </w:p>
        </w:tc>
        <w:tc>
          <w:tcPr>
            <w:tcW w:w="1740" w:type="dxa"/>
            <w:vAlign w:val="bottom"/>
            <w:shd w:val="clear" w:color="auto" w:fill="EAF4FB"/>
          </w:tcPr>
          <w:p>
            <w:pPr>
              <w:jc w:val="center"/>
              <w:spacing w:after="0"/>
              <w:rPr>
                <w:sz w:val="20"/>
                <w:szCs w:val="20"/>
                <w:color w:val="auto"/>
              </w:rPr>
            </w:pPr>
            <w:r>
              <w:rPr>
                <w:rFonts w:ascii="Arial" w:cs="Arial" w:eastAsia="Arial" w:hAnsi="Arial"/>
                <w:sz w:val="18"/>
                <w:szCs w:val="18"/>
                <w:color w:val="auto"/>
                <w:w w:val="99"/>
              </w:rPr>
              <w:t>Allocation</w:t>
            </w:r>
          </w:p>
        </w:tc>
        <w:tc>
          <w:tcPr>
            <w:tcW w:w="2120" w:type="dxa"/>
            <w:vAlign w:val="bottom"/>
            <w:shd w:val="clear" w:color="auto" w:fill="EAF4FB"/>
          </w:tcPr>
          <w:p>
            <w:pPr>
              <w:jc w:val="center"/>
              <w:ind w:left="50"/>
              <w:spacing w:after="0"/>
              <w:rPr>
                <w:sz w:val="20"/>
                <w:szCs w:val="20"/>
                <w:color w:val="auto"/>
              </w:rPr>
            </w:pPr>
            <w:r>
              <w:rPr>
                <w:rFonts w:ascii="Arial" w:cs="Arial" w:eastAsia="Arial" w:hAnsi="Arial"/>
                <w:sz w:val="18"/>
                <w:szCs w:val="18"/>
                <w:color w:val="auto"/>
                <w:w w:val="98"/>
              </w:rPr>
              <w:t>Privacy</w:t>
            </w:r>
          </w:p>
        </w:tc>
        <w:tc>
          <w:tcPr>
            <w:tcW w:w="1700" w:type="dxa"/>
            <w:vAlign w:val="bottom"/>
            <w:shd w:val="clear" w:color="auto" w:fill="EAF4FB"/>
          </w:tcPr>
          <w:p>
            <w:pPr>
              <w:jc w:val="center"/>
              <w:ind w:right="10"/>
              <w:spacing w:after="0"/>
              <w:rPr>
                <w:sz w:val="20"/>
                <w:szCs w:val="20"/>
                <w:color w:val="auto"/>
              </w:rPr>
            </w:pPr>
            <w:r>
              <w:rPr>
                <w:rFonts w:ascii="Arial" w:cs="Arial" w:eastAsia="Arial" w:hAnsi="Arial"/>
                <w:sz w:val="18"/>
                <w:szCs w:val="18"/>
                <w:color w:val="auto"/>
              </w:rPr>
              <w:t>Regulatory</w:t>
            </w:r>
          </w:p>
        </w:tc>
      </w:tr>
      <w:tr>
        <w:trPr>
          <w:trHeight w:val="90"/>
        </w:trPr>
        <w:tc>
          <w:tcPr>
            <w:tcW w:w="1480" w:type="dxa"/>
            <w:vAlign w:val="bottom"/>
            <w:shd w:val="clear" w:color="auto" w:fill="EAF4FB"/>
          </w:tcPr>
          <w:p>
            <w:pPr>
              <w:spacing w:after="0"/>
              <w:rPr>
                <w:sz w:val="7"/>
                <w:szCs w:val="7"/>
                <w:color w:val="auto"/>
              </w:rPr>
            </w:pPr>
          </w:p>
        </w:tc>
        <w:tc>
          <w:tcPr>
            <w:tcW w:w="2280" w:type="dxa"/>
            <w:vAlign w:val="bottom"/>
            <w:shd w:val="clear" w:color="auto" w:fill="EAF4FB"/>
          </w:tcPr>
          <w:p>
            <w:pPr>
              <w:spacing w:after="0"/>
              <w:rPr>
                <w:sz w:val="7"/>
                <w:szCs w:val="7"/>
                <w:color w:val="auto"/>
              </w:rPr>
            </w:pPr>
          </w:p>
        </w:tc>
        <w:tc>
          <w:tcPr>
            <w:tcW w:w="3660" w:type="dxa"/>
            <w:vAlign w:val="bottom"/>
            <w:gridSpan w:val="2"/>
            <w:shd w:val="clear" w:color="auto" w:fill="EAF4FB"/>
          </w:tcPr>
          <w:p>
            <w:pPr>
              <w:spacing w:after="0"/>
              <w:rPr>
                <w:sz w:val="7"/>
                <w:szCs w:val="7"/>
                <w:color w:val="auto"/>
              </w:rPr>
            </w:pPr>
          </w:p>
        </w:tc>
        <w:tc>
          <w:tcPr>
            <w:tcW w:w="3820" w:type="dxa"/>
            <w:vAlign w:val="bottom"/>
            <w:gridSpan w:val="2"/>
            <w:shd w:val="clear" w:color="auto" w:fill="EAF4FB"/>
          </w:tcPr>
          <w:p>
            <w:pPr>
              <w:spacing w:after="0"/>
              <w:rPr>
                <w:sz w:val="7"/>
                <w:szCs w:val="7"/>
                <w:color w:val="auto"/>
              </w:rPr>
            </w:pPr>
          </w:p>
        </w:tc>
      </w:tr>
      <w:tr>
        <w:trPr>
          <w:trHeight w:val="751"/>
        </w:trPr>
        <w:tc>
          <w:tcPr>
            <w:tcW w:w="1480" w:type="dxa"/>
            <w:vAlign w:val="bottom"/>
          </w:tcPr>
          <w:p>
            <w:pPr>
              <w:spacing w:after="0"/>
              <w:rPr>
                <w:sz w:val="24"/>
                <w:szCs w:val="24"/>
                <w:color w:val="auto"/>
              </w:rPr>
            </w:pPr>
          </w:p>
        </w:tc>
        <w:tc>
          <w:tcPr>
            <w:tcW w:w="2280" w:type="dxa"/>
            <w:vAlign w:val="bottom"/>
          </w:tcPr>
          <w:p>
            <w:pPr>
              <w:jc w:val="center"/>
              <w:ind w:right="1570"/>
              <w:spacing w:after="0"/>
              <w:rPr>
                <w:sz w:val="20"/>
                <w:szCs w:val="20"/>
                <w:color w:val="auto"/>
              </w:rPr>
            </w:pPr>
            <w:r>
              <w:rPr>
                <w:rFonts w:ascii="Arial" w:cs="Arial" w:eastAsia="Arial" w:hAnsi="Arial"/>
                <w:sz w:val="18"/>
                <w:szCs w:val="18"/>
                <w:b w:val="1"/>
                <w:bCs w:val="1"/>
                <w:color w:val="auto"/>
                <w:w w:val="99"/>
              </w:rPr>
              <w:t>Audit</w:t>
            </w:r>
          </w:p>
        </w:tc>
        <w:tc>
          <w:tcPr>
            <w:tcW w:w="3660" w:type="dxa"/>
            <w:vAlign w:val="bottom"/>
            <w:gridSpan w:val="2"/>
          </w:tcPr>
          <w:p>
            <w:pPr>
              <w:jc w:val="center"/>
              <w:spacing w:after="0"/>
              <w:rPr>
                <w:sz w:val="20"/>
                <w:szCs w:val="20"/>
                <w:color w:val="auto"/>
              </w:rPr>
            </w:pPr>
            <w:r>
              <w:rPr>
                <w:rFonts w:ascii="Arial" w:cs="Arial" w:eastAsia="Arial" w:hAnsi="Arial"/>
                <w:sz w:val="18"/>
                <w:szCs w:val="18"/>
                <w:b w:val="1"/>
                <w:bCs w:val="1"/>
                <w:color w:val="auto"/>
              </w:rPr>
              <w:t>Compensation &amp; Human</w:t>
            </w:r>
          </w:p>
        </w:tc>
        <w:tc>
          <w:tcPr>
            <w:tcW w:w="3820" w:type="dxa"/>
            <w:vAlign w:val="bottom"/>
            <w:gridSpan w:val="2"/>
          </w:tcPr>
          <w:p>
            <w:pPr>
              <w:ind w:left="940"/>
              <w:spacing w:after="0"/>
              <w:rPr>
                <w:sz w:val="20"/>
                <w:szCs w:val="20"/>
                <w:color w:val="auto"/>
              </w:rPr>
            </w:pPr>
            <w:r>
              <w:rPr>
                <w:rFonts w:ascii="Arial" w:cs="Arial" w:eastAsia="Arial" w:hAnsi="Arial"/>
                <w:sz w:val="18"/>
                <w:szCs w:val="18"/>
                <w:b w:val="1"/>
                <w:bCs w:val="1"/>
                <w:color w:val="auto"/>
              </w:rPr>
              <w:t>Governance &amp; Corporate</w:t>
            </w:r>
          </w:p>
        </w:tc>
      </w:tr>
      <w:tr>
        <w:trPr>
          <w:trHeight w:val="247"/>
        </w:trPr>
        <w:tc>
          <w:tcPr>
            <w:tcW w:w="376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8"/>
              </w:rPr>
              <w:t>Committee</w:t>
            </w:r>
          </w:p>
        </w:tc>
        <w:tc>
          <w:tcPr>
            <w:tcW w:w="3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Capital Committee</w:t>
            </w:r>
          </w:p>
        </w:tc>
        <w:tc>
          <w:tcPr>
            <w:tcW w:w="3820" w:type="dxa"/>
            <w:vAlign w:val="bottom"/>
            <w:gridSpan w:val="2"/>
          </w:tcPr>
          <w:p>
            <w:pPr>
              <w:ind w:left="920"/>
              <w:spacing w:after="0"/>
              <w:rPr>
                <w:sz w:val="20"/>
                <w:szCs w:val="20"/>
                <w:color w:val="auto"/>
              </w:rPr>
            </w:pPr>
            <w:r>
              <w:rPr>
                <w:rFonts w:ascii="Arial" w:cs="Arial" w:eastAsia="Arial" w:hAnsi="Arial"/>
                <w:sz w:val="18"/>
                <w:szCs w:val="18"/>
                <w:b w:val="1"/>
                <w:bCs w:val="1"/>
                <w:color w:val="auto"/>
              </w:rPr>
              <w:t>Responsibility 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-564515</wp:posOffset>
            </wp:positionV>
            <wp:extent cx="7132320" cy="26231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62318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Oversight of:</w:t>
      </w:r>
    </w:p>
    <w:p>
      <w:pPr>
        <w:spacing w:after="0" w:line="63" w:lineRule="exact"/>
        <w:rPr>
          <w:sz w:val="20"/>
          <w:szCs w:val="20"/>
          <w:color w:val="auto"/>
        </w:rPr>
      </w:pPr>
    </w:p>
    <w:p>
      <w:pPr>
        <w:ind w:left="480" w:hanging="229"/>
        <w:spacing w:after="0"/>
        <w:tabs>
          <w:tab w:leader="none" w:pos="480"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8"/>
          <w:szCs w:val="18"/>
          <w:color w:val="auto"/>
        </w:rPr>
        <w:t>ERM assessment process</w:t>
      </w:r>
    </w:p>
    <w:p>
      <w:pPr>
        <w:spacing w:after="0" w:line="90" w:lineRule="exact"/>
        <w:rPr>
          <w:rFonts w:ascii="Times New Roman" w:cs="Times New Roman" w:eastAsia="Times New Roman" w:hAnsi="Times New Roman"/>
          <w:sz w:val="17"/>
          <w:szCs w:val="17"/>
          <w:color w:val="00A0E0"/>
        </w:rPr>
      </w:pPr>
    </w:p>
    <w:p>
      <w:pPr>
        <w:ind w:left="520" w:right="60" w:hanging="269"/>
        <w:spacing w:after="0" w:line="281" w:lineRule="auto"/>
        <w:tabs>
          <w:tab w:leader="none" w:pos="497"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8"/>
          <w:szCs w:val="18"/>
          <w:color w:val="auto"/>
        </w:rPr>
        <w:t>Financial reporting and accounting matters</w:t>
      </w:r>
    </w:p>
    <w:p>
      <w:pPr>
        <w:spacing w:after="0" w:line="1" w:lineRule="exact"/>
        <w:rPr>
          <w:rFonts w:ascii="Times New Roman" w:cs="Times New Roman" w:eastAsia="Times New Roman" w:hAnsi="Times New Roman"/>
          <w:sz w:val="17"/>
          <w:szCs w:val="17"/>
          <w:color w:val="00A0E0"/>
        </w:rPr>
      </w:pPr>
    </w:p>
    <w:p>
      <w:pPr>
        <w:ind w:left="480" w:hanging="229"/>
        <w:spacing w:after="0"/>
        <w:tabs>
          <w:tab w:leader="none" w:pos="480"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8"/>
          <w:szCs w:val="18"/>
          <w:color w:val="auto"/>
        </w:rPr>
        <w:t>Internal and disclosure controls</w:t>
      </w:r>
    </w:p>
    <w:p>
      <w:pPr>
        <w:spacing w:after="0" w:line="76" w:lineRule="exact"/>
        <w:rPr>
          <w:rFonts w:ascii="Times New Roman" w:cs="Times New Roman" w:eastAsia="Times New Roman" w:hAnsi="Times New Roman"/>
          <w:sz w:val="17"/>
          <w:szCs w:val="17"/>
          <w:color w:val="00A0E0"/>
        </w:rPr>
      </w:pPr>
    </w:p>
    <w:p>
      <w:pPr>
        <w:ind w:left="480" w:hanging="229"/>
        <w:spacing w:after="0"/>
        <w:tabs>
          <w:tab w:leader="none" w:pos="480"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8"/>
          <w:szCs w:val="18"/>
          <w:color w:val="auto"/>
        </w:rPr>
        <w:t>Financial risks</w:t>
      </w:r>
    </w:p>
    <w:p>
      <w:pPr>
        <w:spacing w:after="0" w:line="90" w:lineRule="exact"/>
        <w:rPr>
          <w:rFonts w:ascii="Times New Roman" w:cs="Times New Roman" w:eastAsia="Times New Roman" w:hAnsi="Times New Roman"/>
          <w:sz w:val="17"/>
          <w:szCs w:val="17"/>
          <w:color w:val="00A0E0"/>
        </w:rPr>
      </w:pPr>
    </w:p>
    <w:p>
      <w:pPr>
        <w:ind w:left="520" w:right="600" w:hanging="269"/>
        <w:spacing w:after="0" w:line="287" w:lineRule="auto"/>
        <w:tabs>
          <w:tab w:leader="none" w:pos="497" w:val="left"/>
        </w:tabs>
        <w:numPr>
          <w:ilvl w:val="0"/>
          <w:numId w:val="45"/>
        </w:numPr>
        <w:rPr>
          <w:rFonts w:ascii="Times New Roman" w:cs="Times New Roman" w:eastAsia="Times New Roman" w:hAnsi="Times New Roman"/>
          <w:sz w:val="17"/>
          <w:szCs w:val="17"/>
          <w:color w:val="00A0E0"/>
        </w:rPr>
      </w:pPr>
      <w:r>
        <w:rPr>
          <w:rFonts w:ascii="Arial" w:cs="Arial" w:eastAsia="Arial" w:hAnsi="Arial"/>
          <w:sz w:val="18"/>
          <w:szCs w:val="18"/>
          <w:color w:val="auto"/>
        </w:rPr>
        <w:t>Cybersecurity and business continuity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Oversight of:</w:t>
      </w:r>
    </w:p>
    <w:p>
      <w:pPr>
        <w:spacing w:after="0" w:line="63" w:lineRule="exact"/>
        <w:rPr>
          <w:sz w:val="20"/>
          <w:szCs w:val="20"/>
          <w:color w:val="auto"/>
        </w:rPr>
      </w:pPr>
    </w:p>
    <w:p>
      <w:pPr>
        <w:ind w:left="300" w:hanging="235"/>
        <w:spacing w:after="0"/>
        <w:tabs>
          <w:tab w:leader="none" w:pos="300" w:val="left"/>
        </w:tabs>
        <w:numPr>
          <w:ilvl w:val="0"/>
          <w:numId w:val="46"/>
        </w:numPr>
        <w:rPr>
          <w:rFonts w:ascii="Times New Roman" w:cs="Times New Roman" w:eastAsia="Times New Roman" w:hAnsi="Times New Roman"/>
          <w:sz w:val="17"/>
          <w:szCs w:val="17"/>
          <w:color w:val="00A0E0"/>
        </w:rPr>
      </w:pPr>
      <w:r>
        <w:rPr>
          <w:rFonts w:ascii="Arial" w:cs="Arial" w:eastAsia="Arial" w:hAnsi="Arial"/>
          <w:sz w:val="18"/>
          <w:szCs w:val="18"/>
          <w:color w:val="auto"/>
        </w:rPr>
        <w:t>Executive compensation program</w:t>
      </w:r>
    </w:p>
    <w:p>
      <w:pPr>
        <w:spacing w:after="0" w:line="90" w:lineRule="exact"/>
        <w:rPr>
          <w:rFonts w:ascii="Times New Roman" w:cs="Times New Roman" w:eastAsia="Times New Roman" w:hAnsi="Times New Roman"/>
          <w:sz w:val="17"/>
          <w:szCs w:val="17"/>
          <w:color w:val="00A0E0"/>
        </w:rPr>
      </w:pPr>
    </w:p>
    <w:p>
      <w:pPr>
        <w:ind w:left="320" w:right="1020" w:hanging="255"/>
        <w:spacing w:after="0" w:line="281" w:lineRule="auto"/>
        <w:tabs>
          <w:tab w:leader="none" w:pos="297" w:val="left"/>
        </w:tabs>
        <w:numPr>
          <w:ilvl w:val="0"/>
          <w:numId w:val="46"/>
        </w:numPr>
        <w:rPr>
          <w:rFonts w:ascii="Times New Roman" w:cs="Times New Roman" w:eastAsia="Times New Roman" w:hAnsi="Times New Roman"/>
          <w:sz w:val="17"/>
          <w:szCs w:val="17"/>
          <w:color w:val="00A0E0"/>
        </w:rPr>
      </w:pPr>
      <w:r>
        <w:rPr>
          <w:rFonts w:ascii="Arial" w:cs="Arial" w:eastAsia="Arial" w:hAnsi="Arial"/>
          <w:sz w:val="18"/>
          <w:szCs w:val="18"/>
          <w:color w:val="auto"/>
        </w:rPr>
        <w:t>Nonemployee director compensation</w:t>
      </w:r>
    </w:p>
    <w:p>
      <w:pPr>
        <w:spacing w:after="0" w:line="1" w:lineRule="exact"/>
        <w:rPr>
          <w:rFonts w:ascii="Times New Roman" w:cs="Times New Roman" w:eastAsia="Times New Roman" w:hAnsi="Times New Roman"/>
          <w:sz w:val="17"/>
          <w:szCs w:val="17"/>
          <w:color w:val="00A0E0"/>
        </w:rPr>
      </w:pPr>
    </w:p>
    <w:p>
      <w:pPr>
        <w:ind w:left="320" w:right="480" w:hanging="255"/>
        <w:spacing w:after="0" w:line="247" w:lineRule="auto"/>
        <w:tabs>
          <w:tab w:leader="none" w:pos="297" w:val="left"/>
        </w:tabs>
        <w:numPr>
          <w:ilvl w:val="0"/>
          <w:numId w:val="46"/>
        </w:numPr>
        <w:rPr>
          <w:rFonts w:ascii="Times New Roman" w:cs="Times New Roman" w:eastAsia="Times New Roman" w:hAnsi="Times New Roman"/>
          <w:sz w:val="17"/>
          <w:szCs w:val="17"/>
          <w:color w:val="00A0E0"/>
        </w:rPr>
      </w:pPr>
      <w:r>
        <w:rPr>
          <w:rFonts w:ascii="Arial" w:cs="Arial" w:eastAsia="Arial" w:hAnsi="Arial"/>
          <w:sz w:val="18"/>
          <w:szCs w:val="18"/>
          <w:color w:val="auto"/>
        </w:rPr>
        <w:t>Human capital management, including talent recruitment, development and retention, employee engagement and workforce composition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Oversight of:</w:t>
      </w:r>
    </w:p>
    <w:p>
      <w:pPr>
        <w:spacing w:after="0" w:line="63" w:lineRule="exact"/>
        <w:rPr>
          <w:sz w:val="20"/>
          <w:szCs w:val="20"/>
          <w:color w:val="auto"/>
        </w:rPr>
      </w:pPr>
    </w:p>
    <w:p>
      <w:pPr>
        <w:ind w:left="320" w:hanging="248"/>
        <w:spacing w:after="0"/>
        <w:tabs>
          <w:tab w:leader="none" w:pos="320" w:val="left"/>
        </w:tabs>
        <w:numPr>
          <w:ilvl w:val="0"/>
          <w:numId w:val="47"/>
        </w:numPr>
        <w:rPr>
          <w:rFonts w:ascii="Times New Roman" w:cs="Times New Roman" w:eastAsia="Times New Roman" w:hAnsi="Times New Roman"/>
          <w:sz w:val="17"/>
          <w:szCs w:val="17"/>
          <w:color w:val="00A0E0"/>
        </w:rPr>
      </w:pPr>
      <w:r>
        <w:rPr>
          <w:rFonts w:ascii="Arial" w:cs="Arial" w:eastAsia="Arial" w:hAnsi="Arial"/>
          <w:sz w:val="18"/>
          <w:szCs w:val="18"/>
          <w:color w:val="auto"/>
        </w:rPr>
        <w:t>Corporate governance</w:t>
      </w:r>
    </w:p>
    <w:p>
      <w:pPr>
        <w:spacing w:after="0" w:line="90" w:lineRule="exact"/>
        <w:rPr>
          <w:rFonts w:ascii="Times New Roman" w:cs="Times New Roman" w:eastAsia="Times New Roman" w:hAnsi="Times New Roman"/>
          <w:sz w:val="17"/>
          <w:szCs w:val="17"/>
          <w:color w:val="00A0E0"/>
        </w:rPr>
      </w:pPr>
    </w:p>
    <w:p>
      <w:pPr>
        <w:ind w:left="340" w:right="480" w:hanging="268"/>
        <w:spacing w:after="0" w:line="298" w:lineRule="auto"/>
        <w:tabs>
          <w:tab w:leader="none" w:pos="317" w:val="left"/>
        </w:tabs>
        <w:numPr>
          <w:ilvl w:val="0"/>
          <w:numId w:val="47"/>
        </w:numPr>
        <w:rPr>
          <w:rFonts w:ascii="Times New Roman" w:cs="Times New Roman" w:eastAsia="Times New Roman" w:hAnsi="Times New Roman"/>
          <w:sz w:val="16"/>
          <w:szCs w:val="16"/>
          <w:color w:val="00A0E0"/>
        </w:rPr>
      </w:pPr>
      <w:r>
        <w:rPr>
          <w:rFonts w:ascii="Arial" w:cs="Arial" w:eastAsia="Arial" w:hAnsi="Arial"/>
          <w:sz w:val="17"/>
          <w:szCs w:val="17"/>
          <w:color w:val="auto"/>
        </w:rPr>
        <w:t>Compliance, legal and regulatory matters, including privacy</w:t>
      </w:r>
    </w:p>
    <w:p>
      <w:pPr>
        <w:ind w:left="340" w:right="640" w:hanging="268"/>
        <w:spacing w:after="0" w:line="281" w:lineRule="auto"/>
        <w:tabs>
          <w:tab w:leader="none" w:pos="317" w:val="left"/>
        </w:tabs>
        <w:numPr>
          <w:ilvl w:val="0"/>
          <w:numId w:val="47"/>
        </w:numPr>
        <w:rPr>
          <w:rFonts w:ascii="Times New Roman" w:cs="Times New Roman" w:eastAsia="Times New Roman" w:hAnsi="Times New Roman"/>
          <w:sz w:val="17"/>
          <w:szCs w:val="17"/>
          <w:color w:val="00A0E0"/>
        </w:rPr>
      </w:pPr>
      <w:r>
        <w:rPr>
          <w:rFonts w:ascii="Arial" w:cs="Arial" w:eastAsia="Arial" w:hAnsi="Arial"/>
          <w:sz w:val="18"/>
          <w:szCs w:val="18"/>
          <w:color w:val="auto"/>
        </w:rPr>
        <w:t>Harassment and discrimination matters</w:t>
      </w:r>
    </w:p>
    <w:p>
      <w:pPr>
        <w:spacing w:after="0" w:line="1" w:lineRule="exact"/>
        <w:rPr>
          <w:rFonts w:ascii="Times New Roman" w:cs="Times New Roman" w:eastAsia="Times New Roman" w:hAnsi="Times New Roman"/>
          <w:sz w:val="17"/>
          <w:szCs w:val="17"/>
          <w:color w:val="00A0E0"/>
        </w:rPr>
      </w:pPr>
    </w:p>
    <w:p>
      <w:pPr>
        <w:ind w:left="320" w:hanging="248"/>
        <w:spacing w:after="0"/>
        <w:tabs>
          <w:tab w:leader="none" w:pos="320" w:val="left"/>
        </w:tabs>
        <w:numPr>
          <w:ilvl w:val="0"/>
          <w:numId w:val="47"/>
        </w:numPr>
        <w:rPr>
          <w:rFonts w:ascii="Times New Roman" w:cs="Times New Roman" w:eastAsia="Times New Roman" w:hAnsi="Times New Roman"/>
          <w:sz w:val="17"/>
          <w:szCs w:val="17"/>
          <w:color w:val="00A0E0"/>
        </w:rPr>
      </w:pPr>
      <w:r>
        <w:rPr>
          <w:rFonts w:ascii="Arial" w:cs="Arial" w:eastAsia="Arial" w:hAnsi="Arial"/>
          <w:sz w:val="18"/>
          <w:szCs w:val="18"/>
          <w:color w:val="auto"/>
        </w:rPr>
        <w:t>DE&amp;I matters</w:t>
      </w:r>
    </w:p>
    <w:p>
      <w:pPr>
        <w:spacing w:after="0" w:line="90" w:lineRule="exact"/>
        <w:rPr>
          <w:rFonts w:ascii="Times New Roman" w:cs="Times New Roman" w:eastAsia="Times New Roman" w:hAnsi="Times New Roman"/>
          <w:sz w:val="17"/>
          <w:szCs w:val="17"/>
          <w:color w:val="00A0E0"/>
        </w:rPr>
      </w:pPr>
    </w:p>
    <w:p>
      <w:pPr>
        <w:ind w:left="320" w:hanging="248"/>
        <w:spacing w:after="0"/>
        <w:tabs>
          <w:tab w:leader="none" w:pos="320" w:val="left"/>
        </w:tabs>
        <w:numPr>
          <w:ilvl w:val="0"/>
          <w:numId w:val="47"/>
        </w:numPr>
        <w:rPr>
          <w:rFonts w:ascii="Times New Roman" w:cs="Times New Roman" w:eastAsia="Times New Roman" w:hAnsi="Times New Roman"/>
          <w:sz w:val="17"/>
          <w:szCs w:val="17"/>
          <w:color w:val="00A0E0"/>
        </w:rPr>
      </w:pPr>
      <w:r>
        <w:rPr>
          <w:rFonts w:ascii="Arial" w:cs="Arial" w:eastAsia="Arial" w:hAnsi="Arial"/>
          <w:sz w:val="18"/>
          <w:szCs w:val="18"/>
          <w:color w:val="auto"/>
        </w:rPr>
        <w:t>Political and lobbying activities</w:t>
      </w:r>
    </w:p>
    <w:p>
      <w:pPr>
        <w:spacing w:after="0" w:line="76" w:lineRule="exact"/>
        <w:rPr>
          <w:rFonts w:ascii="Times New Roman" w:cs="Times New Roman" w:eastAsia="Times New Roman" w:hAnsi="Times New Roman"/>
          <w:sz w:val="17"/>
          <w:szCs w:val="17"/>
          <w:color w:val="00A0E0"/>
        </w:rPr>
      </w:pPr>
    </w:p>
    <w:p>
      <w:pPr>
        <w:ind w:left="340" w:right="260" w:hanging="268"/>
        <w:spacing w:after="0" w:line="252" w:lineRule="auto"/>
        <w:tabs>
          <w:tab w:leader="none" w:pos="317" w:val="left"/>
        </w:tabs>
        <w:numPr>
          <w:ilvl w:val="0"/>
          <w:numId w:val="47"/>
        </w:numPr>
        <w:rPr>
          <w:rFonts w:ascii="Times New Roman" w:cs="Times New Roman" w:eastAsia="Times New Roman" w:hAnsi="Times New Roman"/>
          <w:sz w:val="17"/>
          <w:szCs w:val="17"/>
          <w:color w:val="00A0E0"/>
        </w:rPr>
      </w:pPr>
      <w:r>
        <w:rPr>
          <w:rFonts w:ascii="Arial" w:cs="Arial" w:eastAsia="Arial" w:hAnsi="Arial"/>
          <w:sz w:val="18"/>
          <w:szCs w:val="18"/>
          <w:color w:val="auto"/>
        </w:rPr>
        <w:t>Annual corporate responsibility reporting, which includes significant environmental and social issues, risks and trends</w:t>
      </w:r>
    </w:p>
    <w:p>
      <w:pPr>
        <w:spacing w:after="0" w:line="200" w:lineRule="exact"/>
        <w:rPr>
          <w:sz w:val="20"/>
          <w:szCs w:val="20"/>
          <w:color w:val="auto"/>
        </w:rPr>
      </w:pPr>
    </w:p>
    <w:p>
      <w:pPr>
        <w:sectPr>
          <w:pgSz w:w="11900" w:h="16838" w:orient="portrait"/>
          <w:cols w:equalWidth="0" w:num="3">
            <w:col w:w="3300" w:space="720"/>
            <w:col w:w="3080" w:space="720"/>
            <w:col w:w="3420"/>
          </w:cols>
          <w:pgMar w:left="320" w:top="121" w:right="339" w:bottom="1440" w:gutter="0" w:footer="0" w:header="0"/>
          <w:type w:val="continuous"/>
        </w:sectPr>
      </w:pPr>
    </w:p>
    <w:p>
      <w:pPr>
        <w:spacing w:after="0" w:line="63"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Corporate Governance Practices, Policies and Processes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color w:val="auto"/>
        </w:rPr>
        <w:t>Corporate Governance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more detail elsewhere in this proxy statement, below are highlights of our corporate governance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5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FFFFFF"/>
        </w:rPr>
        <w:t>Board Independence/Composition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830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146" w:lineRule="exact"/>
        <w:rPr>
          <w:sz w:val="20"/>
          <w:szCs w:val="20"/>
          <w:color w:val="auto"/>
        </w:rPr>
      </w:pPr>
    </w:p>
    <w:p>
      <w:pPr>
        <w:ind w:left="440" w:hanging="243"/>
        <w:spacing w:after="0"/>
        <w:tabs>
          <w:tab w:leader="none" w:pos="440" w:val="left"/>
        </w:tabs>
        <w:numPr>
          <w:ilvl w:val="0"/>
          <w:numId w:val="48"/>
        </w:numPr>
        <w:rPr>
          <w:rFonts w:ascii="Times New Roman" w:cs="Times New Roman" w:eastAsia="Times New Roman" w:hAnsi="Times New Roman"/>
          <w:sz w:val="17"/>
          <w:szCs w:val="17"/>
          <w:color w:val="00A0E0"/>
        </w:rPr>
      </w:pPr>
      <w:r>
        <w:rPr>
          <w:rFonts w:ascii="Arial" w:cs="Arial" w:eastAsia="Arial" w:hAnsi="Arial"/>
          <w:sz w:val="18"/>
          <w:szCs w:val="18"/>
          <w:color w:val="auto"/>
        </w:rPr>
        <w:t>Strong Lead Independent Director, with defined role and responsibilities</w:t>
      </w:r>
    </w:p>
    <w:p>
      <w:pPr>
        <w:spacing w:after="0" w:line="76"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8"/>
        </w:numPr>
        <w:rPr>
          <w:rFonts w:ascii="Times New Roman" w:cs="Times New Roman" w:eastAsia="Times New Roman" w:hAnsi="Times New Roman"/>
          <w:sz w:val="17"/>
          <w:szCs w:val="17"/>
          <w:color w:val="00A0E0"/>
        </w:rPr>
      </w:pPr>
      <w:r>
        <w:rPr>
          <w:rFonts w:ascii="Arial" w:cs="Arial" w:eastAsia="Arial" w:hAnsi="Arial"/>
          <w:sz w:val="18"/>
          <w:szCs w:val="18"/>
          <w:color w:val="auto"/>
        </w:rPr>
        <w:t>All but one of our director nominees are independent</w:t>
      </w:r>
    </w:p>
    <w:p>
      <w:pPr>
        <w:spacing w:after="0" w:line="90"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8"/>
        </w:numPr>
        <w:rPr>
          <w:rFonts w:ascii="Times New Roman" w:cs="Times New Roman" w:eastAsia="Times New Roman" w:hAnsi="Times New Roman"/>
          <w:sz w:val="17"/>
          <w:szCs w:val="17"/>
          <w:color w:val="00A0E0"/>
        </w:rPr>
      </w:pPr>
      <w:r>
        <w:rPr>
          <w:rFonts w:ascii="Arial" w:cs="Arial" w:eastAsia="Arial" w:hAnsi="Arial"/>
          <w:sz w:val="18"/>
          <w:szCs w:val="18"/>
          <w:color w:val="auto"/>
        </w:rPr>
        <w:t>Director tenure considered in annual Board director independence determinations</w:t>
      </w:r>
    </w:p>
    <w:p>
      <w:pPr>
        <w:spacing w:after="0" w:line="76"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8"/>
        </w:numPr>
        <w:rPr>
          <w:rFonts w:ascii="Times New Roman" w:cs="Times New Roman" w:eastAsia="Times New Roman" w:hAnsi="Times New Roman"/>
          <w:sz w:val="17"/>
          <w:szCs w:val="17"/>
          <w:color w:val="00A0E0"/>
        </w:rPr>
      </w:pPr>
      <w:r>
        <w:rPr>
          <w:rFonts w:ascii="Arial" w:cs="Arial" w:eastAsia="Arial" w:hAnsi="Arial"/>
          <w:sz w:val="18"/>
          <w:szCs w:val="18"/>
          <w:color w:val="auto"/>
        </w:rPr>
        <w:t>All members of Board committees are independent</w:t>
      </w:r>
    </w:p>
    <w:p>
      <w:pPr>
        <w:spacing w:after="0" w:line="76"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8"/>
        </w:numPr>
        <w:rPr>
          <w:rFonts w:ascii="Times New Roman" w:cs="Times New Roman" w:eastAsia="Times New Roman" w:hAnsi="Times New Roman"/>
          <w:sz w:val="17"/>
          <w:szCs w:val="17"/>
          <w:color w:val="00A0E0"/>
        </w:rPr>
      </w:pPr>
      <w:r>
        <w:rPr>
          <w:rFonts w:ascii="Arial" w:cs="Arial" w:eastAsia="Arial" w:hAnsi="Arial"/>
          <w:sz w:val="18"/>
          <w:szCs w:val="18"/>
          <w:color w:val="auto"/>
        </w:rPr>
        <w:t>Opportunity for executive sessions at every Board and committee meeting</w:t>
      </w:r>
    </w:p>
    <w:p>
      <w:pPr>
        <w:spacing w:after="0" w:line="90"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8"/>
        </w:numPr>
        <w:rPr>
          <w:rFonts w:ascii="Times New Roman" w:cs="Times New Roman" w:eastAsia="Times New Roman" w:hAnsi="Times New Roman"/>
          <w:sz w:val="17"/>
          <w:szCs w:val="17"/>
          <w:color w:val="00A0E0"/>
        </w:rPr>
      </w:pPr>
      <w:r>
        <w:rPr>
          <w:rFonts w:ascii="Arial" w:cs="Arial" w:eastAsia="Arial" w:hAnsi="Arial"/>
          <w:sz w:val="18"/>
          <w:szCs w:val="18"/>
          <w:color w:val="auto"/>
        </w:rPr>
        <w:t>60% of director nominees are diverse by gender or race</w:t>
      </w:r>
    </w:p>
    <w:p>
      <w:pPr>
        <w:spacing w:after="0" w:line="76" w:lineRule="exact"/>
        <w:rPr>
          <w:rFonts w:ascii="Times New Roman" w:cs="Times New Roman" w:eastAsia="Times New Roman" w:hAnsi="Times New Roman"/>
          <w:sz w:val="17"/>
          <w:szCs w:val="17"/>
          <w:color w:val="00A0E0"/>
        </w:rPr>
      </w:pPr>
    </w:p>
    <w:p>
      <w:pPr>
        <w:ind w:left="460"/>
        <w:spacing w:after="0"/>
        <w:rPr>
          <w:rFonts w:ascii="Times New Roman" w:cs="Times New Roman" w:eastAsia="Times New Roman" w:hAnsi="Times New Roman"/>
          <w:sz w:val="17"/>
          <w:szCs w:val="17"/>
          <w:color w:val="00A0E0"/>
        </w:rPr>
      </w:pPr>
      <w:r>
        <w:rPr>
          <w:rFonts w:ascii="Times New Roman" w:cs="Times New Roman" w:eastAsia="Times New Roman" w:hAnsi="Times New Roman"/>
          <w:sz w:val="17"/>
          <w:szCs w:val="17"/>
          <w:color w:val="00A0E0"/>
        </w:rPr>
        <w:t xml:space="preserve">— </w:t>
      </w:r>
      <w:r>
        <w:rPr>
          <w:rFonts w:ascii="Arial" w:cs="Arial" w:eastAsia="Arial" w:hAnsi="Arial"/>
          <w:sz w:val="17"/>
          <w:szCs w:val="17"/>
          <w:color w:val="000000"/>
        </w:rPr>
        <w:t>40% racial/ethnic diversity</w:t>
      </w:r>
    </w:p>
    <w:p>
      <w:pPr>
        <w:spacing w:after="0" w:line="87" w:lineRule="exact"/>
        <w:rPr>
          <w:rFonts w:ascii="Times New Roman" w:cs="Times New Roman" w:eastAsia="Times New Roman" w:hAnsi="Times New Roman"/>
          <w:sz w:val="17"/>
          <w:szCs w:val="17"/>
          <w:color w:val="00A0E0"/>
        </w:rPr>
      </w:pPr>
    </w:p>
    <w:p>
      <w:pPr>
        <w:ind w:left="460"/>
        <w:spacing w:after="0"/>
        <w:rPr>
          <w:rFonts w:ascii="Times New Roman" w:cs="Times New Roman" w:eastAsia="Times New Roman" w:hAnsi="Times New Roman"/>
          <w:sz w:val="17"/>
          <w:szCs w:val="17"/>
          <w:color w:val="00A0E0"/>
        </w:rPr>
      </w:pPr>
      <w:r>
        <w:rPr>
          <w:rFonts w:ascii="Times New Roman" w:cs="Times New Roman" w:eastAsia="Times New Roman" w:hAnsi="Times New Roman"/>
          <w:sz w:val="17"/>
          <w:szCs w:val="17"/>
          <w:color w:val="00A0E0"/>
        </w:rPr>
        <w:t xml:space="preserve">— </w:t>
      </w:r>
      <w:r>
        <w:rPr>
          <w:rFonts w:ascii="Arial" w:cs="Arial" w:eastAsia="Arial" w:hAnsi="Arial"/>
          <w:sz w:val="17"/>
          <w:szCs w:val="17"/>
          <w:color w:val="000000"/>
        </w:rPr>
        <w:t>30% female</w:t>
      </w:r>
    </w:p>
    <w:p>
      <w:pPr>
        <w:spacing w:after="0" w:line="100"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8"/>
        </w:numPr>
        <w:rPr>
          <w:rFonts w:ascii="Times New Roman" w:cs="Times New Roman" w:eastAsia="Times New Roman" w:hAnsi="Times New Roman"/>
          <w:sz w:val="17"/>
          <w:szCs w:val="17"/>
          <w:color w:val="00A0E0"/>
        </w:rPr>
      </w:pPr>
      <w:r>
        <w:rPr>
          <w:rFonts w:ascii="Arial" w:cs="Arial" w:eastAsia="Arial" w:hAnsi="Arial"/>
          <w:sz w:val="18"/>
          <w:szCs w:val="18"/>
          <w:color w:val="auto"/>
        </w:rPr>
        <w:t>CHC Committee directly retains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222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FFFFFF"/>
        </w:rPr>
        <w:t>Board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661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66140"/>
                    </a:xfrm>
                    <a:prstGeom prst="rect">
                      <a:avLst/>
                    </a:prstGeom>
                    <a:noFill/>
                  </pic:spPr>
                </pic:pic>
              </a:graphicData>
            </a:graphic>
          </wp:anchor>
        </w:drawing>
      </w:r>
    </w:p>
    <w:p>
      <w:pPr>
        <w:spacing w:after="0" w:line="146" w:lineRule="exact"/>
        <w:rPr>
          <w:sz w:val="20"/>
          <w:szCs w:val="20"/>
          <w:color w:val="auto"/>
        </w:rPr>
      </w:pPr>
    </w:p>
    <w:p>
      <w:pPr>
        <w:ind w:left="440" w:hanging="243"/>
        <w:spacing w:after="0"/>
        <w:tabs>
          <w:tab w:leader="none" w:pos="440" w:val="left"/>
        </w:tabs>
        <w:numPr>
          <w:ilvl w:val="0"/>
          <w:numId w:val="49"/>
        </w:numPr>
        <w:rPr>
          <w:rFonts w:ascii="Times New Roman" w:cs="Times New Roman" w:eastAsia="Times New Roman" w:hAnsi="Times New Roman"/>
          <w:sz w:val="17"/>
          <w:szCs w:val="17"/>
          <w:color w:val="00A0E0"/>
        </w:rPr>
      </w:pPr>
      <w:r>
        <w:rPr>
          <w:rFonts w:ascii="Arial" w:cs="Arial" w:eastAsia="Arial" w:hAnsi="Arial"/>
          <w:sz w:val="18"/>
          <w:szCs w:val="18"/>
          <w:color w:val="auto"/>
        </w:rPr>
        <w:t>Annual Board and committee evaluations</w:t>
      </w:r>
    </w:p>
    <w:p>
      <w:pPr>
        <w:spacing w:after="0" w:line="76"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9"/>
        </w:numPr>
        <w:rPr>
          <w:rFonts w:ascii="Times New Roman" w:cs="Times New Roman" w:eastAsia="Times New Roman" w:hAnsi="Times New Roman"/>
          <w:sz w:val="17"/>
          <w:szCs w:val="17"/>
          <w:color w:val="00A0E0"/>
        </w:rPr>
      </w:pPr>
      <w:r>
        <w:rPr>
          <w:rFonts w:ascii="Arial" w:cs="Arial" w:eastAsia="Arial" w:hAnsi="Arial"/>
          <w:sz w:val="18"/>
          <w:szCs w:val="18"/>
          <w:color w:val="auto"/>
        </w:rPr>
        <w:t>Board/committee oversight of strategy, significant company risks and corporate responsibility matters</w:t>
      </w:r>
    </w:p>
    <w:p>
      <w:pPr>
        <w:spacing w:after="0" w:line="90"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9"/>
        </w:numPr>
        <w:rPr>
          <w:rFonts w:ascii="Times New Roman" w:cs="Times New Roman" w:eastAsia="Times New Roman" w:hAnsi="Times New Roman"/>
          <w:sz w:val="17"/>
          <w:szCs w:val="17"/>
          <w:color w:val="00A0E0"/>
        </w:rPr>
      </w:pPr>
      <w:r>
        <w:rPr>
          <w:rFonts w:ascii="Arial" w:cs="Arial" w:eastAsia="Arial" w:hAnsi="Arial"/>
          <w:sz w:val="18"/>
          <w:szCs w:val="18"/>
          <w:color w:val="auto"/>
        </w:rPr>
        <w:t>Annual Board and CHC Committee discussion of succession planning for CEO and senior executives</w:t>
      </w:r>
    </w:p>
    <w:p>
      <w:pPr>
        <w:spacing w:after="0" w:line="76"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49"/>
        </w:numPr>
        <w:rPr>
          <w:rFonts w:ascii="Times New Roman" w:cs="Times New Roman" w:eastAsia="Times New Roman" w:hAnsi="Times New Roman"/>
          <w:sz w:val="17"/>
          <w:szCs w:val="17"/>
          <w:color w:val="00A0E0"/>
        </w:rPr>
      </w:pPr>
      <w:r>
        <w:rPr>
          <w:rFonts w:ascii="Arial" w:cs="Arial" w:eastAsia="Arial" w:hAnsi="Arial"/>
          <w:sz w:val="18"/>
          <w:szCs w:val="18"/>
          <w:color w:val="auto"/>
        </w:rPr>
        <w:t>Director education on key company topics and issues, including as requested by independent directors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60" w:type="dxa"/>
            <w:vAlign w:val="bottom"/>
          </w:tcPr>
          <w:p>
            <w:pPr>
              <w:ind w:left="948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22</w:t>
            </w:r>
          </w:p>
        </w:tc>
      </w:tr>
      <w:tr>
        <w:trPr>
          <w:trHeight w:val="362"/>
        </w:trPr>
        <w:tc>
          <w:tcPr>
            <w:tcW w:w="10960" w:type="dxa"/>
            <w:vAlign w:val="bottom"/>
            <w:tcBorders>
              <w:bottom w:val="single" w:sz="8" w:color="A1A1A1"/>
            </w:tcBorders>
          </w:tcPr>
          <w:p>
            <w:pPr>
              <w:spacing w:after="0"/>
              <w:rPr>
                <w:sz w:val="24"/>
                <w:szCs w:val="24"/>
                <w:color w:val="auto"/>
              </w:rPr>
            </w:pPr>
          </w:p>
        </w:tc>
        <w:tc>
          <w:tcPr>
            <w:tcW w:w="28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5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830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146" w:lineRule="exact"/>
        <w:rPr>
          <w:sz w:val="20"/>
          <w:szCs w:val="20"/>
          <w:color w:val="auto"/>
        </w:rPr>
      </w:pPr>
    </w:p>
    <w:p>
      <w:pPr>
        <w:ind w:left="440" w:hanging="243"/>
        <w:spacing w:after="0"/>
        <w:tabs>
          <w:tab w:leader="none" w:pos="440" w:val="left"/>
        </w:tabs>
        <w:numPr>
          <w:ilvl w:val="0"/>
          <w:numId w:val="50"/>
        </w:numPr>
        <w:rPr>
          <w:rFonts w:ascii="Times New Roman" w:cs="Times New Roman" w:eastAsia="Times New Roman" w:hAnsi="Times New Roman"/>
          <w:sz w:val="17"/>
          <w:szCs w:val="17"/>
          <w:color w:val="00A0E0"/>
        </w:rPr>
      </w:pPr>
      <w:r>
        <w:rPr>
          <w:rFonts w:ascii="Arial" w:cs="Arial" w:eastAsia="Arial" w:hAnsi="Arial"/>
          <w:sz w:val="18"/>
          <w:szCs w:val="18"/>
          <w:color w:val="auto"/>
        </w:rPr>
        <w:t>3 new independent directors since March 2023</w:t>
      </w:r>
    </w:p>
    <w:p>
      <w:pPr>
        <w:spacing w:after="0" w:line="76"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50"/>
        </w:numPr>
        <w:rPr>
          <w:rFonts w:ascii="Times New Roman" w:cs="Times New Roman" w:eastAsia="Times New Roman" w:hAnsi="Times New Roman"/>
          <w:sz w:val="17"/>
          <w:szCs w:val="17"/>
          <w:color w:val="00A0E0"/>
        </w:rPr>
      </w:pPr>
      <w:r>
        <w:rPr>
          <w:rFonts w:ascii="Arial" w:cs="Arial" w:eastAsia="Arial" w:hAnsi="Arial"/>
          <w:sz w:val="18"/>
          <w:szCs w:val="18"/>
          <w:color w:val="auto"/>
        </w:rPr>
        <w:t>Average tenure of independent director nominees is 8.4 years</w:t>
      </w:r>
    </w:p>
    <w:p>
      <w:pPr>
        <w:spacing w:after="0" w:line="90"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50"/>
        </w:numPr>
        <w:rPr>
          <w:rFonts w:ascii="Times New Roman" w:cs="Times New Roman" w:eastAsia="Times New Roman" w:hAnsi="Times New Roman"/>
          <w:sz w:val="17"/>
          <w:szCs w:val="17"/>
          <w:color w:val="00A0E0"/>
        </w:rPr>
      </w:pPr>
      <w:r>
        <w:rPr>
          <w:rFonts w:ascii="Arial" w:cs="Arial" w:eastAsia="Arial" w:hAnsi="Arial"/>
          <w:sz w:val="18"/>
          <w:szCs w:val="18"/>
          <w:color w:val="auto"/>
        </w:rPr>
        <w:t>Independent director retirement policy at age 72</w:t>
      </w:r>
    </w:p>
    <w:p>
      <w:pPr>
        <w:spacing w:after="0" w:line="76"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50"/>
        </w:numPr>
        <w:rPr>
          <w:rFonts w:ascii="Times New Roman" w:cs="Times New Roman" w:eastAsia="Times New Roman" w:hAnsi="Times New Roman"/>
          <w:sz w:val="17"/>
          <w:szCs w:val="17"/>
          <w:color w:val="00A0E0"/>
        </w:rPr>
      </w:pPr>
      <w:r>
        <w:rPr>
          <w:rFonts w:ascii="Arial" w:cs="Arial" w:eastAsia="Arial" w:hAnsi="Arial"/>
          <w:sz w:val="18"/>
          <w:szCs w:val="18"/>
          <w:color w:val="auto"/>
        </w:rPr>
        <w:t>Director “overboarding” policy</w:t>
      </w:r>
    </w:p>
    <w:p>
      <w:pPr>
        <w:spacing w:after="0" w:line="76"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50"/>
        </w:numPr>
        <w:rPr>
          <w:rFonts w:ascii="Times New Roman" w:cs="Times New Roman" w:eastAsia="Times New Roman" w:hAnsi="Times New Roman"/>
          <w:sz w:val="17"/>
          <w:szCs w:val="17"/>
          <w:color w:val="00A0E0"/>
        </w:rPr>
      </w:pPr>
      <w:r>
        <w:rPr>
          <w:rFonts w:ascii="Arial" w:cs="Arial" w:eastAsia="Arial" w:hAnsi="Arial"/>
          <w:sz w:val="18"/>
          <w:szCs w:val="18"/>
          <w:color w:val="auto"/>
        </w:rPr>
        <w:t>Robust shareholder engagement program</w:t>
      </w:r>
    </w:p>
    <w:p>
      <w:pPr>
        <w:spacing w:after="0" w:line="90"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50"/>
        </w:numPr>
        <w:rPr>
          <w:rFonts w:ascii="Times New Roman" w:cs="Times New Roman" w:eastAsia="Times New Roman" w:hAnsi="Times New Roman"/>
          <w:sz w:val="17"/>
          <w:szCs w:val="17"/>
          <w:color w:val="00A0E0"/>
        </w:rPr>
      </w:pPr>
      <w:r>
        <w:rPr>
          <w:rFonts w:ascii="Arial" w:cs="Arial" w:eastAsia="Arial" w:hAnsi="Arial"/>
          <w:sz w:val="18"/>
          <w:szCs w:val="18"/>
          <w:color w:val="auto"/>
        </w:rPr>
        <w:t>Annual director elections</w:t>
      </w:r>
    </w:p>
    <w:p>
      <w:pPr>
        <w:spacing w:after="0" w:line="76"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50"/>
        </w:numPr>
        <w:rPr>
          <w:rFonts w:ascii="Times New Roman" w:cs="Times New Roman" w:eastAsia="Times New Roman" w:hAnsi="Times New Roman"/>
          <w:sz w:val="17"/>
          <w:szCs w:val="17"/>
          <w:color w:val="00A0E0"/>
        </w:rPr>
      </w:pPr>
      <w:r>
        <w:rPr>
          <w:rFonts w:ascii="Arial" w:cs="Arial" w:eastAsia="Arial" w:hAnsi="Arial"/>
          <w:sz w:val="18"/>
          <w:szCs w:val="18"/>
          <w:color w:val="auto"/>
        </w:rPr>
        <w:t>Proxy access bylaw</w:t>
      </w:r>
    </w:p>
    <w:p>
      <w:pPr>
        <w:spacing w:after="0" w:line="76"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50"/>
        </w:numPr>
        <w:rPr>
          <w:rFonts w:ascii="Times New Roman" w:cs="Times New Roman" w:eastAsia="Times New Roman" w:hAnsi="Times New Roman"/>
          <w:sz w:val="17"/>
          <w:szCs w:val="17"/>
          <w:color w:val="00A0E0"/>
        </w:rPr>
      </w:pPr>
      <w:r>
        <w:rPr>
          <w:rFonts w:ascii="Arial" w:cs="Arial" w:eastAsia="Arial" w:hAnsi="Arial"/>
          <w:sz w:val="18"/>
          <w:szCs w:val="18"/>
          <w:color w:val="auto"/>
        </w:rPr>
        <w:t>Recoupment (“clawback”) policy for executive compensation</w:t>
      </w:r>
    </w:p>
    <w:p>
      <w:pPr>
        <w:spacing w:after="0" w:line="90"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50"/>
        </w:numPr>
        <w:rPr>
          <w:rFonts w:ascii="Times New Roman" w:cs="Times New Roman" w:eastAsia="Times New Roman" w:hAnsi="Times New Roman"/>
          <w:sz w:val="17"/>
          <w:szCs w:val="17"/>
          <w:color w:val="00A0E0"/>
        </w:rPr>
      </w:pPr>
      <w:r>
        <w:rPr>
          <w:rFonts w:ascii="Arial" w:cs="Arial" w:eastAsia="Arial" w:hAnsi="Arial"/>
          <w:sz w:val="18"/>
          <w:szCs w:val="18"/>
          <w:color w:val="auto"/>
        </w:rPr>
        <w:t>No automatic acceleration of vesting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FFFFFF"/>
        </w:rPr>
        <w:t>Stock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371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0"/>
                    </a:xfrm>
                    <a:prstGeom prst="rect">
                      <a:avLst/>
                    </a:prstGeom>
                    <a:noFill/>
                  </pic:spPr>
                </pic:pic>
              </a:graphicData>
            </a:graphic>
          </wp:anchor>
        </w:drawing>
      </w:r>
    </w:p>
    <w:p>
      <w:pPr>
        <w:spacing w:after="0" w:line="146" w:lineRule="exact"/>
        <w:rPr>
          <w:sz w:val="20"/>
          <w:szCs w:val="20"/>
          <w:color w:val="auto"/>
        </w:rPr>
      </w:pPr>
    </w:p>
    <w:p>
      <w:pPr>
        <w:ind w:left="440" w:hanging="243"/>
        <w:spacing w:after="0"/>
        <w:tabs>
          <w:tab w:leader="none" w:pos="440" w:val="left"/>
        </w:tabs>
        <w:numPr>
          <w:ilvl w:val="0"/>
          <w:numId w:val="51"/>
        </w:numPr>
        <w:rPr>
          <w:rFonts w:ascii="Times New Roman" w:cs="Times New Roman" w:eastAsia="Times New Roman" w:hAnsi="Times New Roman"/>
          <w:sz w:val="17"/>
          <w:szCs w:val="17"/>
          <w:color w:val="00A0E0"/>
        </w:rPr>
      </w:pPr>
      <w:r>
        <w:rPr>
          <w:rFonts w:ascii="Arial" w:cs="Arial" w:eastAsia="Arial" w:hAnsi="Arial"/>
          <w:sz w:val="18"/>
          <w:szCs w:val="18"/>
          <w:color w:val="auto"/>
        </w:rPr>
        <w:t>Robust stock ownership requirements for executive officers and nonemployee directors</w:t>
      </w:r>
    </w:p>
    <w:p>
      <w:pPr>
        <w:spacing w:after="0" w:line="76" w:lineRule="exact"/>
        <w:rPr>
          <w:rFonts w:ascii="Times New Roman" w:cs="Times New Roman" w:eastAsia="Times New Roman" w:hAnsi="Times New Roman"/>
          <w:sz w:val="17"/>
          <w:szCs w:val="17"/>
          <w:color w:val="00A0E0"/>
        </w:rPr>
      </w:pPr>
    </w:p>
    <w:p>
      <w:pPr>
        <w:ind w:left="460"/>
        <w:spacing w:after="0"/>
        <w:rPr>
          <w:rFonts w:ascii="Times New Roman" w:cs="Times New Roman" w:eastAsia="Times New Roman" w:hAnsi="Times New Roman"/>
          <w:sz w:val="17"/>
          <w:szCs w:val="17"/>
          <w:color w:val="00A0E0"/>
        </w:rPr>
      </w:pPr>
      <w:r>
        <w:rPr>
          <w:rFonts w:ascii="Times New Roman" w:cs="Times New Roman" w:eastAsia="Times New Roman" w:hAnsi="Times New Roman"/>
          <w:sz w:val="17"/>
          <w:szCs w:val="17"/>
          <w:color w:val="00A0E0"/>
        </w:rPr>
        <w:t xml:space="preserve">— </w:t>
      </w:r>
      <w:r>
        <w:rPr>
          <w:rFonts w:ascii="Arial" w:cs="Arial" w:eastAsia="Arial" w:hAnsi="Arial"/>
          <w:sz w:val="17"/>
          <w:szCs w:val="17"/>
          <w:color w:val="000000"/>
        </w:rPr>
        <w:t>CEO = 10x salary</w:t>
      </w:r>
    </w:p>
    <w:p>
      <w:pPr>
        <w:spacing w:after="0" w:line="100" w:lineRule="exact"/>
        <w:rPr>
          <w:rFonts w:ascii="Times New Roman" w:cs="Times New Roman" w:eastAsia="Times New Roman" w:hAnsi="Times New Roman"/>
          <w:sz w:val="17"/>
          <w:szCs w:val="17"/>
          <w:color w:val="00A0E0"/>
        </w:rPr>
      </w:pPr>
    </w:p>
    <w:p>
      <w:pPr>
        <w:ind w:left="460"/>
        <w:spacing w:after="0"/>
        <w:rPr>
          <w:rFonts w:ascii="Times New Roman" w:cs="Times New Roman" w:eastAsia="Times New Roman" w:hAnsi="Times New Roman"/>
          <w:sz w:val="17"/>
          <w:szCs w:val="17"/>
          <w:color w:val="00A0E0"/>
        </w:rPr>
      </w:pPr>
      <w:r>
        <w:rPr>
          <w:rFonts w:ascii="Times New Roman" w:cs="Times New Roman" w:eastAsia="Times New Roman" w:hAnsi="Times New Roman"/>
          <w:sz w:val="17"/>
          <w:szCs w:val="17"/>
          <w:color w:val="00A0E0"/>
        </w:rPr>
        <w:t xml:space="preserve">— </w:t>
      </w:r>
      <w:r>
        <w:rPr>
          <w:rFonts w:ascii="Arial" w:cs="Arial" w:eastAsia="Arial" w:hAnsi="Arial"/>
          <w:sz w:val="17"/>
          <w:szCs w:val="17"/>
          <w:color w:val="000000"/>
        </w:rPr>
        <w:t>President = 5x salary</w:t>
      </w:r>
    </w:p>
    <w:p>
      <w:pPr>
        <w:spacing w:after="0" w:line="87" w:lineRule="exact"/>
        <w:rPr>
          <w:rFonts w:ascii="Times New Roman" w:cs="Times New Roman" w:eastAsia="Times New Roman" w:hAnsi="Times New Roman"/>
          <w:sz w:val="17"/>
          <w:szCs w:val="17"/>
          <w:color w:val="00A0E0"/>
        </w:rPr>
      </w:pPr>
    </w:p>
    <w:p>
      <w:pPr>
        <w:ind w:left="460"/>
        <w:spacing w:after="0"/>
        <w:rPr>
          <w:rFonts w:ascii="Times New Roman" w:cs="Times New Roman" w:eastAsia="Times New Roman" w:hAnsi="Times New Roman"/>
          <w:sz w:val="17"/>
          <w:szCs w:val="17"/>
          <w:color w:val="00A0E0"/>
        </w:rPr>
      </w:pPr>
      <w:r>
        <w:rPr>
          <w:rFonts w:ascii="Times New Roman" w:cs="Times New Roman" w:eastAsia="Times New Roman" w:hAnsi="Times New Roman"/>
          <w:sz w:val="17"/>
          <w:szCs w:val="17"/>
          <w:color w:val="00A0E0"/>
        </w:rPr>
        <w:t xml:space="preserve">— </w:t>
      </w:r>
      <w:r>
        <w:rPr>
          <w:rFonts w:ascii="Arial" w:cs="Arial" w:eastAsia="Arial" w:hAnsi="Arial"/>
          <w:sz w:val="17"/>
          <w:szCs w:val="17"/>
          <w:color w:val="000000"/>
        </w:rPr>
        <w:t>Other executive officers = 3x salary</w:t>
      </w:r>
    </w:p>
    <w:p>
      <w:pPr>
        <w:spacing w:after="0" w:line="87" w:lineRule="exact"/>
        <w:rPr>
          <w:rFonts w:ascii="Times New Roman" w:cs="Times New Roman" w:eastAsia="Times New Roman" w:hAnsi="Times New Roman"/>
          <w:sz w:val="17"/>
          <w:szCs w:val="17"/>
          <w:color w:val="00A0E0"/>
        </w:rPr>
      </w:pPr>
    </w:p>
    <w:p>
      <w:pPr>
        <w:ind w:left="460"/>
        <w:spacing w:after="0"/>
        <w:rPr>
          <w:rFonts w:ascii="Times New Roman" w:cs="Times New Roman" w:eastAsia="Times New Roman" w:hAnsi="Times New Roman"/>
          <w:sz w:val="17"/>
          <w:szCs w:val="17"/>
          <w:color w:val="00A0E0"/>
        </w:rPr>
      </w:pPr>
      <w:r>
        <w:rPr>
          <w:rFonts w:ascii="Times New Roman" w:cs="Times New Roman" w:eastAsia="Times New Roman" w:hAnsi="Times New Roman"/>
          <w:sz w:val="17"/>
          <w:szCs w:val="17"/>
          <w:color w:val="00A0E0"/>
        </w:rPr>
        <w:t xml:space="preserve">— </w:t>
      </w:r>
      <w:r>
        <w:rPr>
          <w:rFonts w:ascii="Arial" w:cs="Arial" w:eastAsia="Arial" w:hAnsi="Arial"/>
          <w:sz w:val="17"/>
          <w:szCs w:val="17"/>
          <w:color w:val="000000"/>
        </w:rPr>
        <w:t>Nonemployee directors = 5x annual cash retainer</w:t>
      </w:r>
    </w:p>
    <w:p>
      <w:pPr>
        <w:spacing w:after="0" w:line="100"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51"/>
        </w:numPr>
        <w:rPr>
          <w:rFonts w:ascii="Times New Roman" w:cs="Times New Roman" w:eastAsia="Times New Roman" w:hAnsi="Times New Roman"/>
          <w:sz w:val="17"/>
          <w:szCs w:val="17"/>
          <w:color w:val="00A0E0"/>
        </w:rPr>
      </w:pPr>
      <w:r>
        <w:rPr>
          <w:rFonts w:ascii="Arial" w:cs="Arial" w:eastAsia="Arial" w:hAnsi="Arial"/>
          <w:sz w:val="18"/>
          <w:szCs w:val="18"/>
          <w:color w:val="auto"/>
        </w:rPr>
        <w:t>No dividend equivalents paid on unearned restricted stock units (“RSUs”) or on any stock options</w:t>
      </w:r>
    </w:p>
    <w:p>
      <w:pPr>
        <w:spacing w:after="0" w:line="76" w:lineRule="exact"/>
        <w:rPr>
          <w:rFonts w:ascii="Times New Roman" w:cs="Times New Roman" w:eastAsia="Times New Roman" w:hAnsi="Times New Roman"/>
          <w:sz w:val="17"/>
          <w:szCs w:val="17"/>
          <w:color w:val="00A0E0"/>
        </w:rPr>
      </w:pPr>
    </w:p>
    <w:p>
      <w:pPr>
        <w:ind w:left="440" w:hanging="243"/>
        <w:spacing w:after="0"/>
        <w:tabs>
          <w:tab w:leader="none" w:pos="440" w:val="left"/>
        </w:tabs>
        <w:numPr>
          <w:ilvl w:val="0"/>
          <w:numId w:val="51"/>
        </w:numPr>
        <w:rPr>
          <w:rFonts w:ascii="Times New Roman" w:cs="Times New Roman" w:eastAsia="Times New Roman" w:hAnsi="Times New Roman"/>
          <w:sz w:val="17"/>
          <w:szCs w:val="17"/>
          <w:color w:val="00A0E0"/>
        </w:rPr>
      </w:pPr>
      <w:r>
        <w:rPr>
          <w:rFonts w:ascii="Arial" w:cs="Arial" w:eastAsia="Arial" w:hAnsi="Arial"/>
          <w:sz w:val="18"/>
          <w:szCs w:val="18"/>
          <w:color w:val="auto"/>
        </w:rPr>
        <w:t>Prohibition on hedging and pledging Comcast stock</w:t>
      </w:r>
    </w:p>
    <w:p>
      <w:pPr>
        <w:spacing w:after="0" w:line="329" w:lineRule="exact"/>
        <w:rPr>
          <w:sz w:val="20"/>
          <w:szCs w:val="20"/>
          <w:color w:val="auto"/>
        </w:rPr>
      </w:pPr>
    </w:p>
    <w:p>
      <w:pPr>
        <w:spacing w:after="0"/>
        <w:rPr>
          <w:sz w:val="20"/>
          <w:szCs w:val="20"/>
          <w:color w:val="auto"/>
        </w:rPr>
      </w:pPr>
      <w:r>
        <w:rPr>
          <w:rFonts w:ascii="Arial" w:cs="Arial" w:eastAsia="Arial" w:hAnsi="Arial"/>
          <w:sz w:val="25"/>
          <w:szCs w:val="25"/>
          <w:color w:val="auto"/>
        </w:rPr>
        <w:t>Succession Planning</w:t>
      </w:r>
    </w:p>
    <w:p>
      <w:pPr>
        <w:spacing w:after="0" w:line="22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Ensuring that we have the appropriate senior management talent to successfully pursue our strategies is one of the Board’s primary responsibilities. To this end, the Board discusses succession planning for our CEO and the remainder of our senior executive management team in private sessions at most of its regularly scheduled meetings. To help fulfill the Board’s responsibility, our CHC Committee is required, pursuant to our corporate governance guidelines, to ensure that we have in place appropriate planning to address CEO succession both in the ordinary course of business and in emergency situations. Our CEO succession planning includes criteria that reflect our business strategies, such as identifying and developing internal candidates. Our corporate governance guidelines also require that our CHC Committee ensures that we have appropriate succession planning for the remainder of our senior executive management team, including our NEOs. Each year, our Board and CHC Committee formally discuss succession planning for our senior executive management team and their respective direct reports.</w:t>
      </w:r>
    </w:p>
    <w:p>
      <w:pPr>
        <w:spacing w:after="0" w:line="180" w:lineRule="exact"/>
        <w:rPr>
          <w:sz w:val="20"/>
          <w:szCs w:val="20"/>
          <w:color w:val="auto"/>
        </w:rPr>
      </w:pPr>
    </w:p>
    <w:p>
      <w:pPr>
        <w:spacing w:after="0"/>
        <w:rPr>
          <w:sz w:val="20"/>
          <w:szCs w:val="20"/>
          <w:color w:val="auto"/>
        </w:rPr>
      </w:pPr>
      <w:r>
        <w:rPr>
          <w:rFonts w:ascii="Arial" w:cs="Arial" w:eastAsia="Arial" w:hAnsi="Arial"/>
          <w:sz w:val="25"/>
          <w:szCs w:val="25"/>
          <w:color w:val="auto"/>
        </w:rPr>
        <w:t>Board and Committee Evaluations</w:t>
      </w:r>
    </w:p>
    <w:p>
      <w:pPr>
        <w:spacing w:after="0" w:line="22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Every year, our Board and each of its committees perform a self-assessment to evaluate their effectiveness. As part of these assessments, each director completes a detailed questionnaire for the Board and any committees on which he or she serves, addressing topics such as Board structure and composition, Board responsibilities, Board meetings and materials, Board and management interactions and ethics and compliance. The questionnaire seeks both quantitative-based responses and general comments. The GCR Committee reviews and approves the process and the questionnaires to be used, with outside counsel also reviewing the questionnaires. The results of the assessments are compiled anonymously and are reviewed and discussed with the Board and the GCR Committee (as it relates to both the Board and all committees), each committee (as it relates to such committee) and, as appropriate, individual directors. In addition to the formal evaluation process, directors provide feedback on the Board’s and its committees’ performance on an ongoing basis. The GCR Committee develops action plans for items that may require follow-up, and it also coordinates recommendations for key business and director educational topics for the following year’s Board and committee meeting agendas.</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color w:val="auto"/>
        </w:rPr>
        <w:t>Corporate Governance Guidelines and Code of Conduct</w:t>
      </w:r>
    </w:p>
    <w:p>
      <w:pPr>
        <w:spacing w:after="0" w:line="22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Our Board has adopted corporate governance guidelines that address items such as the standards, qualifications and responsibilities of our directors and director candidates and corporate governance policies and standards applicable to us in general. We also have a code of conduct that applies to all of our employees, including our executive officers, and our directors. Both the guidelines and the code of conduct applicable to our executive officers and directors are</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posted under “Corporate Governance” in the Investors section of our website at </w:t>
      </w:r>
      <w:r>
        <w:rPr>
          <w:rFonts w:ascii="Arial" w:cs="Arial" w:eastAsia="Arial" w:hAnsi="Arial"/>
          <w:sz w:val="18"/>
          <w:szCs w:val="18"/>
          <w:i w:val="1"/>
          <w:iCs w:val="1"/>
          <w:color w:val="auto"/>
        </w:rPr>
        <w:t>www.cmcsa.com</w:t>
      </w:r>
      <w:r>
        <w:rPr>
          <w:rFonts w:ascii="Arial" w:cs="Arial" w:eastAsia="Arial" w:hAnsi="Arial"/>
          <w:sz w:val="18"/>
          <w:szCs w:val="18"/>
          <w:color w:val="auto"/>
        </w:rPr>
        <w:t>. We will disclose under “Corporate Governance” in the Investors section of our website any amendments to, or any waivers under, the code of conduct that are required to be disclosed by SEC or Nasdaq rules.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color w:val="auto"/>
        </w:rPr>
        <w:t>Shareholder Engagement</w:t>
      </w:r>
    </w:p>
    <w:p>
      <w:pPr>
        <w:spacing w:after="0" w:line="22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have an active, broad-based and year-round investor relations outreach program to solicit input and to communicate with shareholders on a variety of topics. In addition to our regular investor relations program that reviews our business and strategy with buy-side investors and securities analysts, we engage with investors on various corporate governance, compensation, environmental and social topics. This dialogue provides an opportunity to discuss governance matters generally, including our directors’ skills and tenure, Board oversight roles and responsibilities, corporate responsibility initiatives and executive compensation.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key elements of our investor relations outreach program are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2828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828925"/>
                    </a:xfrm>
                    <a:prstGeom prst="rect">
                      <a:avLst/>
                    </a:prstGeom>
                    <a:noFill/>
                  </pic:spPr>
                </pic:pic>
              </a:graphicData>
            </a:graphic>
          </wp:anchor>
        </w:drawing>
      </w:r>
    </w:p>
    <w:p>
      <w:pPr>
        <w:spacing w:after="0" w:line="394" w:lineRule="exact"/>
        <w:rPr>
          <w:sz w:val="20"/>
          <w:szCs w:val="20"/>
          <w:color w:val="auto"/>
        </w:rPr>
      </w:pPr>
    </w:p>
    <w:p>
      <w:pPr>
        <w:ind w:left="480" w:right="740" w:hanging="270"/>
        <w:spacing w:after="0" w:line="281" w:lineRule="auto"/>
        <w:tabs>
          <w:tab w:leader="none" w:pos="457" w:val="left"/>
        </w:tabs>
        <w:numPr>
          <w:ilvl w:val="0"/>
          <w:numId w:val="53"/>
        </w:numPr>
        <w:rPr>
          <w:rFonts w:ascii="Times New Roman" w:cs="Times New Roman" w:eastAsia="Times New Roman" w:hAnsi="Times New Roman"/>
          <w:sz w:val="17"/>
          <w:szCs w:val="17"/>
          <w:color w:val="00A0E0"/>
        </w:rPr>
      </w:pPr>
      <w:r>
        <w:rPr>
          <w:rFonts w:ascii="Arial" w:cs="Arial" w:eastAsia="Arial" w:hAnsi="Arial"/>
          <w:sz w:val="18"/>
          <w:szCs w:val="18"/>
          <w:color w:val="auto"/>
        </w:rPr>
        <w:t>Focused, one-on-one meetings with over 35 investors, senior management and, at times, independent directors, on a range of governance, compensation and other corporate responsibility matters, as well as general business and strategy updates</w:t>
      </w:r>
    </w:p>
    <w:p>
      <w:pPr>
        <w:spacing w:after="0" w:line="1" w:lineRule="exact"/>
        <w:rPr>
          <w:rFonts w:ascii="Times New Roman" w:cs="Times New Roman" w:eastAsia="Times New Roman" w:hAnsi="Times New Roman"/>
          <w:sz w:val="17"/>
          <w:szCs w:val="17"/>
          <w:color w:val="00A0E0"/>
        </w:rPr>
      </w:pPr>
    </w:p>
    <w:p>
      <w:pPr>
        <w:ind w:left="440" w:hanging="230"/>
        <w:spacing w:after="0"/>
        <w:tabs>
          <w:tab w:leader="none" w:pos="440" w:val="left"/>
        </w:tabs>
        <w:numPr>
          <w:ilvl w:val="0"/>
          <w:numId w:val="53"/>
        </w:numPr>
        <w:rPr>
          <w:rFonts w:ascii="Times New Roman" w:cs="Times New Roman" w:eastAsia="Times New Roman" w:hAnsi="Times New Roman"/>
          <w:sz w:val="17"/>
          <w:szCs w:val="17"/>
          <w:color w:val="00A0E0"/>
        </w:rPr>
      </w:pPr>
      <w:r>
        <w:rPr>
          <w:rFonts w:ascii="Arial" w:cs="Arial" w:eastAsia="Arial" w:hAnsi="Arial"/>
          <w:sz w:val="18"/>
          <w:szCs w:val="18"/>
          <w:color w:val="auto"/>
        </w:rPr>
        <w:t>Outreach to proxy advisory firms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0" w:right="5111" w:hanging="270"/>
        <w:spacing w:after="0" w:line="298" w:lineRule="auto"/>
        <w:tabs>
          <w:tab w:leader="none" w:pos="457" w:val="left"/>
        </w:tabs>
        <w:numPr>
          <w:ilvl w:val="0"/>
          <w:numId w:val="54"/>
        </w:numPr>
        <w:rPr>
          <w:rFonts w:ascii="Times New Roman" w:cs="Times New Roman" w:eastAsia="Times New Roman" w:hAnsi="Times New Roman"/>
          <w:sz w:val="16"/>
          <w:szCs w:val="16"/>
          <w:color w:val="00A0E0"/>
        </w:rPr>
      </w:pPr>
      <w:r>
        <w:rPr>
          <w:rFonts w:ascii="Arial" w:cs="Arial" w:eastAsia="Arial" w:hAnsi="Arial"/>
          <w:sz w:val="17"/>
          <w:szCs w:val="17"/>
          <w:color w:val="auto"/>
        </w:rPr>
        <w:t>Live webcasts of quarterly earnings presentations</w:t>
      </w:r>
    </w:p>
    <w:p>
      <w:pPr>
        <w:ind w:left="480" w:right="4831" w:hanging="270"/>
        <w:spacing w:after="0" w:line="252" w:lineRule="auto"/>
        <w:tabs>
          <w:tab w:leader="none" w:pos="457" w:val="left"/>
        </w:tabs>
        <w:numPr>
          <w:ilvl w:val="0"/>
          <w:numId w:val="54"/>
        </w:numPr>
        <w:rPr>
          <w:rFonts w:ascii="Times New Roman" w:cs="Times New Roman" w:eastAsia="Times New Roman" w:hAnsi="Times New Roman"/>
          <w:sz w:val="17"/>
          <w:szCs w:val="17"/>
          <w:color w:val="00A0E0"/>
        </w:rPr>
      </w:pPr>
      <w:r>
        <w:rPr>
          <w:rFonts w:ascii="Arial" w:cs="Arial" w:eastAsia="Arial" w:hAnsi="Arial"/>
          <w:sz w:val="18"/>
          <w:szCs w:val="18"/>
          <w:color w:val="auto"/>
        </w:rPr>
        <w:t>Live webcasts of CEO, President, CFO and other business leaders speaking at investor conferences</w:t>
      </w:r>
    </w:p>
    <w:p>
      <w:pPr>
        <w:spacing w:after="0" w:line="35" w:lineRule="exact"/>
        <w:rPr>
          <w:rFonts w:ascii="Times New Roman" w:cs="Times New Roman" w:eastAsia="Times New Roman" w:hAnsi="Times New Roman"/>
          <w:sz w:val="17"/>
          <w:szCs w:val="17"/>
          <w:color w:val="00A0E0"/>
        </w:rPr>
      </w:pPr>
    </w:p>
    <w:p>
      <w:pPr>
        <w:ind w:left="480" w:right="4751" w:hanging="270"/>
        <w:spacing w:after="0" w:line="271" w:lineRule="auto"/>
        <w:tabs>
          <w:tab w:leader="none" w:pos="457" w:val="left"/>
        </w:tabs>
        <w:numPr>
          <w:ilvl w:val="0"/>
          <w:numId w:val="54"/>
        </w:numPr>
        <w:rPr>
          <w:rFonts w:ascii="Times New Roman" w:cs="Times New Roman" w:eastAsia="Times New Roman" w:hAnsi="Times New Roman"/>
          <w:sz w:val="16"/>
          <w:szCs w:val="16"/>
          <w:color w:val="00A0E0"/>
        </w:rPr>
      </w:pPr>
      <w:r>
        <w:rPr>
          <w:rFonts w:ascii="Arial" w:cs="Arial" w:eastAsia="Arial" w:hAnsi="Arial"/>
          <w:sz w:val="17"/>
          <w:szCs w:val="17"/>
          <w:color w:val="auto"/>
        </w:rPr>
        <w:t>Met with over 400 investors on strategy and business results through a combination of in-person and virtual meetings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69" w:right="280" w:hanging="269"/>
        <w:spacing w:after="0" w:line="261" w:lineRule="auto"/>
        <w:tabs>
          <w:tab w:leader="none" w:pos="246" w:val="left"/>
        </w:tabs>
        <w:numPr>
          <w:ilvl w:val="0"/>
          <w:numId w:val="55"/>
        </w:numPr>
        <w:rPr>
          <w:rFonts w:ascii="Times New Roman" w:cs="Times New Roman" w:eastAsia="Times New Roman" w:hAnsi="Times New Roman"/>
          <w:sz w:val="17"/>
          <w:szCs w:val="17"/>
          <w:color w:val="00A0E0"/>
        </w:rPr>
      </w:pPr>
      <w:r>
        <w:rPr>
          <w:rFonts w:ascii="Arial" w:cs="Arial" w:eastAsia="Arial" w:hAnsi="Arial"/>
          <w:sz w:val="18"/>
          <w:szCs w:val="18"/>
          <w:color w:val="auto"/>
        </w:rPr>
        <w:t>Outreach to proponents of shareholder proposals before proxy statement filed</w:t>
      </w:r>
    </w:p>
    <w:p>
      <w:pPr>
        <w:spacing w:after="0" w:line="13" w:lineRule="exact"/>
        <w:rPr>
          <w:rFonts w:ascii="Times New Roman" w:cs="Times New Roman" w:eastAsia="Times New Roman" w:hAnsi="Times New Roman"/>
          <w:sz w:val="17"/>
          <w:szCs w:val="17"/>
          <w:color w:val="00A0E0"/>
        </w:rPr>
      </w:pPr>
    </w:p>
    <w:p>
      <w:pPr>
        <w:ind w:left="269" w:right="580" w:hanging="269"/>
        <w:spacing w:after="0" w:line="261" w:lineRule="auto"/>
        <w:tabs>
          <w:tab w:leader="none" w:pos="246" w:val="left"/>
        </w:tabs>
        <w:numPr>
          <w:ilvl w:val="0"/>
          <w:numId w:val="55"/>
        </w:numPr>
        <w:rPr>
          <w:rFonts w:ascii="Times New Roman" w:cs="Times New Roman" w:eastAsia="Times New Roman" w:hAnsi="Times New Roman"/>
          <w:sz w:val="17"/>
          <w:szCs w:val="17"/>
          <w:color w:val="00A0E0"/>
        </w:rPr>
      </w:pPr>
      <w:r>
        <w:rPr>
          <w:rFonts w:ascii="Arial" w:cs="Arial" w:eastAsia="Arial" w:hAnsi="Arial"/>
          <w:sz w:val="18"/>
          <w:szCs w:val="18"/>
          <w:color w:val="auto"/>
        </w:rPr>
        <w:t>Meetings with investors to discuss annual meeting proposals</w:t>
      </w:r>
    </w:p>
    <w:p>
      <w:pPr>
        <w:spacing w:after="0" w:line="26" w:lineRule="exact"/>
        <w:rPr>
          <w:rFonts w:ascii="Times New Roman" w:cs="Times New Roman" w:eastAsia="Times New Roman" w:hAnsi="Times New Roman"/>
          <w:sz w:val="17"/>
          <w:szCs w:val="17"/>
          <w:color w:val="00A0E0"/>
        </w:rPr>
      </w:pPr>
    </w:p>
    <w:p>
      <w:pPr>
        <w:ind w:left="269" w:right="560" w:hanging="269"/>
        <w:spacing w:after="0" w:line="318" w:lineRule="auto"/>
        <w:tabs>
          <w:tab w:leader="none" w:pos="246" w:val="left"/>
        </w:tabs>
        <w:numPr>
          <w:ilvl w:val="0"/>
          <w:numId w:val="55"/>
        </w:numPr>
        <w:rPr>
          <w:rFonts w:ascii="Times New Roman" w:cs="Times New Roman" w:eastAsia="Times New Roman" w:hAnsi="Times New Roman"/>
          <w:sz w:val="16"/>
          <w:szCs w:val="16"/>
          <w:color w:val="00A0E0"/>
        </w:rPr>
      </w:pPr>
      <w:r>
        <w:rPr>
          <w:rFonts w:ascii="Arial" w:cs="Arial" w:eastAsia="Arial" w:hAnsi="Arial"/>
          <w:sz w:val="17"/>
          <w:szCs w:val="17"/>
          <w:color w:val="auto"/>
        </w:rPr>
        <w:t>Review and consider shareholder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-5297170</wp:posOffset>
            </wp:positionH>
            <wp:positionV relativeFrom="paragraph">
              <wp:posOffset>368935</wp:posOffset>
            </wp:positionV>
            <wp:extent cx="7140575" cy="14401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0575" cy="1440180"/>
                    </a:xfrm>
                    <a:prstGeom prst="rect">
                      <a:avLst/>
                    </a:prstGeom>
                    <a:noFill/>
                  </pic:spPr>
                </pic:pic>
              </a:graphicData>
            </a:graphic>
          </wp:anchor>
        </w:drawing>
      </w:r>
    </w:p>
    <w:p>
      <w:pPr>
        <w:spacing w:after="0" w:line="362" w:lineRule="exact"/>
        <w:rPr>
          <w:sz w:val="20"/>
          <w:szCs w:val="20"/>
          <w:color w:val="auto"/>
        </w:rPr>
      </w:pPr>
    </w:p>
    <w:p>
      <w:pPr>
        <w:sectPr>
          <w:pgSz w:w="11900" w:h="16838" w:orient="portrait"/>
          <w:cols w:equalWidth="0" w:num="2">
            <w:col w:w="7631" w:space="720"/>
            <w:col w:w="2889"/>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40" w:hanging="230"/>
        <w:spacing w:after="0"/>
        <w:tabs>
          <w:tab w:leader="none" w:pos="440" w:val="left"/>
        </w:tabs>
        <w:numPr>
          <w:ilvl w:val="0"/>
          <w:numId w:val="56"/>
        </w:numPr>
        <w:rPr>
          <w:rFonts w:ascii="Times New Roman" w:cs="Times New Roman" w:eastAsia="Times New Roman" w:hAnsi="Times New Roman"/>
          <w:sz w:val="17"/>
          <w:szCs w:val="17"/>
          <w:color w:val="00A0E0"/>
        </w:rPr>
      </w:pPr>
      <w:r>
        <w:rPr>
          <w:rFonts w:ascii="Arial" w:cs="Arial" w:eastAsia="Arial" w:hAnsi="Arial"/>
          <w:sz w:val="18"/>
          <w:szCs w:val="18"/>
          <w:color w:val="auto"/>
        </w:rPr>
        <w:t>Board and/or its committees review and consider annual meeting voting results and investor feedback received from engagements</w:t>
      </w:r>
    </w:p>
    <w:p>
      <w:pPr>
        <w:spacing w:after="0" w:line="76" w:lineRule="exact"/>
        <w:rPr>
          <w:rFonts w:ascii="Times New Roman" w:cs="Times New Roman" w:eastAsia="Times New Roman" w:hAnsi="Times New Roman"/>
          <w:sz w:val="17"/>
          <w:szCs w:val="17"/>
          <w:color w:val="00A0E0"/>
        </w:rPr>
      </w:pPr>
    </w:p>
    <w:p>
      <w:pPr>
        <w:ind w:left="480" w:right="600" w:hanging="270"/>
        <w:spacing w:after="0" w:line="287" w:lineRule="auto"/>
        <w:tabs>
          <w:tab w:leader="none" w:pos="457" w:val="left"/>
        </w:tabs>
        <w:numPr>
          <w:ilvl w:val="0"/>
          <w:numId w:val="56"/>
        </w:numPr>
        <w:rPr>
          <w:rFonts w:ascii="Times New Roman" w:cs="Times New Roman" w:eastAsia="Times New Roman" w:hAnsi="Times New Roman"/>
          <w:sz w:val="17"/>
          <w:szCs w:val="17"/>
          <w:color w:val="00A0E0"/>
        </w:rPr>
      </w:pPr>
      <w:r>
        <w:rPr>
          <w:rFonts w:ascii="Arial" w:cs="Arial" w:eastAsia="Arial" w:hAnsi="Arial"/>
          <w:sz w:val="18"/>
          <w:szCs w:val="18"/>
          <w:color w:val="auto"/>
        </w:rPr>
        <w:t xml:space="preserve">As a result of these meetings, we have made various disclosures available on our ESG Reporting website </w:t>
      </w:r>
      <w:r>
        <w:rPr>
          <w:rFonts w:ascii="Arial" w:cs="Arial" w:eastAsia="Arial" w:hAnsi="Arial"/>
          <w:sz w:val="18"/>
          <w:szCs w:val="18"/>
          <w:i w:val="1"/>
          <w:iCs w:val="1"/>
          <w:color w:val="auto"/>
        </w:rPr>
        <w:t>www.cmcsa.com/esg-reporting</w:t>
      </w:r>
      <w:r>
        <w:rPr>
          <w:rFonts w:ascii="Arial" w:cs="Arial" w:eastAsia="Arial" w:hAnsi="Arial"/>
          <w:sz w:val="18"/>
          <w:szCs w:val="18"/>
          <w:color w:val="auto"/>
        </w:rPr>
        <w:t>, including:</w:t>
      </w:r>
    </w:p>
    <w:p>
      <w:pPr>
        <w:spacing w:after="0" w:line="4" w:lineRule="exact"/>
        <w:rPr>
          <w:rFonts w:ascii="Times New Roman" w:cs="Times New Roman" w:eastAsia="Times New Roman" w:hAnsi="Times New Roman"/>
          <w:sz w:val="17"/>
          <w:szCs w:val="17"/>
          <w:color w:val="00A0E0"/>
        </w:rPr>
      </w:pPr>
    </w:p>
    <w:p>
      <w:pPr>
        <w:ind w:left="440"/>
        <w:spacing w:after="0"/>
        <w:rPr>
          <w:rFonts w:ascii="Times New Roman" w:cs="Times New Roman" w:eastAsia="Times New Roman" w:hAnsi="Times New Roman"/>
          <w:sz w:val="17"/>
          <w:szCs w:val="17"/>
          <w:color w:val="00A0E0"/>
        </w:rPr>
      </w:pPr>
      <w:r>
        <w:rPr>
          <w:rFonts w:ascii="Times New Roman" w:cs="Times New Roman" w:eastAsia="Times New Roman" w:hAnsi="Times New Roman"/>
          <w:sz w:val="17"/>
          <w:szCs w:val="17"/>
          <w:color w:val="00A0E0"/>
        </w:rPr>
        <w:t xml:space="preserve">— </w:t>
      </w:r>
      <w:r>
        <w:rPr>
          <w:rFonts w:ascii="Arial" w:cs="Arial" w:eastAsia="Arial" w:hAnsi="Arial"/>
          <w:sz w:val="17"/>
          <w:szCs w:val="17"/>
          <w:color w:val="000000"/>
        </w:rPr>
        <w:t>expanding our GHG emissions inventory to include estimated Scope 3 GHG emissions in our Carbon Footprint Data Report</w:t>
      </w:r>
    </w:p>
    <w:p>
      <w:pPr>
        <w:spacing w:after="0" w:line="87" w:lineRule="exact"/>
        <w:rPr>
          <w:rFonts w:ascii="Times New Roman" w:cs="Times New Roman" w:eastAsia="Times New Roman" w:hAnsi="Times New Roman"/>
          <w:sz w:val="17"/>
          <w:szCs w:val="17"/>
          <w:color w:val="00A0E0"/>
        </w:rPr>
      </w:pPr>
    </w:p>
    <w:p>
      <w:pPr>
        <w:ind w:left="440"/>
        <w:spacing w:after="0"/>
        <w:rPr>
          <w:rFonts w:ascii="Times New Roman" w:cs="Times New Roman" w:eastAsia="Times New Roman" w:hAnsi="Times New Roman"/>
          <w:sz w:val="17"/>
          <w:szCs w:val="17"/>
          <w:color w:val="00A0E0"/>
        </w:rPr>
      </w:pPr>
      <w:r>
        <w:rPr>
          <w:rFonts w:ascii="Times New Roman" w:cs="Times New Roman" w:eastAsia="Times New Roman" w:hAnsi="Times New Roman"/>
          <w:sz w:val="17"/>
          <w:szCs w:val="17"/>
          <w:color w:val="00A0E0"/>
        </w:rPr>
        <w:t xml:space="preserve">— </w:t>
      </w:r>
      <w:r>
        <w:rPr>
          <w:rFonts w:ascii="Arial" w:cs="Arial" w:eastAsia="Arial" w:hAnsi="Arial"/>
          <w:sz w:val="17"/>
          <w:szCs w:val="17"/>
          <w:color w:val="000000"/>
        </w:rPr>
        <w:t>making enhancements in 2023 to our Statement on Political and Trade Association Activities</w:t>
      </w:r>
    </w:p>
    <w:p>
      <w:pPr>
        <w:spacing w:after="0" w:line="87" w:lineRule="exact"/>
        <w:rPr>
          <w:rFonts w:ascii="Times New Roman" w:cs="Times New Roman" w:eastAsia="Times New Roman" w:hAnsi="Times New Roman"/>
          <w:sz w:val="17"/>
          <w:szCs w:val="17"/>
          <w:color w:val="00A0E0"/>
        </w:rPr>
      </w:pPr>
    </w:p>
    <w:p>
      <w:pPr>
        <w:ind w:left="440"/>
        <w:spacing w:after="0"/>
        <w:rPr>
          <w:rFonts w:ascii="Times New Roman" w:cs="Times New Roman" w:eastAsia="Times New Roman" w:hAnsi="Times New Roman"/>
          <w:sz w:val="17"/>
          <w:szCs w:val="17"/>
          <w:color w:val="00A0E0"/>
        </w:rPr>
      </w:pPr>
      <w:r>
        <w:rPr>
          <w:rFonts w:ascii="Times New Roman" w:cs="Times New Roman" w:eastAsia="Times New Roman" w:hAnsi="Times New Roman"/>
          <w:sz w:val="17"/>
          <w:szCs w:val="17"/>
          <w:color w:val="00A0E0"/>
        </w:rPr>
        <w:t xml:space="preserve">— </w:t>
      </w:r>
      <w:r>
        <w:rPr>
          <w:rFonts w:ascii="Arial" w:cs="Arial" w:eastAsia="Arial" w:hAnsi="Arial"/>
          <w:sz w:val="17"/>
          <w:szCs w:val="17"/>
          <w:color w:val="000000"/>
        </w:rPr>
        <w:t>continuing to report in line with the CDP, SASB and TCFD frameworks and disclosing EEO-1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394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right="660"/>
        <w:spacing w:after="0" w:line="271" w:lineRule="auto"/>
        <w:rPr>
          <w:sz w:val="20"/>
          <w:szCs w:val="20"/>
          <w:color w:val="auto"/>
        </w:rPr>
      </w:pPr>
      <w:r>
        <w:rPr>
          <w:rFonts w:ascii="Arial" w:cs="Arial" w:eastAsia="Arial" w:hAnsi="Arial"/>
          <w:sz w:val="18"/>
          <w:szCs w:val="18"/>
          <w:color w:val="auto"/>
        </w:rPr>
        <w:t>Over the past year, reached out to over 40 investors and met with over 35 investors owning over 50% of Class A common stock on governance, compensation and other corporate responsibility matters.</w:t>
      </w:r>
    </w:p>
    <w:p>
      <w:pPr>
        <w:spacing w:after="0" w:line="262"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Our Board has established a process for shareholders and other interested parties to communicate with its members. Correspondence may be addressed to the Board, the Lead Independent Director, any other particular director, any committee of the Board or any other group of directors, in care of Thomas J. Reid, Secretary, Comcast Corporation, at the mailing address provided on page 61 or the following e-mail address: audit_committee_chair@comcast.com. The Secretary, or his designee, promptly reviews all such correspondence and, as appropriate, forwards it to the Board or other addressee based on the subject matter of the correspondence. Any such correspondence relating to accounting, internal accounting controls or auditing matters is handled in accordance with procedures established by the Audit Committee.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60" w:type="dxa"/>
            <w:vAlign w:val="bottom"/>
          </w:tcPr>
          <w:p>
            <w:pPr>
              <w:ind w:left="948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24</w:t>
            </w:r>
          </w:p>
        </w:tc>
      </w:tr>
      <w:tr>
        <w:trPr>
          <w:trHeight w:val="362"/>
        </w:trPr>
        <w:tc>
          <w:tcPr>
            <w:tcW w:w="10960" w:type="dxa"/>
            <w:vAlign w:val="bottom"/>
            <w:tcBorders>
              <w:bottom w:val="single" w:sz="8" w:color="A1A1A1"/>
            </w:tcBorders>
          </w:tcPr>
          <w:p>
            <w:pPr>
              <w:spacing w:after="0"/>
              <w:rPr>
                <w:sz w:val="24"/>
                <w:szCs w:val="24"/>
                <w:color w:val="auto"/>
              </w:rPr>
            </w:pPr>
          </w:p>
        </w:tc>
        <w:tc>
          <w:tcPr>
            <w:tcW w:w="28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891540" cy="291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91540" cy="291465"/>
                    </a:xfrm>
                    <a:prstGeom prst="rect">
                      <a:avLst/>
                    </a:prstGeom>
                    <a:noFill/>
                  </pic:spPr>
                </pic:pic>
              </a:graphicData>
            </a:graphic>
          </wp:anchor>
        </w:drawing>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677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677545"/>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00A0E0"/>
        </w:rPr>
        <w:t>Ratification of Appointment of Independent Auditors</w:t>
      </w:r>
    </w:p>
    <w:p>
      <w:pPr>
        <w:spacing w:after="0" w:line="127" w:lineRule="exact"/>
        <w:rPr>
          <w:sz w:val="20"/>
          <w:szCs w:val="20"/>
          <w:color w:val="auto"/>
        </w:rPr>
      </w:pPr>
    </w:p>
    <w:p>
      <w:pPr>
        <w:ind w:left="760" w:right="140"/>
        <w:spacing w:after="0" w:line="271" w:lineRule="auto"/>
        <w:rPr>
          <w:sz w:val="20"/>
          <w:szCs w:val="20"/>
          <w:color w:val="auto"/>
        </w:rPr>
      </w:pPr>
      <w:r>
        <w:rPr>
          <w:rFonts w:ascii="Arial" w:cs="Arial" w:eastAsia="Arial" w:hAnsi="Arial"/>
          <w:sz w:val="18"/>
          <w:szCs w:val="18"/>
          <w:color w:val="auto"/>
        </w:rPr>
        <w:t xml:space="preserve">Our Board unanimously recommends that shareholders vote </w:t>
      </w:r>
      <w:r>
        <w:rPr>
          <w:rFonts w:ascii="Arial" w:cs="Arial" w:eastAsia="Arial" w:hAnsi="Arial"/>
          <w:sz w:val="18"/>
          <w:szCs w:val="18"/>
          <w:color w:val="00A0E0"/>
        </w:rPr>
        <w:t>“FOR”</w:t>
      </w:r>
      <w:r>
        <w:rPr>
          <w:rFonts w:ascii="Arial" w:cs="Arial" w:eastAsia="Arial" w:hAnsi="Arial"/>
          <w:sz w:val="18"/>
          <w:szCs w:val="18"/>
          <w:color w:val="auto"/>
        </w:rPr>
        <w:t xml:space="preserve"> ratification of the appointment of Deloitte &amp; Touche LLP as our independent auditors.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auto"/>
        </w:rPr>
        <w:t>Selection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is directly responsible for the appointment, compensation, retention and oversight of our independent auditors, Deloitte</w:t>
      </w:r>
    </w:p>
    <w:p>
      <w:pPr>
        <w:spacing w:after="0" w:line="14" w:lineRule="exact"/>
        <w:rPr>
          <w:sz w:val="20"/>
          <w:szCs w:val="20"/>
          <w:color w:val="auto"/>
        </w:rPr>
      </w:pPr>
    </w:p>
    <w:p>
      <w:pPr>
        <w:ind w:right="380" w:firstLine="8"/>
        <w:spacing w:after="0"/>
        <w:tabs>
          <w:tab w:leader="none" w:pos="1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Touche LLP (“Deloitte”). Deloitte, together with its predecessors, has served as our independent auditors since 1963. The lead engagement partner from Deloitte is required to be rotated every five years. The process for selection of a new lead engagement partner includes a meeting between the Chair of the Audit Committee and the candidate for this role, as well as discussion by the full Audit Committee and meetings with senior management.</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Each year, the Audit Committee, along with our management and internal auditors, reviews Deloitte’s performance as part of the Audit Committee’s consideration of whether to reappoint the firm as our independent auditors. As part of this review, the Audit Committee considers (i) the continued independence of Deloitte, (ii) its quality of service provided on prior audits, (iii) evaluations of Deloitte by our management and internal auditors, (iv) Deloitte’s effectiveness of communications and working relationships with the Audit Committee and our management and internal auditors, (v) the length of time Deloitte has served as our independent auditors and (vi) the quality and depth of Deloitte and the audit team’s expertise and experience in our industries in light of the breadth, complexity and global reach of our businesses.</w:t>
      </w:r>
    </w:p>
    <w:p>
      <w:pPr>
        <w:spacing w:after="0" w:line="17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Following the Audit Committee’s review of Deloitte’s performance, the Audit Committee appointed Deloitte to serve as our independent auditors for the year ending December 31, 2024. The Audit Committee and our Board recommend that you ratify this appointment, although your ratification is not required. A partner of Deloitte will be present at the annual meeting and will be available to respond to appropriate questions.</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Fees of Independent Registered Public Accounting Firm</w:t>
      </w:r>
    </w:p>
    <w:p>
      <w:pPr>
        <w:spacing w:after="0" w:line="22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Set forth below are the fees paid or accrued for the services of Deloitte, the member firms of Deloitte Touche Tohmatsu and their respective affiliates in 2023 and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880" w:type="dxa"/>
            <w:vAlign w:val="bottom"/>
          </w:tcPr>
          <w:p>
            <w:pPr>
              <w:spacing w:after="0"/>
              <w:rPr>
                <w:sz w:val="21"/>
                <w:szCs w:val="21"/>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r>
      <w:tr>
        <w:trPr>
          <w:trHeight w:val="246"/>
        </w:trPr>
        <w:tc>
          <w:tcPr>
            <w:tcW w:w="98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 IN MILLIONS)</w:t>
            </w:r>
          </w:p>
        </w:tc>
      </w:tr>
      <w:tr>
        <w:trPr>
          <w:trHeight w:val="294"/>
        </w:trPr>
        <w:tc>
          <w:tcPr>
            <w:tcW w:w="988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auto"/>
              </w:rPr>
              <w:t>Audit fees</w:t>
            </w:r>
          </w:p>
        </w:tc>
        <w:tc>
          <w:tcPr>
            <w:tcW w:w="660" w:type="dxa"/>
            <w:vAlign w:val="bottom"/>
            <w:tcBorders>
              <w:bottom w:val="single" w:sz="8" w:color="DCDDDE"/>
            </w:tcBorders>
          </w:tcPr>
          <w:p>
            <w:pPr>
              <w:jc w:val="right"/>
              <w:ind w:right="130"/>
              <w:spacing w:after="0"/>
              <w:rPr>
                <w:sz w:val="20"/>
                <w:szCs w:val="20"/>
                <w:color w:val="auto"/>
              </w:rPr>
            </w:pPr>
            <w:r>
              <w:rPr>
                <w:rFonts w:ascii="Arial" w:cs="Arial" w:eastAsia="Arial" w:hAnsi="Arial"/>
                <w:sz w:val="18"/>
                <w:szCs w:val="18"/>
                <w:color w:val="auto"/>
              </w:rPr>
              <w:t>26.9</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8"/>
                <w:szCs w:val="18"/>
                <w:color w:val="auto"/>
              </w:rPr>
              <w:t>26.1</w:t>
            </w:r>
          </w:p>
        </w:tc>
      </w:tr>
      <w:tr>
        <w:trPr>
          <w:trHeight w:val="250"/>
        </w:trPr>
        <w:tc>
          <w:tcPr>
            <w:tcW w:w="988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auto"/>
              </w:rPr>
              <w:t>Audit-related fees</w:t>
            </w:r>
          </w:p>
        </w:tc>
        <w:tc>
          <w:tcPr>
            <w:tcW w:w="660" w:type="dxa"/>
            <w:vAlign w:val="bottom"/>
            <w:tcBorders>
              <w:bottom w:val="single" w:sz="8" w:color="DCDDDE"/>
            </w:tcBorders>
          </w:tcPr>
          <w:p>
            <w:pPr>
              <w:jc w:val="right"/>
              <w:ind w:right="130"/>
              <w:spacing w:after="0"/>
              <w:rPr>
                <w:sz w:val="20"/>
                <w:szCs w:val="20"/>
                <w:color w:val="auto"/>
              </w:rPr>
            </w:pPr>
            <w:r>
              <w:rPr>
                <w:rFonts w:ascii="Arial" w:cs="Arial" w:eastAsia="Arial" w:hAnsi="Arial"/>
                <w:sz w:val="18"/>
                <w:szCs w:val="18"/>
                <w:color w:val="auto"/>
              </w:rPr>
              <w:t>1.3</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988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auto"/>
              </w:rPr>
              <w:t>Tax fees</w:t>
            </w:r>
          </w:p>
        </w:tc>
        <w:tc>
          <w:tcPr>
            <w:tcW w:w="660" w:type="dxa"/>
            <w:vAlign w:val="bottom"/>
            <w:tcBorders>
              <w:bottom w:val="single" w:sz="8" w:color="DCDDDE"/>
            </w:tcBorders>
          </w:tcPr>
          <w:p>
            <w:pPr>
              <w:jc w:val="right"/>
              <w:ind w:right="130"/>
              <w:spacing w:after="0"/>
              <w:rPr>
                <w:sz w:val="20"/>
                <w:szCs w:val="20"/>
                <w:color w:val="auto"/>
              </w:rPr>
            </w:pPr>
            <w:r>
              <w:rPr>
                <w:rFonts w:ascii="Arial" w:cs="Arial" w:eastAsia="Arial" w:hAnsi="Arial"/>
                <w:sz w:val="18"/>
                <w:szCs w:val="18"/>
                <w:color w:val="auto"/>
              </w:rPr>
              <w:t>0.6</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8"/>
                <w:szCs w:val="18"/>
                <w:color w:val="auto"/>
              </w:rPr>
              <w:t>0.6</w:t>
            </w:r>
          </w:p>
        </w:tc>
      </w:tr>
      <w:tr>
        <w:trPr>
          <w:trHeight w:val="250"/>
        </w:trPr>
        <w:tc>
          <w:tcPr>
            <w:tcW w:w="988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auto"/>
              </w:rPr>
              <w:t>All other fees</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9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r>
    </w:tbl>
    <w:p>
      <w:pPr>
        <w:spacing w:after="0" w:line="19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Audit fees consisted of fees paid or accrued for services rendered to us and our subsidiaries for the audits of our annual financial statements, audits of our internal control over financial reporting (as required by Section 404 of the Sarbanes-Oxley Act of 2002), reviews of our quarterly financial statements and audit services provided in connection with other statutory, regulatory or contractual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Audit-related fees consisted of fees paid or accrued for financial due diligence services and attestation services.</w:t>
      </w:r>
    </w:p>
    <w:p>
      <w:pPr>
        <w:spacing w:after="0" w:line="212"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Tax fees consisted of fees paid or accrued for domestic and foreign tax compliance services, including review of tax returns and tax examination assistance. There were no fees paid or accrued in 2023 and 2022 for tax planning.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Other fees included fees paid or accrued for subscription services.</w:t>
      </w:r>
    </w:p>
    <w:p>
      <w:pPr>
        <w:spacing w:after="0" w:line="216"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Preapproval Policy of Audit Committee of Services Performed by Independent Auditors</w:t>
      </w:r>
    </w:p>
    <w:p>
      <w:pPr>
        <w:spacing w:after="0" w:line="22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Audit Committee’s policy requires that the Committee preapprove all audit and non-audit services performed by the independent auditors to assure that the services do not impair the auditors’ independence. Unless a type of service has received general preapproval, it requires separate preapproval by the Audit Committee. Even if a service has received general preapproval, if the fee associated with the service exceeds $ 1 million in a single engagement or series of related engagements, it requires separate preapproval. The Audit Committee has delegated its preapproval authority to its Chair.</w:t>
      </w:r>
    </w:p>
    <w:p>
      <w:pPr>
        <w:spacing w:after="0" w:line="165" w:lineRule="exact"/>
        <w:rPr>
          <w:sz w:val="20"/>
          <w:szCs w:val="20"/>
          <w:color w:val="auto"/>
        </w:rPr>
      </w:pPr>
    </w:p>
    <w:p>
      <w:pPr>
        <w:spacing w:after="0"/>
        <w:rPr>
          <w:sz w:val="20"/>
          <w:szCs w:val="20"/>
          <w:color w:val="auto"/>
        </w:rPr>
      </w:pPr>
      <w:r>
        <w:rPr>
          <w:rFonts w:ascii="Arial" w:cs="Arial" w:eastAsia="Arial" w:hAnsi="Arial"/>
          <w:sz w:val="32"/>
          <w:szCs w:val="32"/>
          <w:b w:val="1"/>
          <w:bCs w:val="1"/>
          <w:color w:val="00A0DD"/>
        </w:rPr>
        <w:t>Report of the Audit Committee</w:t>
      </w:r>
    </w:p>
    <w:p>
      <w:pPr>
        <w:spacing w:after="0" w:line="237"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 xml:space="preserve">The Audit Committee (as used in this section, “we” or “our”) is composed solely of independent directors meeting the requirements of the applicable rules of the SEC and The Nasdaq Stock Market LLC. Each member also is financially literate for audit committee purposes under the Nasdaq rules, and the Board has concluded that Jeffrey A. Honickman and Maritza G. Montiel* qualify as audit committee financial experts. The key responsibilities of our committee are set forth in our charter, which was adopted by us and approved by the Board and is posted under “Corporate Governance” in the Investors section of Comcast’s website at </w:t>
      </w:r>
      <w:r>
        <w:rPr>
          <w:rFonts w:ascii="Arial" w:cs="Arial" w:eastAsia="Arial" w:hAnsi="Arial"/>
          <w:sz w:val="18"/>
          <w:szCs w:val="18"/>
          <w:i w:val="1"/>
          <w:iCs w:val="1"/>
          <w:color w:val="auto"/>
        </w:rPr>
        <w:t>www.cmcsa.com</w:t>
      </w:r>
      <w:r>
        <w:rPr>
          <w:rFonts w:ascii="Arial" w:cs="Arial" w:eastAsia="Arial" w:hAnsi="Arial"/>
          <w:sz w:val="18"/>
          <w:szCs w:val="18"/>
          <w:color w:val="auto"/>
        </w:rPr>
        <w:t>.</w:t>
      </w:r>
    </w:p>
    <w:p>
      <w:pPr>
        <w:spacing w:after="0" w:line="176"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serve in an oversight capacity and are not intended to be part of Comcast’s operational or managerial decision-making process. Comcast’s management is responsible for the preparation, integrity and fair presentation of information in Comcast’s consolidated financial statements, the financial reporting process and internal control over financial reporting. Deloitte, Comcast’s independent auditors, is responsible for auditing Comcast’s consolidated financial statements and internal control over financial reporting. Our principal purpose is to monitor these processes.</w:t>
      </w:r>
    </w:p>
    <w:p>
      <w:pPr>
        <w:spacing w:after="0" w:line="17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In this context, at each regularly scheduled in-person meeting, we met and held discussions with management, Comcast’s internal auditors and the independent auditors. Management represented to us that Comcast’s consolidated financial statements were prepared in accordance with generally accepted accounting principles applied on a consistent basis.</w:t>
      </w:r>
    </w:p>
    <w:p>
      <w:pPr>
        <w:spacing w:after="0" w:line="16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Prior to their issuance, we reviewed and discussed the quarterly and annual earnings press releases, consolidated financial statements and disclosures under “Management’s Discussion and Analysis of Financial Condition and Results of Operations” (including the presentation of non-GAAP financial information and critical accounting estimates) with management, Comcast’s internal auditors and the independent auditors. We also reviewed Comcast’s policies, practices and assessments with respect to significant financial risks and significant business risks, including cybersecurity, as well as its processes and practices with respect to enterprise risk assessment and management. We discussed with the independent auditors critical audit matters identified during the course of the audit and other matters required to be discussed by applicable Public Company Accounting Oversight Board (“PCAOB”) and SEC rules.</w:t>
      </w:r>
    </w:p>
    <w:p>
      <w:pPr>
        <w:spacing w:after="0" w:line="185"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We discussed with the independent auditors the overall scope and plans for their audit and approved the terms of their engagement letter. We also reviewed Comcast’s internal audit plan. We met with the independent auditors and with Comcast’s internal auditors, in each case with and without other members of management present, to discuss the results of their respective examinations, the evaluations of Comcast’s internal controls and the overall quality and integrity of Comcast’s financial reporting. Among other things, in our discussions with the independent auditors, we sought their perspectives on the appropriateness of the accounting principles selected by management and their assessment of risk in financial reporting.</w:t>
      </w:r>
    </w:p>
    <w:p>
      <w:pPr>
        <w:spacing w:after="0" w:line="179"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Additionally, we reviewed the performance, responsibilities, budget and staffing of Comcast’s internal auditors. We also have established, and oversaw compliance with, procedures for Comcast’s receipt, retention and treatment of complaints regarding accounting, internal accounting controls or auditing matters and its employees’ confidential and anonymous submissions of concerns regarding questionable accounting or auditing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discussed with the independent auditors the auditors’ independence from Comcast and its management, including the matters required to be discussed by the applicable requirements of the PCAOB and SEC, and received written disclosures from the independent auditors required by applicable PCAOB rules regarding their independence. We also reviewed Comcast’s hiring policies and practices with respect to current and former employees of the independent auditors. We preapproved, in accordance with our preapproval policy described above, all services provided by the independent auditors and considered whether their provision of such services to Comcast is compatible with maintaining the auditors’ independence. Based on the reviews and discussions referred to above, we recommended to the Board, and the Board approved, that the audited consolidated financial statements be included in Comcast’s Annual Report on Form 10-K for the year ended December 31, 2023, filed with the SEC.</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26</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addition, as in prior years, we, along with Comcast’s management and internal auditors, reviewed Deloitte’s performance as part of our consideration of whether to appoint the firm as independent auditors for 2024 and recommend that shareholders ratify this appointment. As part of this review, we considered the continued independence of Deloitte, the quality of service provided on prior audits, the results of an evaluation of Deloitte by Comcast’s management and internal auditors and Deloitte’s effectiveness of communications and working relationships with us, management and the internal auditors. We also considered the period of time that Deloitte has served as Comcast’s independent auditors and evaluated the quality and depth of the firm and the audit team’s expertise and experience in our industries in light of the breadth, complexity and global reach of Comcast’s businesses. Following this review, we have appointed Deloitte as Comcast’s independent auditors for 2024 and are recommending that Comcast’s shareholders ratify this appointment.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Members of the Audit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Jeffrey A. Honickman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J. Baltimore, Jr.</w:t>
      </w:r>
    </w:p>
    <w:p>
      <w:pPr>
        <w:spacing w:after="0" w:line="234" w:lineRule="auto"/>
        <w:rPr>
          <w:sz w:val="20"/>
          <w:szCs w:val="20"/>
          <w:color w:val="auto"/>
        </w:rPr>
      </w:pPr>
      <w:r>
        <w:rPr>
          <w:rFonts w:ascii="Arial" w:cs="Arial" w:eastAsia="Arial" w:hAnsi="Arial"/>
          <w:sz w:val="18"/>
          <w:szCs w:val="18"/>
          <w:color w:val="auto"/>
        </w:rPr>
        <w:t>Louise F. Brady</w:t>
      </w:r>
    </w:p>
    <w:p>
      <w:pPr>
        <w:spacing w:after="0" w:line="235" w:lineRule="auto"/>
        <w:rPr>
          <w:sz w:val="20"/>
          <w:szCs w:val="20"/>
          <w:color w:val="auto"/>
        </w:rPr>
      </w:pPr>
      <w:r>
        <w:rPr>
          <w:rFonts w:ascii="Arial" w:cs="Arial" w:eastAsia="Arial" w:hAnsi="Arial"/>
          <w:sz w:val="18"/>
          <w:szCs w:val="18"/>
          <w:color w:val="auto"/>
        </w:rPr>
        <w:t>Maritza G. Montiel*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Asuka Nakahara</w:t>
      </w:r>
    </w:p>
    <w:p>
      <w:pPr>
        <w:spacing w:after="0" w:line="196" w:lineRule="exact"/>
        <w:rPr>
          <w:sz w:val="20"/>
          <w:szCs w:val="20"/>
          <w:color w:val="auto"/>
        </w:rPr>
      </w:pPr>
    </w:p>
    <w:p>
      <w:pPr>
        <w:ind w:left="120" w:hanging="112"/>
        <w:spacing w:after="0"/>
        <w:tabs>
          <w:tab w:leader="none" w:pos="12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Ms. Montiel is not a nominee for director at our 2024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891540" cy="291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91540" cy="291465"/>
                    </a:xfrm>
                    <a:prstGeom prst="rect">
                      <a:avLst/>
                    </a:prstGeom>
                    <a:noFill/>
                  </pic:spPr>
                </pic:pic>
              </a:graphicData>
            </a:graphic>
          </wp:anchor>
        </w:drawing>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676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676910"/>
                    </a:xfrm>
                    <a:prstGeom prst="rect">
                      <a:avLst/>
                    </a:prstGeom>
                    <a:noFill/>
                  </pic:spPr>
                </pic:pic>
              </a:graphicData>
            </a:graphic>
          </wp:anchor>
        </w:drawing>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00A0E0"/>
        </w:rPr>
        <w:t>Advisory Vote to Approve Executive Compensation</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Our Board unanimously recommends that shareholders vote </w:t>
      </w:r>
      <w:r>
        <w:rPr>
          <w:rFonts w:ascii="Arial" w:cs="Arial" w:eastAsia="Arial" w:hAnsi="Arial"/>
          <w:sz w:val="18"/>
          <w:szCs w:val="18"/>
          <w:color w:val="00A0E0"/>
        </w:rPr>
        <w:t>“FOR”</w:t>
      </w:r>
      <w:r>
        <w:rPr>
          <w:rFonts w:ascii="Arial" w:cs="Arial" w:eastAsia="Arial" w:hAnsi="Arial"/>
          <w:sz w:val="18"/>
          <w:szCs w:val="18"/>
          <w:color w:val="auto"/>
        </w:rPr>
        <w:t xml:space="preserve"> approval of the compensation of our NEOs.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The following proposal gives our shareholders the opportunity to cast a non-binding, advisory vote to approve the compensation of our NEOs. This vote is not intended to address any specific item of compensation, but rather the overall compensation of our NEOs and our compensation philosophy, policies and practices, as disclosed below.</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encourage shareholders to review detailed information on our executive compensation program and the 2023 compensation of our NEOs as set forth in “Executive Compensation – Compensation Discussion and Analysis,” starting below. Shareholders are being asked to vote “FOR” the adoption of the following resolution:</w:t>
      </w:r>
    </w:p>
    <w:p>
      <w:pPr>
        <w:spacing w:after="0" w:line="169" w:lineRule="exact"/>
        <w:rPr>
          <w:sz w:val="20"/>
          <w:szCs w:val="20"/>
          <w:color w:val="auto"/>
        </w:rPr>
      </w:pPr>
    </w:p>
    <w:p>
      <w:pPr>
        <w:ind w:right="320"/>
        <w:spacing w:after="0" w:line="311" w:lineRule="auto"/>
        <w:rPr>
          <w:sz w:val="20"/>
          <w:szCs w:val="20"/>
          <w:color w:val="auto"/>
        </w:rPr>
      </w:pPr>
      <w:r>
        <w:rPr>
          <w:rFonts w:ascii="Arial" w:cs="Arial" w:eastAsia="Arial" w:hAnsi="Arial"/>
          <w:sz w:val="17"/>
          <w:szCs w:val="17"/>
          <w:b w:val="1"/>
          <w:bCs w:val="1"/>
          <w:color w:val="auto"/>
        </w:rPr>
        <w:t>“RESOLVED, that the compensation paid to Comcast Corporation’s NEOs, as disclosed pursuant to Item 402 of Regulation S-K, including the Compensation Discussion and Analysis, compensation tables and narrative discussion, is hereby APPROVED.”</w:t>
      </w:r>
    </w:p>
    <w:p>
      <w:pPr>
        <w:spacing w:after="0" w:line="11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While we intend to carefully consider the voting results of this proposal, this vote is advisory in nature, and, therefore, is not binding on us or our Board. Our Board and CHC Committee value the opinions of all of our shareholders and will consider the outcome of this vote when making future compensation decisions for our NEOs.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currently conduct advisory votes to approve the compensation paid to our NEOs on an annual basis.</w:t>
      </w:r>
    </w:p>
    <w:p>
      <w:pPr>
        <w:spacing w:after="0" w:line="196"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Compensation Discussion and Analysis</w:t>
      </w:r>
    </w:p>
    <w:p>
      <w:pPr>
        <w:spacing w:after="0" w:line="235" w:lineRule="exact"/>
        <w:rPr>
          <w:sz w:val="20"/>
          <w:szCs w:val="20"/>
          <w:color w:val="auto"/>
        </w:rPr>
      </w:pPr>
    </w:p>
    <w:p>
      <w:pPr>
        <w:ind w:right="160"/>
        <w:spacing w:after="0" w:line="301" w:lineRule="auto"/>
        <w:rPr>
          <w:sz w:val="20"/>
          <w:szCs w:val="20"/>
          <w:color w:val="auto"/>
        </w:rPr>
      </w:pPr>
      <w:r>
        <w:rPr>
          <w:rFonts w:ascii="Arial" w:cs="Arial" w:eastAsia="Arial" w:hAnsi="Arial"/>
          <w:sz w:val="17"/>
          <w:szCs w:val="17"/>
          <w:color w:val="auto"/>
        </w:rPr>
        <w:t>This discussion and analysis describes our executive compensation philosophy, process, plans and practices, our compensation program’s alignment with our performance and the 2023 compensation decisions for our NEOs set forth in the Summary Compensation Table.</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color w:val="auto"/>
        </w:rPr>
        <w:t>Executive Overview</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A0E0"/>
        </w:rPr>
        <w:t>Overall Performance</w:t>
      </w:r>
    </w:p>
    <w:p>
      <w:pPr>
        <w:spacing w:after="0" w:line="21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Mr. Roberts and our senior leadership team have successfully led our company over the past year, achieving steady and strong operating and financial results and underscoring the strength of our businesses. Our continued focus on innovation and execution, balanced with financial discipline, enabled us in 2023 to deliver strong performance across</w:t>
      </w:r>
    </w:p>
    <w:p>
      <w:pPr>
        <w:sectPr>
          <w:pgSz w:w="11900" w:h="16838" w:orient="portrait"/>
          <w:cols w:equalWidth="0" w:num="1">
            <w:col w:w="11220"/>
          </w:cols>
          <w:pgMar w:left="320" w:top="121" w:right="359" w:bottom="1440" w:gutter="0" w:footer="0" w:header="0"/>
        </w:sectPr>
      </w:pPr>
    </w:p>
    <w:p>
      <w:pPr>
        <w:spacing w:after="0" w:line="173" w:lineRule="exact"/>
        <w:rPr>
          <w:sz w:val="20"/>
          <w:szCs w:val="20"/>
          <w:color w:val="auto"/>
        </w:rPr>
      </w:pPr>
    </w:p>
    <w:p>
      <w:pPr>
        <w:ind w:left="360" w:hanging="352"/>
        <w:spacing w:after="0"/>
        <w:tabs>
          <w:tab w:leader="none" w:pos="360"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our businesses and continue to invest in key areas of growth for the future, particularly in residential broadband, wireless, business services connectivity, theme parks, streaming and premium content in our studios. As described above in “About Comcast – 2023 Performance Overview,” our 2023 consolidated operating and financial results were solid, with contributions from across our company, including our six key growth areas, underscoring our strategic decision-making, financial strength and capital allocation priorities, driven with a view toward growth and creating long-term value.</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Board credits our senior leadership team for their successful leadership in 2023. They worked collaboratively with our businesses on key strategic initiatives such as transitioning our network to DOCSIS 4.0, expanding our broadband distribution footprint, increasing wireless lines, further penetrating business services in the markets in which we operate, scaling our streaming service, developing content that contributed to the top ranking at the worldwide box office, and building new destinations and experiences at our theme parks around the world. Our leadership team also delivered for shareholders and supported our stakeholders, including our employees, customers, suppliers and the communities where we operate. From our dedication to advancing digital equity by providing more people with the tools and resources they need to succeed in a digital society, to our ongoing efforts in community impact, environmental sustainability and strengthening our workplace culture of respect for others, our senior leadership team reinforced our company’s commitment to doing what’s right while emphasizing our commitment to act with integrity. See “Spotlight on Our Corporate Responsibility Initiatives” for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color w:val="auto"/>
        </w:rPr>
        <w:t>2023 Compensation Overview</w:t>
      </w:r>
    </w:p>
    <w:p>
      <w:pPr>
        <w:spacing w:after="0" w:line="22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Our executive compensation program is designed to align our NEOs’ compensation with our shareholders’ interests and our long-term strategic goals and to ensure that we pay for performance. In making compensation decisions for 2023, the CHC Committee considered, among other things, the strong performance of our NEOs in successfully managing our company for the long term and market compensation paid by other similarly situated companies.</w:t>
      </w:r>
    </w:p>
    <w:p>
      <w:pPr>
        <w:spacing w:after="0" w:line="174"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As a result of our compensation design, the vast majority of our NEOs’ compensation is performance-based, strongly aligning NEO compensation with shareholder interests.</w:t>
      </w:r>
    </w:p>
    <w:p>
      <w:pPr>
        <w:sectPr>
          <w:pgSz w:w="11900" w:h="16838" w:orient="portrait"/>
          <w:cols w:equalWidth="0" w:num="1">
            <w:col w:w="11240"/>
          </w:cols>
          <w:pgMar w:left="320" w:top="121"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00A0DD"/>
        </w:rPr>
        <w:t>2023 CEO COMPENSATION MIX</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00A0DD"/>
        </w:rPr>
        <w:t>2023 AVERAGE NEO COMPENSATION MIX</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(EXCLUDING CEO)</w:t>
      </w:r>
    </w:p>
    <w:p>
      <w:pPr>
        <w:spacing w:after="0" w:line="113"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color w:val="auto"/>
        </w:rPr>
        <w:t>Total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088390" cy="11741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88390" cy="1174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Arial" w:cs="Arial" w:eastAsia="Arial" w:hAnsi="Arial"/>
          <w:sz w:val="17"/>
          <w:szCs w:val="17"/>
          <w:b w:val="1"/>
          <w:bCs w:val="1"/>
          <w:color w:val="auto"/>
        </w:rPr>
        <w:t xml:space="preserve">86% </w:t>
      </w:r>
      <w:r>
        <w:rPr>
          <w:rFonts w:ascii="Arial" w:cs="Arial" w:eastAsia="Arial" w:hAnsi="Arial"/>
          <w:sz w:val="17"/>
          <w:szCs w:val="17"/>
          <w:color w:val="auto"/>
        </w:rPr>
        <w:t>Total Performance-Based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1089025" cy="11741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89025" cy="11741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320"/>
        <w:spacing w:after="0"/>
        <w:rPr>
          <w:sz w:val="20"/>
          <w:szCs w:val="20"/>
          <w:color w:val="auto"/>
        </w:rPr>
      </w:pPr>
      <w:r>
        <w:rPr>
          <w:sz w:val="1"/>
          <w:szCs w:val="1"/>
          <w:color w:val="auto"/>
        </w:rPr>
        <w:drawing>
          <wp:inline distT="0" distB="0" distL="0" distR="0">
            <wp:extent cx="137160" cy="1371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Salary   </w:t>
      </w:r>
      <w:r>
        <w:rPr>
          <w:sz w:val="1"/>
          <w:szCs w:val="1"/>
          <w:color w:val="auto"/>
        </w:rPr>
        <w:drawing>
          <wp:inline distT="0" distB="0" distL="0" distR="0">
            <wp:extent cx="137160" cy="12890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128905"/>
                    </a:xfrm>
                    <a:prstGeom prst="rect">
                      <a:avLst/>
                    </a:prstGeom>
                    <a:noFill/>
                    <a:ln>
                      <a:noFill/>
                    </a:ln>
                  </pic:spPr>
                </pic:pic>
              </a:graphicData>
            </a:graphic>
          </wp:inline>
        </w:drawing>
      </w:r>
      <w:r>
        <w:rPr>
          <w:rFonts w:ascii="Arial" w:cs="Arial" w:eastAsia="Arial" w:hAnsi="Arial"/>
          <w:sz w:val="18"/>
          <w:szCs w:val="18"/>
          <w:color w:val="auto"/>
        </w:rPr>
        <w:t xml:space="preserve"> Annual Cash Bonus   </w:t>
      </w:r>
      <w:r>
        <w:rPr>
          <w:sz w:val="1"/>
          <w:szCs w:val="1"/>
          <w:color w:val="auto"/>
        </w:rPr>
        <w:drawing>
          <wp:inline distT="0" distB="0" distL="0" distR="0">
            <wp:extent cx="137160" cy="1371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Stock Options   </w:t>
      </w:r>
      <w:r>
        <w:rPr>
          <w:sz w:val="1"/>
          <w:szCs w:val="1"/>
          <w:color w:val="auto"/>
        </w:rPr>
        <w:drawing>
          <wp:inline distT="0" distB="0" distL="0" distR="0">
            <wp:extent cx="137160" cy="1371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PSUs   </w:t>
      </w:r>
      <w:r>
        <w:rPr>
          <w:sz w:val="1"/>
          <w:szCs w:val="1"/>
          <w:color w:val="auto"/>
        </w:rPr>
        <w:drawing>
          <wp:inline distT="0" distB="0" distL="0" distR="0">
            <wp:extent cx="137160" cy="1371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18"/>
          <w:szCs w:val="18"/>
          <w:color w:val="auto"/>
        </w:rPr>
        <w:t xml:space="preserve"> Other</w:t>
      </w:r>
    </w:p>
    <w:p>
      <w:pPr>
        <w:spacing w:after="0" w:line="200" w:lineRule="exact"/>
        <w:rPr>
          <w:sz w:val="20"/>
          <w:szCs w:val="20"/>
          <w:color w:val="auto"/>
        </w:rPr>
      </w:pPr>
    </w:p>
    <w:p>
      <w:pPr>
        <w:spacing w:after="0" w:line="250" w:lineRule="exact"/>
        <w:rPr>
          <w:sz w:val="20"/>
          <w:szCs w:val="20"/>
          <w:color w:val="auto"/>
        </w:rPr>
      </w:pPr>
    </w:p>
    <w:p>
      <w:pPr>
        <w:ind w:right="1200"/>
        <w:spacing w:after="0" w:line="271" w:lineRule="auto"/>
        <w:rPr>
          <w:sz w:val="20"/>
          <w:szCs w:val="20"/>
          <w:color w:val="auto"/>
        </w:rPr>
      </w:pPr>
      <w:r>
        <w:rPr>
          <w:rFonts w:ascii="Arial" w:cs="Arial" w:eastAsia="Arial" w:hAnsi="Arial"/>
          <w:sz w:val="18"/>
          <w:szCs w:val="18"/>
          <w:color w:val="auto"/>
        </w:rPr>
        <w:t>Key executive compensation decisions in respect of 2023 compensation are discussed in detail below under “Our Approach to Compensation” and “Compensation Decisions.”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auto"/>
        </w:rPr>
        <w:t>Shareholder Feedback on Executive Compensation</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CHC Committee and our management team are committed to continued engagement with shareholders to understand their viewpoints and to discuss and demonstrate the important connection between our compensation program, on the one hand, and our business strategy, goals and financial and operating performance, on the other hand. Our executive compensation program design reflects meaningful changes made in 2021 in response to shareholder feedback, which we believe shareholders continue to view favorably, as reflected by shareholders approving on an advisory basis the 2022 compensation of our NEOs by 92% of the votes cast at our 2023 annual meeting. We also gather feedback from shareholders on our executive compensation programs through our shareholder engagement described on page 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28</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CHC Committee discussed and evaluated our executive compensation program and considered our annual say-on-pay advisory voting results with Korn Ferry, its independent compensation consultant. The CHC Committee believes that its decisions are consistent with our compensation philosophy and objectives and that those compensation decisions align the interests of our NEOs with our long-term goals and the interests of our shareholders without incenting inappropriate risk taking.</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3600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362" w:lineRule="exact"/>
        <w:rPr>
          <w:sz w:val="20"/>
          <w:szCs w:val="20"/>
          <w:color w:val="auto"/>
        </w:rPr>
      </w:pPr>
    </w:p>
    <w:p>
      <w:pPr>
        <w:ind w:left="2760"/>
        <w:spacing w:after="0"/>
        <w:tabs>
          <w:tab w:leader="none" w:pos="8160" w:val="left"/>
        </w:tabs>
        <w:rPr>
          <w:sz w:val="20"/>
          <w:szCs w:val="20"/>
          <w:color w:val="auto"/>
        </w:rPr>
      </w:pPr>
      <w:r>
        <w:rPr>
          <w:rFonts w:ascii="Arial" w:cs="Arial" w:eastAsia="Arial" w:hAnsi="Arial"/>
          <w:sz w:val="22"/>
          <w:szCs w:val="22"/>
          <w:b w:val="1"/>
          <w:bCs w:val="1"/>
          <w:color w:val="FFFFFF"/>
        </w:rPr>
        <w:t>What We Do</w:t>
      </w:r>
      <w:r>
        <w:rPr>
          <w:sz w:val="20"/>
          <w:szCs w:val="20"/>
          <w:color w:val="auto"/>
        </w:rPr>
        <w:tab/>
      </w:r>
      <w:r>
        <w:rPr>
          <w:rFonts w:ascii="Arial" w:cs="Arial" w:eastAsia="Arial" w:hAnsi="Arial"/>
          <w:sz w:val="21"/>
          <w:szCs w:val="21"/>
          <w:b w:val="1"/>
          <w:bCs w:val="1"/>
          <w:color w:val="FFFFFF"/>
        </w:rPr>
        <w:t>What We Don’t Do</w:t>
      </w:r>
    </w:p>
    <w:p>
      <w:pPr>
        <w:sectPr>
          <w:pgSz w:w="11900" w:h="16838" w:orient="portrait"/>
          <w:cols w:equalWidth="0" w:num="1">
            <w:col w:w="11220"/>
          </w:cols>
          <w:pgMar w:left="320" w:top="121" w:right="359" w:bottom="1440" w:gutter="0" w:footer="0" w:header="0"/>
        </w:sectPr>
      </w:pPr>
    </w:p>
    <w:p>
      <w:pPr>
        <w:spacing w:after="0" w:line="229" w:lineRule="exact"/>
        <w:rPr>
          <w:sz w:val="20"/>
          <w:szCs w:val="20"/>
          <w:color w:val="auto"/>
        </w:rPr>
      </w:pPr>
    </w:p>
    <w:p>
      <w:pPr>
        <w:ind w:left="360" w:right="460" w:hanging="271"/>
        <w:spacing w:after="0" w:line="265" w:lineRule="auto"/>
        <w:tabs>
          <w:tab w:leader="none" w:pos="382" w:val="left"/>
        </w:tabs>
        <w:numPr>
          <w:ilvl w:val="0"/>
          <w:numId w:val="61"/>
        </w:numPr>
        <w:rPr>
          <w:rFonts w:ascii="MS PGothic" w:cs="MS PGothic" w:eastAsia="MS PGothic" w:hAnsi="MS PGothic"/>
          <w:sz w:val="17"/>
          <w:szCs w:val="17"/>
          <w:color w:val="00A0DD"/>
        </w:rPr>
      </w:pPr>
      <w:r>
        <w:rPr>
          <w:rFonts w:ascii="Arial" w:cs="Arial" w:eastAsia="Arial" w:hAnsi="Arial"/>
          <w:sz w:val="18"/>
          <w:szCs w:val="18"/>
          <w:color w:val="auto"/>
        </w:rPr>
        <w:t>Employ rigorous Performance Stock Unit (“PSU”) and annual cash bonus performance conditions.</w:t>
      </w:r>
    </w:p>
    <w:p>
      <w:pPr>
        <w:spacing w:after="0" w:line="28" w:lineRule="exact"/>
        <w:rPr>
          <w:rFonts w:ascii="MS PGothic" w:cs="MS PGothic" w:eastAsia="MS PGothic" w:hAnsi="MS PGothic"/>
          <w:sz w:val="17"/>
          <w:szCs w:val="17"/>
          <w:color w:val="00A0DD"/>
        </w:rPr>
      </w:pPr>
    </w:p>
    <w:p>
      <w:pPr>
        <w:ind w:left="360" w:hanging="271"/>
        <w:spacing w:after="0" w:line="290" w:lineRule="auto"/>
        <w:tabs>
          <w:tab w:leader="none" w:pos="382" w:val="left"/>
        </w:tabs>
        <w:numPr>
          <w:ilvl w:val="0"/>
          <w:numId w:val="61"/>
        </w:numPr>
        <w:rPr>
          <w:rFonts w:ascii="MS PGothic" w:cs="MS PGothic" w:eastAsia="MS PGothic" w:hAnsi="MS PGothic"/>
          <w:sz w:val="16"/>
          <w:szCs w:val="16"/>
          <w:color w:val="00A0DD"/>
        </w:rPr>
      </w:pPr>
      <w:r>
        <w:rPr>
          <w:rFonts w:ascii="Arial" w:cs="Arial" w:eastAsia="Arial" w:hAnsi="Arial"/>
          <w:sz w:val="17"/>
          <w:szCs w:val="17"/>
          <w:color w:val="auto"/>
        </w:rPr>
        <w:t>Maintain robust stock ownership guidelines. A person not in compliance cannot sell or otherwise dispose of stock until the ownership requirement is met.</w:t>
      </w:r>
    </w:p>
    <w:p>
      <w:pPr>
        <w:ind w:left="600" w:hanging="241"/>
        <w:spacing w:after="0"/>
        <w:tabs>
          <w:tab w:leader="none" w:pos="600" w:val="left"/>
        </w:tabs>
        <w:numPr>
          <w:ilvl w:val="1"/>
          <w:numId w:val="61"/>
        </w:numPr>
        <w:rPr>
          <w:rFonts w:ascii="Arial" w:cs="Arial" w:eastAsia="Arial" w:hAnsi="Arial"/>
          <w:sz w:val="17"/>
          <w:szCs w:val="17"/>
          <w:color w:val="00A0DD"/>
        </w:rPr>
      </w:pPr>
      <w:r>
        <w:rPr>
          <w:rFonts w:ascii="Arial" w:cs="Arial" w:eastAsia="Arial" w:hAnsi="Arial"/>
          <w:sz w:val="18"/>
          <w:szCs w:val="18"/>
          <w:color w:val="auto"/>
        </w:rPr>
        <w:t>CEO = 10x base salary</w:t>
      </w:r>
    </w:p>
    <w:p>
      <w:pPr>
        <w:spacing w:after="0" w:line="63" w:lineRule="exact"/>
        <w:rPr>
          <w:rFonts w:ascii="Arial" w:cs="Arial" w:eastAsia="Arial" w:hAnsi="Arial"/>
          <w:sz w:val="17"/>
          <w:szCs w:val="17"/>
          <w:color w:val="00A0DD"/>
        </w:rPr>
      </w:pPr>
    </w:p>
    <w:p>
      <w:pPr>
        <w:ind w:left="600" w:hanging="241"/>
        <w:spacing w:after="0"/>
        <w:tabs>
          <w:tab w:leader="none" w:pos="600" w:val="left"/>
        </w:tabs>
        <w:numPr>
          <w:ilvl w:val="1"/>
          <w:numId w:val="61"/>
        </w:numPr>
        <w:rPr>
          <w:rFonts w:ascii="Arial" w:cs="Arial" w:eastAsia="Arial" w:hAnsi="Arial"/>
          <w:sz w:val="17"/>
          <w:szCs w:val="17"/>
          <w:color w:val="00A0DD"/>
        </w:rPr>
      </w:pPr>
      <w:r>
        <w:rPr>
          <w:rFonts w:ascii="Arial" w:cs="Arial" w:eastAsia="Arial" w:hAnsi="Arial"/>
          <w:sz w:val="18"/>
          <w:szCs w:val="18"/>
          <w:color w:val="auto"/>
        </w:rPr>
        <w:t>President = 5x base salary</w:t>
      </w:r>
    </w:p>
    <w:p>
      <w:pPr>
        <w:spacing w:after="0" w:line="76" w:lineRule="exact"/>
        <w:rPr>
          <w:rFonts w:ascii="Arial" w:cs="Arial" w:eastAsia="Arial" w:hAnsi="Arial"/>
          <w:sz w:val="17"/>
          <w:szCs w:val="17"/>
          <w:color w:val="00A0DD"/>
        </w:rPr>
      </w:pPr>
    </w:p>
    <w:p>
      <w:pPr>
        <w:ind w:left="600" w:hanging="241"/>
        <w:spacing w:after="0"/>
        <w:tabs>
          <w:tab w:leader="none" w:pos="600" w:val="left"/>
        </w:tabs>
        <w:numPr>
          <w:ilvl w:val="1"/>
          <w:numId w:val="61"/>
        </w:numPr>
        <w:rPr>
          <w:rFonts w:ascii="Arial" w:cs="Arial" w:eastAsia="Arial" w:hAnsi="Arial"/>
          <w:sz w:val="17"/>
          <w:szCs w:val="17"/>
          <w:color w:val="00A0DD"/>
        </w:rPr>
      </w:pPr>
      <w:r>
        <w:rPr>
          <w:rFonts w:ascii="Arial" w:cs="Arial" w:eastAsia="Arial" w:hAnsi="Arial"/>
          <w:sz w:val="18"/>
          <w:szCs w:val="18"/>
          <w:color w:val="auto"/>
        </w:rPr>
        <w:t>Other executive officers = 3x base salary</w:t>
      </w:r>
    </w:p>
    <w:p>
      <w:pPr>
        <w:spacing w:after="0" w:line="63" w:lineRule="exact"/>
        <w:rPr>
          <w:rFonts w:ascii="Arial" w:cs="Arial" w:eastAsia="Arial" w:hAnsi="Arial"/>
          <w:sz w:val="17"/>
          <w:szCs w:val="17"/>
          <w:color w:val="00A0DD"/>
        </w:rPr>
      </w:pPr>
    </w:p>
    <w:p>
      <w:pPr>
        <w:ind w:left="600" w:hanging="241"/>
        <w:spacing w:after="0"/>
        <w:tabs>
          <w:tab w:leader="none" w:pos="600" w:val="left"/>
        </w:tabs>
        <w:numPr>
          <w:ilvl w:val="1"/>
          <w:numId w:val="61"/>
        </w:numPr>
        <w:rPr>
          <w:rFonts w:ascii="Arial" w:cs="Arial" w:eastAsia="Arial" w:hAnsi="Arial"/>
          <w:sz w:val="17"/>
          <w:szCs w:val="17"/>
          <w:color w:val="00A0DD"/>
        </w:rPr>
      </w:pPr>
      <w:r>
        <w:rPr>
          <w:rFonts w:ascii="Arial" w:cs="Arial" w:eastAsia="Arial" w:hAnsi="Arial"/>
          <w:sz w:val="18"/>
          <w:szCs w:val="18"/>
          <w:color w:val="auto"/>
        </w:rPr>
        <w:t>Nonemployee directors = 5x annual cash retainer</w:t>
      </w:r>
    </w:p>
    <w:p>
      <w:pPr>
        <w:spacing w:after="0" w:line="63" w:lineRule="exact"/>
        <w:rPr>
          <w:rFonts w:ascii="Arial" w:cs="Arial" w:eastAsia="Arial" w:hAnsi="Arial"/>
          <w:sz w:val="17"/>
          <w:szCs w:val="17"/>
          <w:color w:val="00A0DD"/>
        </w:rPr>
      </w:pPr>
    </w:p>
    <w:p>
      <w:pPr>
        <w:ind w:left="360" w:right="340" w:hanging="271"/>
        <w:spacing w:after="0" w:line="253" w:lineRule="auto"/>
        <w:tabs>
          <w:tab w:leader="none" w:pos="382" w:val="left"/>
        </w:tabs>
        <w:numPr>
          <w:ilvl w:val="0"/>
          <w:numId w:val="61"/>
        </w:numPr>
        <w:rPr>
          <w:rFonts w:ascii="MS PGothic" w:cs="MS PGothic" w:eastAsia="MS PGothic" w:hAnsi="MS PGothic"/>
          <w:sz w:val="17"/>
          <w:szCs w:val="17"/>
          <w:color w:val="00A0DD"/>
        </w:rPr>
      </w:pPr>
      <w:r>
        <w:rPr>
          <w:rFonts w:ascii="Arial" w:cs="Arial" w:eastAsia="Arial" w:hAnsi="Arial"/>
          <w:sz w:val="18"/>
          <w:szCs w:val="18"/>
          <w:color w:val="auto"/>
        </w:rPr>
        <w:t>Prohibit executive officers and directors from (i) pledging Comcast stock as collateral or holding it in margin accounts and (ii) using any strategies or products to hedge against potential changes in the value of our stock.</w:t>
      </w:r>
    </w:p>
    <w:p>
      <w:pPr>
        <w:spacing w:after="0" w:line="33" w:lineRule="exact"/>
        <w:rPr>
          <w:rFonts w:ascii="MS PGothic" w:cs="MS PGothic" w:eastAsia="MS PGothic" w:hAnsi="MS PGothic"/>
          <w:sz w:val="17"/>
          <w:szCs w:val="17"/>
          <w:color w:val="00A0DD"/>
        </w:rPr>
      </w:pPr>
    </w:p>
    <w:p>
      <w:pPr>
        <w:ind w:left="360" w:right="80" w:hanging="271"/>
        <w:spacing w:after="0" w:line="257" w:lineRule="auto"/>
        <w:tabs>
          <w:tab w:leader="none" w:pos="382" w:val="left"/>
        </w:tabs>
        <w:numPr>
          <w:ilvl w:val="0"/>
          <w:numId w:val="61"/>
        </w:numPr>
        <w:rPr>
          <w:rFonts w:ascii="MS PGothic" w:cs="MS PGothic" w:eastAsia="MS PGothic" w:hAnsi="MS PGothic"/>
          <w:sz w:val="17"/>
          <w:szCs w:val="17"/>
          <w:color w:val="00A0DD"/>
        </w:rPr>
      </w:pPr>
      <w:r>
        <w:rPr>
          <w:rFonts w:ascii="Arial" w:cs="Arial" w:eastAsia="Arial" w:hAnsi="Arial"/>
          <w:sz w:val="18"/>
          <w:szCs w:val="18"/>
          <w:color w:val="auto"/>
        </w:rPr>
        <w:t>Have an incentive compensation recoupment (or “clawback”) policy applicable to our executive officers.</w:t>
      </w:r>
    </w:p>
    <w:p>
      <w:pPr>
        <w:spacing w:after="0" w:line="29" w:lineRule="exact"/>
        <w:rPr>
          <w:rFonts w:ascii="MS PGothic" w:cs="MS PGothic" w:eastAsia="MS PGothic" w:hAnsi="MS PGothic"/>
          <w:sz w:val="17"/>
          <w:szCs w:val="17"/>
          <w:color w:val="00A0DD"/>
        </w:rPr>
      </w:pPr>
    </w:p>
    <w:p>
      <w:pPr>
        <w:ind w:left="360" w:right="820" w:hanging="271"/>
        <w:spacing w:after="0" w:line="257" w:lineRule="auto"/>
        <w:tabs>
          <w:tab w:leader="none" w:pos="382" w:val="left"/>
        </w:tabs>
        <w:numPr>
          <w:ilvl w:val="0"/>
          <w:numId w:val="61"/>
        </w:numPr>
        <w:rPr>
          <w:rFonts w:ascii="MS PGothic" w:cs="MS PGothic" w:eastAsia="MS PGothic" w:hAnsi="MS PGothic"/>
          <w:sz w:val="17"/>
          <w:szCs w:val="17"/>
          <w:color w:val="00A0DD"/>
        </w:rPr>
      </w:pPr>
      <w:r>
        <w:rPr>
          <w:rFonts w:ascii="Arial" w:cs="Arial" w:eastAsia="Arial" w:hAnsi="Arial"/>
          <w:sz w:val="18"/>
          <w:szCs w:val="18"/>
          <w:color w:val="auto"/>
        </w:rPr>
        <w:t>CHC Committee directly engages Korn Ferry as its own independent compensation consultant.</w:t>
      </w:r>
    </w:p>
    <w:p>
      <w:pPr>
        <w:spacing w:after="0" w:line="29" w:lineRule="exact"/>
        <w:rPr>
          <w:rFonts w:ascii="MS PGothic" w:cs="MS PGothic" w:eastAsia="MS PGothic" w:hAnsi="MS PGothic"/>
          <w:sz w:val="17"/>
          <w:szCs w:val="17"/>
          <w:color w:val="00A0DD"/>
        </w:rPr>
      </w:pPr>
    </w:p>
    <w:p>
      <w:pPr>
        <w:ind w:left="360" w:right="120" w:hanging="271"/>
        <w:spacing w:after="0" w:line="281" w:lineRule="auto"/>
        <w:tabs>
          <w:tab w:leader="none" w:pos="382" w:val="left"/>
        </w:tabs>
        <w:numPr>
          <w:ilvl w:val="0"/>
          <w:numId w:val="61"/>
        </w:numPr>
        <w:rPr>
          <w:rFonts w:ascii="MS PGothic" w:cs="MS PGothic" w:eastAsia="MS PGothic" w:hAnsi="MS PGothic"/>
          <w:sz w:val="16"/>
          <w:szCs w:val="16"/>
          <w:color w:val="00A0DD"/>
        </w:rPr>
      </w:pPr>
      <w:r>
        <w:rPr>
          <w:rFonts w:ascii="Arial" w:cs="Arial" w:eastAsia="Arial" w:hAnsi="Arial"/>
          <w:sz w:val="17"/>
          <w:szCs w:val="17"/>
          <w:color w:val="auto"/>
        </w:rPr>
        <w:t>Use net-settled options, which results in fewer shares issued and less dilution to our shareholders than stock options exercised with a cash payment.</w:t>
      </w:r>
    </w:p>
    <w:p>
      <w:pPr>
        <w:spacing w:after="0" w:line="28" w:lineRule="exact"/>
        <w:rPr>
          <w:rFonts w:ascii="MS PGothic" w:cs="MS PGothic" w:eastAsia="MS PGothic" w:hAnsi="MS PGothic"/>
          <w:sz w:val="16"/>
          <w:szCs w:val="16"/>
          <w:color w:val="00A0DD"/>
        </w:rPr>
      </w:pPr>
    </w:p>
    <w:p>
      <w:pPr>
        <w:ind w:left="360" w:right="460" w:hanging="271"/>
        <w:spacing w:after="0" w:line="271" w:lineRule="auto"/>
        <w:tabs>
          <w:tab w:leader="none" w:pos="382" w:val="left"/>
        </w:tabs>
        <w:numPr>
          <w:ilvl w:val="0"/>
          <w:numId w:val="61"/>
        </w:numPr>
        <w:rPr>
          <w:rFonts w:ascii="MS PGothic" w:cs="MS PGothic" w:eastAsia="MS PGothic" w:hAnsi="MS PGothic"/>
          <w:sz w:val="17"/>
          <w:szCs w:val="17"/>
          <w:color w:val="00A0DD"/>
        </w:rPr>
      </w:pPr>
      <w:r>
        <w:rPr>
          <w:rFonts w:ascii="Arial" w:cs="Arial" w:eastAsia="Arial" w:hAnsi="Arial"/>
          <w:sz w:val="18"/>
          <w:szCs w:val="18"/>
          <w:color w:val="auto"/>
        </w:rPr>
        <w:t>Use relatively long vesting periods for our equity awards, which promotes retention and emphasizes longer term shareholder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42862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25"/>
          <w:szCs w:val="25"/>
          <w:color w:val="auto"/>
        </w:rPr>
        <w:t>Our Approach to Compensation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65" w:right="400" w:hanging="265"/>
        <w:spacing w:after="0" w:line="265" w:lineRule="auto"/>
        <w:tabs>
          <w:tab w:leader="none" w:pos="287" w:val="left"/>
        </w:tabs>
        <w:numPr>
          <w:ilvl w:val="0"/>
          <w:numId w:val="62"/>
        </w:numPr>
        <w:rPr>
          <w:rFonts w:ascii="MS PGothic" w:cs="MS PGothic" w:eastAsia="MS PGothic" w:hAnsi="MS PGothic"/>
          <w:sz w:val="17"/>
          <w:szCs w:val="17"/>
          <w:color w:val="auto"/>
        </w:rPr>
      </w:pPr>
      <w:r>
        <w:rPr>
          <w:rFonts w:ascii="Arial" w:cs="Arial" w:eastAsia="Arial" w:hAnsi="Arial"/>
          <w:sz w:val="18"/>
          <w:szCs w:val="18"/>
          <w:color w:val="auto"/>
        </w:rPr>
        <w:t>Do not permit the repricing of options of any kind.</w:t>
      </w:r>
    </w:p>
    <w:p>
      <w:pPr>
        <w:spacing w:after="0" w:line="28" w:lineRule="exact"/>
        <w:rPr>
          <w:rFonts w:ascii="MS PGothic" w:cs="MS PGothic" w:eastAsia="MS PGothic" w:hAnsi="MS PGothic"/>
          <w:sz w:val="17"/>
          <w:szCs w:val="17"/>
          <w:color w:val="auto"/>
        </w:rPr>
      </w:pPr>
    </w:p>
    <w:p>
      <w:pPr>
        <w:ind w:left="265" w:right="380" w:hanging="265"/>
        <w:spacing w:after="0" w:line="250" w:lineRule="auto"/>
        <w:tabs>
          <w:tab w:leader="none" w:pos="287" w:val="left"/>
        </w:tabs>
        <w:numPr>
          <w:ilvl w:val="0"/>
          <w:numId w:val="62"/>
        </w:numPr>
        <w:rPr>
          <w:rFonts w:ascii="MS PGothic" w:cs="MS PGothic" w:eastAsia="MS PGothic" w:hAnsi="MS PGothic"/>
          <w:sz w:val="17"/>
          <w:szCs w:val="17"/>
          <w:color w:val="auto"/>
        </w:rPr>
      </w:pPr>
      <w:r>
        <w:rPr>
          <w:rFonts w:ascii="Arial" w:cs="Arial" w:eastAsia="Arial" w:hAnsi="Arial"/>
          <w:sz w:val="18"/>
          <w:szCs w:val="18"/>
          <w:color w:val="auto"/>
        </w:rPr>
        <w:t>Do not maintain any defined benefit pension plans or supplemental executive retirement plans for our NEOs.</w:t>
      </w:r>
    </w:p>
    <w:p>
      <w:pPr>
        <w:spacing w:after="0" w:line="28" w:lineRule="exact"/>
        <w:rPr>
          <w:rFonts w:ascii="MS PGothic" w:cs="MS PGothic" w:eastAsia="MS PGothic" w:hAnsi="MS PGothic"/>
          <w:sz w:val="17"/>
          <w:szCs w:val="17"/>
          <w:color w:val="auto"/>
        </w:rPr>
      </w:pPr>
    </w:p>
    <w:p>
      <w:pPr>
        <w:ind w:left="265" w:right="60" w:hanging="265"/>
        <w:spacing w:after="0"/>
        <w:tabs>
          <w:tab w:leader="none" w:pos="287" w:val="left"/>
        </w:tabs>
        <w:numPr>
          <w:ilvl w:val="0"/>
          <w:numId w:val="62"/>
        </w:numPr>
        <w:rPr>
          <w:rFonts w:ascii="MS PGothic" w:cs="MS PGothic" w:eastAsia="MS PGothic" w:hAnsi="MS PGothic"/>
          <w:sz w:val="17"/>
          <w:szCs w:val="17"/>
          <w:color w:val="auto"/>
        </w:rPr>
      </w:pPr>
      <w:r>
        <w:rPr>
          <w:rFonts w:ascii="Arial" w:cs="Arial" w:eastAsia="Arial" w:hAnsi="Arial"/>
          <w:sz w:val="18"/>
          <w:szCs w:val="18"/>
          <w:color w:val="auto"/>
        </w:rPr>
        <w:t>None of our equity plans has automatic (“single-trigger”) accelerated vesting provisions in connection with a change in control. Mr. Roberts’ employment agreement has a “double-trigger” change in control provision. No other NEO has change in control provisions in their employment agreement.</w:t>
      </w:r>
    </w:p>
    <w:p>
      <w:pPr>
        <w:spacing w:after="0" w:line="36" w:lineRule="exact"/>
        <w:rPr>
          <w:rFonts w:ascii="MS PGothic" w:cs="MS PGothic" w:eastAsia="MS PGothic" w:hAnsi="MS PGothic"/>
          <w:sz w:val="17"/>
          <w:szCs w:val="17"/>
          <w:color w:val="auto"/>
        </w:rPr>
      </w:pPr>
    </w:p>
    <w:p>
      <w:pPr>
        <w:ind w:left="265" w:right="120" w:hanging="265"/>
        <w:spacing w:after="0" w:line="253" w:lineRule="auto"/>
        <w:tabs>
          <w:tab w:leader="none" w:pos="287" w:val="left"/>
        </w:tabs>
        <w:numPr>
          <w:ilvl w:val="0"/>
          <w:numId w:val="62"/>
        </w:numPr>
        <w:rPr>
          <w:rFonts w:ascii="MS PGothic" w:cs="MS PGothic" w:eastAsia="MS PGothic" w:hAnsi="MS PGothic"/>
          <w:sz w:val="17"/>
          <w:szCs w:val="17"/>
          <w:color w:val="auto"/>
        </w:rPr>
      </w:pPr>
      <w:r>
        <w:rPr>
          <w:rFonts w:ascii="Arial" w:cs="Arial" w:eastAsia="Arial" w:hAnsi="Arial"/>
          <w:sz w:val="18"/>
          <w:szCs w:val="18"/>
          <w:color w:val="auto"/>
        </w:rPr>
        <w:t>Do not pay dividends or dividend equivalents in respect of any unearned PSUs or RSUs or on any stock options.</w:t>
      </w:r>
    </w:p>
    <w:p>
      <w:pPr>
        <w:spacing w:after="0" w:line="33" w:lineRule="exact"/>
        <w:rPr>
          <w:rFonts w:ascii="MS PGothic" w:cs="MS PGothic" w:eastAsia="MS PGothic" w:hAnsi="MS PGothic"/>
          <w:sz w:val="17"/>
          <w:szCs w:val="17"/>
          <w:color w:val="auto"/>
        </w:rPr>
      </w:pPr>
    </w:p>
    <w:p>
      <w:pPr>
        <w:ind w:left="285" w:hanging="285"/>
        <w:spacing w:after="0"/>
        <w:tabs>
          <w:tab w:leader="none" w:pos="285" w:val="left"/>
        </w:tabs>
        <w:numPr>
          <w:ilvl w:val="0"/>
          <w:numId w:val="62"/>
        </w:numPr>
        <w:rPr>
          <w:rFonts w:ascii="MS PGothic" w:cs="MS PGothic" w:eastAsia="MS PGothic" w:hAnsi="MS PGothic"/>
          <w:sz w:val="17"/>
          <w:szCs w:val="17"/>
          <w:color w:val="auto"/>
        </w:rPr>
      </w:pPr>
      <w:r>
        <w:rPr>
          <w:rFonts w:ascii="Arial" w:cs="Arial" w:eastAsia="Arial" w:hAnsi="Arial"/>
          <w:sz w:val="18"/>
          <w:szCs w:val="18"/>
          <w:color w:val="auto"/>
        </w:rPr>
        <w:t>Do not provide for any excise or other tax</w:t>
      </w:r>
    </w:p>
    <w:p>
      <w:pPr>
        <w:spacing w:after="0" w:line="14" w:lineRule="exact"/>
        <w:rPr>
          <w:sz w:val="20"/>
          <w:szCs w:val="20"/>
          <w:color w:val="auto"/>
        </w:rPr>
      </w:pPr>
    </w:p>
    <w:p>
      <w:pPr>
        <w:ind w:left="265"/>
        <w:spacing w:after="0"/>
        <w:rPr>
          <w:sz w:val="20"/>
          <w:szCs w:val="20"/>
          <w:color w:val="auto"/>
        </w:rPr>
      </w:pPr>
      <w:r>
        <w:rPr>
          <w:rFonts w:ascii="Arial" w:cs="Arial" w:eastAsia="Arial" w:hAnsi="Arial"/>
          <w:sz w:val="18"/>
          <w:szCs w:val="18"/>
          <w:color w:val="auto"/>
        </w:rPr>
        <w:t>gross-ups for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614680</wp:posOffset>
            </wp:positionV>
            <wp:extent cx="270891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1676" w:lineRule="exact"/>
        <w:rPr>
          <w:sz w:val="20"/>
          <w:szCs w:val="20"/>
          <w:color w:val="auto"/>
        </w:rPr>
      </w:pPr>
    </w:p>
    <w:p>
      <w:pPr>
        <w:sectPr>
          <w:pgSz w:w="11900" w:h="16838" w:orient="portrait"/>
          <w:cols w:equalWidth="0" w:num="2">
            <w:col w:w="6660" w:space="395"/>
            <w:col w:w="4165"/>
          </w:cols>
          <w:pgMar w:left="320" w:top="121" w:right="359" w:bottom="1440" w:gutter="0" w:footer="0" w:header="0"/>
          <w:type w:val="continuous"/>
        </w:sectPr>
      </w:pPr>
    </w:p>
    <w:p>
      <w:pPr>
        <w:spacing w:after="0" w:line="2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designing our compensation program, we evaluate both our business objectives and the need to attract and retain uniquely talented and experienced individuals who think strategically for the long term, particularly in light of the challenging and evolving competitive, technological and regulatory environments in which we operate. We employ a variety of elements that further our shareholders’ interests by securing our executives’ services in an exceedingly competitive talent market and aligning the long-term interests of our executives with the creation of shareholder value.</w:t>
      </w:r>
    </w:p>
    <w:p>
      <w:pPr>
        <w:spacing w:after="0" w:line="176" w:lineRule="exact"/>
        <w:rPr>
          <w:sz w:val="20"/>
          <w:szCs w:val="20"/>
          <w:color w:val="auto"/>
        </w:rPr>
      </w:pPr>
    </w:p>
    <w:p>
      <w:pPr>
        <w:ind w:left="260" w:right="40" w:hanging="252"/>
        <w:spacing w:after="0" w:line="271" w:lineRule="auto"/>
        <w:tabs>
          <w:tab w:leader="none" w:pos="260" w:val="left"/>
        </w:tabs>
        <w:numPr>
          <w:ilvl w:val="0"/>
          <w:numId w:val="63"/>
        </w:numPr>
        <w:rPr>
          <w:rFonts w:ascii="Arial" w:cs="Arial" w:eastAsia="Arial" w:hAnsi="Arial"/>
          <w:sz w:val="17"/>
          <w:szCs w:val="17"/>
          <w:color w:val="00A0DE"/>
        </w:rPr>
      </w:pPr>
      <w:r>
        <w:rPr>
          <w:rFonts w:ascii="Arial" w:cs="Arial" w:eastAsia="Arial" w:hAnsi="Arial"/>
          <w:sz w:val="18"/>
          <w:szCs w:val="18"/>
          <w:color w:val="auto"/>
        </w:rPr>
        <w:t>In addition to fixed compensation, we provide short-term and long-term performance-based compensation that includes company-specific performance goals, as well as relative performance goals that measure our shareholder value creation relative to market performance.</w:t>
      </w:r>
    </w:p>
    <w:p>
      <w:pPr>
        <w:spacing w:after="0" w:line="5" w:lineRule="exact"/>
        <w:rPr>
          <w:rFonts w:ascii="Arial" w:cs="Arial" w:eastAsia="Arial" w:hAnsi="Arial"/>
          <w:sz w:val="17"/>
          <w:szCs w:val="17"/>
          <w:color w:val="00A0DE"/>
        </w:rPr>
      </w:pPr>
    </w:p>
    <w:p>
      <w:pPr>
        <w:ind w:left="260" w:hanging="252"/>
        <w:spacing w:after="0"/>
        <w:tabs>
          <w:tab w:leader="none" w:pos="260" w:val="left"/>
        </w:tabs>
        <w:numPr>
          <w:ilvl w:val="0"/>
          <w:numId w:val="63"/>
        </w:numPr>
        <w:rPr>
          <w:rFonts w:ascii="Arial" w:cs="Arial" w:eastAsia="Arial" w:hAnsi="Arial"/>
          <w:sz w:val="17"/>
          <w:szCs w:val="17"/>
          <w:color w:val="00A0DE"/>
        </w:rPr>
      </w:pPr>
      <w:r>
        <w:rPr>
          <w:rFonts w:ascii="Arial" w:cs="Arial" w:eastAsia="Arial" w:hAnsi="Arial"/>
          <w:sz w:val="18"/>
          <w:szCs w:val="18"/>
          <w:color w:val="auto"/>
        </w:rPr>
        <w:t>To motivate and retain our executives, we provide pay opportunity levels that are highly competitive.</w:t>
      </w:r>
    </w:p>
    <w:p>
      <w:pPr>
        <w:spacing w:after="0" w:line="63" w:lineRule="exact"/>
        <w:rPr>
          <w:rFonts w:ascii="Arial" w:cs="Arial" w:eastAsia="Arial" w:hAnsi="Arial"/>
          <w:sz w:val="17"/>
          <w:szCs w:val="17"/>
          <w:color w:val="00A0DE"/>
        </w:rPr>
      </w:pPr>
    </w:p>
    <w:p>
      <w:pPr>
        <w:ind w:left="260" w:right="160" w:hanging="252"/>
        <w:spacing w:after="0" w:line="247" w:lineRule="auto"/>
        <w:tabs>
          <w:tab w:leader="none" w:pos="260" w:val="left"/>
        </w:tabs>
        <w:numPr>
          <w:ilvl w:val="0"/>
          <w:numId w:val="63"/>
        </w:numPr>
        <w:rPr>
          <w:rFonts w:ascii="Arial" w:cs="Arial" w:eastAsia="Arial" w:hAnsi="Arial"/>
          <w:sz w:val="17"/>
          <w:szCs w:val="17"/>
          <w:color w:val="00A0DE"/>
        </w:rPr>
      </w:pPr>
      <w:r>
        <w:rPr>
          <w:rFonts w:ascii="Arial" w:cs="Arial" w:eastAsia="Arial" w:hAnsi="Arial"/>
          <w:sz w:val="18"/>
          <w:szCs w:val="18"/>
          <w:color w:val="auto"/>
        </w:rPr>
        <w:t>Our short-term annual bonus program includes quantitative financial performance goals that are based, in part, on consolidated budgets that are prepared annually and take into consideration the cyclicality of working capital in our business, capital spending plans for the upcoming year and other relevant factors. We balance out our annual bonus program by also incenting attainment of operating performance goals and key stakeholder and sustainability initiatives.</w:t>
      </w:r>
    </w:p>
    <w:p>
      <w:pPr>
        <w:spacing w:after="0" w:line="25" w:lineRule="exact"/>
        <w:rPr>
          <w:rFonts w:ascii="Arial" w:cs="Arial" w:eastAsia="Arial" w:hAnsi="Arial"/>
          <w:sz w:val="17"/>
          <w:szCs w:val="17"/>
          <w:color w:val="00A0DE"/>
        </w:rPr>
      </w:pPr>
    </w:p>
    <w:p>
      <w:pPr>
        <w:ind w:left="260" w:right="200" w:hanging="252"/>
        <w:spacing w:after="0" w:line="244" w:lineRule="auto"/>
        <w:tabs>
          <w:tab w:leader="none" w:pos="260" w:val="left"/>
        </w:tabs>
        <w:numPr>
          <w:ilvl w:val="0"/>
          <w:numId w:val="63"/>
        </w:numPr>
        <w:rPr>
          <w:rFonts w:ascii="Arial" w:cs="Arial" w:eastAsia="Arial" w:hAnsi="Arial"/>
          <w:sz w:val="17"/>
          <w:szCs w:val="17"/>
          <w:color w:val="00A0DE"/>
        </w:rPr>
      </w:pPr>
      <w:r>
        <w:rPr>
          <w:rFonts w:ascii="Arial" w:cs="Arial" w:eastAsia="Arial" w:hAnsi="Arial"/>
          <w:sz w:val="18"/>
          <w:szCs w:val="18"/>
          <w:color w:val="auto"/>
        </w:rPr>
        <w:t>Our annual long-term incentive program is composed of grants of PSUs and stock options. PSUs awarded in 2023 have meaningful performance conditions for vesting measured over a cumulative three-year period based on two relative performance metrics relating to Adjusted Earnings Per Share (“EPS”) growth and Total Shareholder Return (“TSR”) as well as an absolute Return on Invested Capital (“ROIC”) performance metric. Stock options are inherently performance-based in that our stock price must appreciate for the options to deliver any value.</w:t>
      </w:r>
    </w:p>
    <w:p>
      <w:pPr>
        <w:spacing w:after="0" w:line="208" w:lineRule="exact"/>
        <w:rPr>
          <w:sz w:val="20"/>
          <w:szCs w:val="20"/>
          <w:color w:val="auto"/>
        </w:rPr>
      </w:pPr>
    </w:p>
    <w:p>
      <w:pPr>
        <w:ind w:left="360" w:hanging="352"/>
        <w:spacing w:after="0"/>
        <w:tabs>
          <w:tab w:leader="none" w:pos="36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ind w:left="260" w:right="20" w:hanging="252"/>
        <w:spacing w:after="0" w:line="244" w:lineRule="auto"/>
        <w:tabs>
          <w:tab w:leader="none" w:pos="260" w:val="left"/>
        </w:tabs>
        <w:numPr>
          <w:ilvl w:val="0"/>
          <w:numId w:val="65"/>
        </w:numPr>
        <w:rPr>
          <w:rFonts w:ascii="Arial" w:cs="Arial" w:eastAsia="Arial" w:hAnsi="Arial"/>
          <w:sz w:val="17"/>
          <w:szCs w:val="17"/>
          <w:color w:val="00A0DE"/>
        </w:rPr>
      </w:pPr>
      <w:r>
        <w:rPr>
          <w:rFonts w:ascii="Arial" w:cs="Arial" w:eastAsia="Arial" w:hAnsi="Arial"/>
          <w:sz w:val="18"/>
          <w:szCs w:val="18"/>
          <w:color w:val="auto"/>
        </w:rPr>
        <w:t>The primary financial quantitative metrics used in our 2023 incentive compensation programs generally reflect those used internally to measure our performance and externally to report to investors. Many of these measures are tied to cash generation, capital efficiency and generating sustained profitable growth over time, as well as growth in shareholder value relative to other S&amp;P 100 companies. We believe the metrics used in our short-term annual bonus program and long-term equity incentive program balance both short-term growth and value creation over the longer term. The financial metrics used in our 2023 executive compensation program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ind w:left="80"/>
              <w:spacing w:after="0"/>
              <w:rPr>
                <w:sz w:val="20"/>
                <w:szCs w:val="20"/>
                <w:color w:val="auto"/>
              </w:rPr>
            </w:pPr>
            <w:r>
              <w:rPr>
                <w:rFonts w:ascii="Arial" w:cs="Arial" w:eastAsia="Arial" w:hAnsi="Arial"/>
                <w:sz w:val="18"/>
                <w:szCs w:val="18"/>
                <w:b w:val="1"/>
                <w:bCs w:val="1"/>
                <w:color w:val="99D9F1"/>
              </w:rPr>
              <w:t>Annual Cash</w:t>
            </w:r>
          </w:p>
        </w:tc>
        <w:tc>
          <w:tcPr>
            <w:tcW w:w="2520" w:type="dxa"/>
            <w:vAlign w:val="bottom"/>
          </w:tcPr>
          <w:p>
            <w:pPr>
              <w:spacing w:after="0"/>
              <w:rPr>
                <w:sz w:val="20"/>
                <w:szCs w:val="20"/>
                <w:color w:val="auto"/>
              </w:rPr>
            </w:pPr>
            <w:r>
              <w:rPr>
                <w:rFonts w:ascii="Arial" w:cs="Arial" w:eastAsia="Arial" w:hAnsi="Arial"/>
                <w:sz w:val="18"/>
                <w:szCs w:val="18"/>
                <w:color w:val="auto"/>
              </w:rPr>
              <w:t>Revenue</w:t>
            </w:r>
          </w:p>
        </w:tc>
        <w:tc>
          <w:tcPr>
            <w:tcW w:w="6800" w:type="dxa"/>
            <w:vAlign w:val="bottom"/>
          </w:tcPr>
          <w:p>
            <w:pPr>
              <w:ind w:left="100"/>
              <w:spacing w:after="0"/>
              <w:rPr>
                <w:sz w:val="20"/>
                <w:szCs w:val="20"/>
                <w:color w:val="auto"/>
              </w:rPr>
            </w:pPr>
            <w:r>
              <w:rPr>
                <w:rFonts w:ascii="Arial" w:cs="Arial" w:eastAsia="Arial" w:hAnsi="Arial"/>
                <w:sz w:val="18"/>
                <w:szCs w:val="18"/>
                <w:color w:val="auto"/>
              </w:rPr>
              <w:t>Serves as the top line component to cash generation</w:t>
            </w:r>
          </w:p>
        </w:tc>
        <w:tc>
          <w:tcPr>
            <w:tcW w:w="0" w:type="dxa"/>
            <w:vAlign w:val="bottom"/>
          </w:tcPr>
          <w:p>
            <w:pPr>
              <w:spacing w:after="0"/>
              <w:rPr>
                <w:sz w:val="1"/>
                <w:szCs w:val="1"/>
                <w:color w:val="auto"/>
              </w:rPr>
            </w:pPr>
          </w:p>
        </w:tc>
      </w:tr>
      <w:tr>
        <w:trPr>
          <w:trHeight w:val="59"/>
        </w:trPr>
        <w:tc>
          <w:tcPr>
            <w:tcW w:w="1920" w:type="dxa"/>
            <w:vAlign w:val="bottom"/>
            <w:vMerge w:val="restart"/>
          </w:tcPr>
          <w:p>
            <w:pPr>
              <w:ind w:left="80"/>
              <w:spacing w:after="0"/>
              <w:rPr>
                <w:sz w:val="20"/>
                <w:szCs w:val="20"/>
                <w:color w:val="auto"/>
              </w:rPr>
            </w:pPr>
            <w:r>
              <w:rPr>
                <w:rFonts w:ascii="Arial" w:cs="Arial" w:eastAsia="Arial" w:hAnsi="Arial"/>
                <w:sz w:val="18"/>
                <w:szCs w:val="18"/>
                <w:b w:val="1"/>
                <w:bCs w:val="1"/>
                <w:color w:val="99D9F1"/>
              </w:rPr>
              <w:t>Bonus</w:t>
            </w:r>
          </w:p>
        </w:tc>
        <w:tc>
          <w:tcPr>
            <w:tcW w:w="2520" w:type="dxa"/>
            <w:vAlign w:val="bottom"/>
            <w:tcBorders>
              <w:bottom w:val="single" w:sz="8" w:color="DCDDDE"/>
            </w:tcBorders>
          </w:tcPr>
          <w:p>
            <w:pPr>
              <w:spacing w:after="0"/>
              <w:rPr>
                <w:sz w:val="5"/>
                <w:szCs w:val="5"/>
                <w:color w:val="auto"/>
              </w:rPr>
            </w:pPr>
          </w:p>
        </w:tc>
        <w:tc>
          <w:tcPr>
            <w:tcW w:w="6800" w:type="dxa"/>
            <w:vAlign w:val="bottom"/>
            <w:tcBorders>
              <w:bottom w:val="single" w:sz="8" w:color="DCDDDE"/>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920" w:type="dxa"/>
            <w:vAlign w:val="bottom"/>
            <w:vMerge w:val="continue"/>
          </w:tcPr>
          <w:p>
            <w:pPr>
              <w:spacing w:after="0"/>
              <w:rPr>
                <w:sz w:val="17"/>
                <w:szCs w:val="17"/>
                <w:color w:val="auto"/>
              </w:rPr>
            </w:pPr>
          </w:p>
        </w:tc>
        <w:tc>
          <w:tcPr>
            <w:tcW w:w="2520" w:type="dxa"/>
            <w:vAlign w:val="bottom"/>
          </w:tcPr>
          <w:p>
            <w:pPr>
              <w:spacing w:after="0" w:line="204" w:lineRule="exact"/>
              <w:rPr>
                <w:sz w:val="20"/>
                <w:szCs w:val="20"/>
                <w:color w:val="auto"/>
              </w:rPr>
            </w:pPr>
            <w:r>
              <w:rPr>
                <w:rFonts w:ascii="Arial" w:cs="Arial" w:eastAsia="Arial" w:hAnsi="Arial"/>
                <w:sz w:val="18"/>
                <w:szCs w:val="18"/>
                <w:color w:val="auto"/>
              </w:rPr>
              <w:t>Adjusted EBITDA</w:t>
            </w:r>
          </w:p>
        </w:tc>
        <w:tc>
          <w:tcPr>
            <w:tcW w:w="6800" w:type="dxa"/>
            <w:vAlign w:val="bottom"/>
          </w:tcPr>
          <w:p>
            <w:pPr>
              <w:ind w:left="100"/>
              <w:spacing w:after="0" w:line="204" w:lineRule="exact"/>
              <w:rPr>
                <w:sz w:val="20"/>
                <w:szCs w:val="20"/>
                <w:color w:val="auto"/>
              </w:rPr>
            </w:pPr>
            <w:r>
              <w:rPr>
                <w:rFonts w:ascii="Arial" w:cs="Arial" w:eastAsia="Arial" w:hAnsi="Arial"/>
                <w:sz w:val="18"/>
                <w:szCs w:val="18"/>
                <w:color w:val="auto"/>
              </w:rPr>
              <w:t>Reflects the operational performance of our businesses, taking into account the</w:t>
            </w:r>
          </w:p>
        </w:tc>
        <w:tc>
          <w:tcPr>
            <w:tcW w:w="0" w:type="dxa"/>
            <w:vAlign w:val="bottom"/>
          </w:tcPr>
          <w:p>
            <w:pPr>
              <w:spacing w:after="0"/>
              <w:rPr>
                <w:sz w:val="1"/>
                <w:szCs w:val="1"/>
                <w:color w:val="auto"/>
              </w:rPr>
            </w:pPr>
          </w:p>
        </w:tc>
      </w:tr>
      <w:tr>
        <w:trPr>
          <w:trHeight w:val="244"/>
        </w:trPr>
        <w:tc>
          <w:tcPr>
            <w:tcW w:w="1920" w:type="dxa"/>
            <w:vAlign w:val="bottom"/>
          </w:tcPr>
          <w:p>
            <w:pPr>
              <w:spacing w:after="0"/>
              <w:rPr>
                <w:sz w:val="21"/>
                <w:szCs w:val="21"/>
                <w:color w:val="auto"/>
              </w:rPr>
            </w:pPr>
          </w:p>
        </w:tc>
        <w:tc>
          <w:tcPr>
            <w:tcW w:w="2520" w:type="dxa"/>
            <w:vAlign w:val="bottom"/>
            <w:tcBorders>
              <w:bottom w:val="single" w:sz="8" w:color="DCDDDE"/>
            </w:tcBorders>
          </w:tcPr>
          <w:p>
            <w:pPr>
              <w:spacing w:after="0"/>
              <w:rPr>
                <w:sz w:val="21"/>
                <w:szCs w:val="21"/>
                <w:color w:val="auto"/>
              </w:rPr>
            </w:pPr>
          </w:p>
        </w:tc>
        <w:tc>
          <w:tcPr>
            <w:tcW w:w="6800" w:type="dxa"/>
            <w:vAlign w:val="bottom"/>
            <w:tcBorders>
              <w:bottom w:val="single" w:sz="8" w:color="DCDDDE"/>
            </w:tcBorders>
          </w:tcPr>
          <w:p>
            <w:pPr>
              <w:ind w:left="100"/>
              <w:spacing w:after="0"/>
              <w:rPr>
                <w:sz w:val="20"/>
                <w:szCs w:val="20"/>
                <w:color w:val="auto"/>
              </w:rPr>
            </w:pPr>
            <w:r>
              <w:rPr>
                <w:rFonts w:ascii="Arial" w:cs="Arial" w:eastAsia="Arial" w:hAnsi="Arial"/>
                <w:sz w:val="18"/>
                <w:szCs w:val="18"/>
                <w:color w:val="auto"/>
              </w:rPr>
              <w:t>costs of operating these businesses</w:t>
            </w:r>
          </w:p>
        </w:tc>
        <w:tc>
          <w:tcPr>
            <w:tcW w:w="0" w:type="dxa"/>
            <w:vAlign w:val="bottom"/>
          </w:tcPr>
          <w:p>
            <w:pPr>
              <w:spacing w:after="0"/>
              <w:rPr>
                <w:sz w:val="1"/>
                <w:szCs w:val="1"/>
                <w:color w:val="auto"/>
              </w:rPr>
            </w:pPr>
          </w:p>
        </w:tc>
      </w:tr>
      <w:tr>
        <w:trPr>
          <w:trHeight w:val="209"/>
        </w:trPr>
        <w:tc>
          <w:tcPr>
            <w:tcW w:w="19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Free Cash Flow</w:t>
            </w:r>
          </w:p>
        </w:tc>
        <w:tc>
          <w:tcPr>
            <w:tcW w:w="6800" w:type="dxa"/>
            <w:vAlign w:val="bottom"/>
          </w:tcPr>
          <w:p>
            <w:pPr>
              <w:ind w:left="100"/>
              <w:spacing w:after="0"/>
              <w:rPr>
                <w:sz w:val="20"/>
                <w:szCs w:val="20"/>
                <w:color w:val="auto"/>
              </w:rPr>
            </w:pPr>
            <w:r>
              <w:rPr>
                <w:rFonts w:ascii="Arial" w:cs="Arial" w:eastAsia="Arial" w:hAnsi="Arial"/>
                <w:sz w:val="18"/>
                <w:szCs w:val="18"/>
                <w:color w:val="auto"/>
              </w:rPr>
              <w:t>Measures, among other things, cash remaining after capital investments that</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6800" w:type="dxa"/>
            <w:vAlign w:val="bottom"/>
          </w:tcPr>
          <w:p>
            <w:pPr>
              <w:ind w:left="100"/>
              <w:spacing w:after="0" w:line="202" w:lineRule="exact"/>
              <w:rPr>
                <w:sz w:val="20"/>
                <w:szCs w:val="20"/>
                <w:color w:val="auto"/>
              </w:rPr>
            </w:pPr>
            <w:r>
              <w:rPr>
                <w:rFonts w:ascii="Arial" w:cs="Arial" w:eastAsia="Arial" w:hAnsi="Arial"/>
                <w:sz w:val="18"/>
                <w:szCs w:val="18"/>
                <w:color w:val="auto"/>
              </w:rPr>
              <w:t>allows us to repay indebtedness, make strategic investments and return capital to</w:t>
            </w:r>
          </w:p>
        </w:tc>
        <w:tc>
          <w:tcPr>
            <w:tcW w:w="0" w:type="dxa"/>
            <w:vAlign w:val="bottom"/>
          </w:tcPr>
          <w:p>
            <w:pPr>
              <w:spacing w:after="0"/>
              <w:rPr>
                <w:sz w:val="1"/>
                <w:szCs w:val="1"/>
                <w:color w:val="auto"/>
              </w:rPr>
            </w:pPr>
          </w:p>
        </w:tc>
      </w:tr>
      <w:tr>
        <w:trPr>
          <w:trHeight w:val="244"/>
        </w:trPr>
        <w:tc>
          <w:tcPr>
            <w:tcW w:w="19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6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shareholders</w:t>
            </w:r>
          </w:p>
        </w:tc>
        <w:tc>
          <w:tcPr>
            <w:tcW w:w="0" w:type="dxa"/>
            <w:vAlign w:val="bottom"/>
          </w:tcPr>
          <w:p>
            <w:pPr>
              <w:spacing w:after="0"/>
              <w:rPr>
                <w:sz w:val="1"/>
                <w:szCs w:val="1"/>
                <w:color w:val="auto"/>
              </w:rPr>
            </w:pPr>
          </w:p>
        </w:tc>
      </w:tr>
      <w:tr>
        <w:trPr>
          <w:trHeight w:val="209"/>
        </w:trPr>
        <w:tc>
          <w:tcPr>
            <w:tcW w:w="1920" w:type="dxa"/>
            <w:vAlign w:val="bottom"/>
          </w:tcPr>
          <w:p>
            <w:pPr>
              <w:ind w:left="80"/>
              <w:spacing w:after="0"/>
              <w:rPr>
                <w:sz w:val="20"/>
                <w:szCs w:val="20"/>
                <w:color w:val="auto"/>
              </w:rPr>
            </w:pPr>
            <w:r>
              <w:rPr>
                <w:rFonts w:ascii="Arial" w:cs="Arial" w:eastAsia="Arial" w:hAnsi="Arial"/>
                <w:sz w:val="18"/>
                <w:szCs w:val="18"/>
                <w:b w:val="1"/>
                <w:bCs w:val="1"/>
                <w:color w:val="00A0E0"/>
              </w:rPr>
              <w:t>Long-</w:t>
            </w:r>
          </w:p>
        </w:tc>
        <w:tc>
          <w:tcPr>
            <w:tcW w:w="2520" w:type="dxa"/>
            <w:vAlign w:val="bottom"/>
          </w:tcPr>
          <w:p>
            <w:pPr>
              <w:spacing w:after="0"/>
              <w:rPr>
                <w:sz w:val="20"/>
                <w:szCs w:val="20"/>
                <w:color w:val="auto"/>
              </w:rPr>
            </w:pPr>
            <w:r>
              <w:rPr>
                <w:rFonts w:ascii="Arial" w:cs="Arial" w:eastAsia="Arial" w:hAnsi="Arial"/>
                <w:sz w:val="18"/>
                <w:szCs w:val="18"/>
                <w:color w:val="auto"/>
              </w:rPr>
              <w:t>Average ROIC</w:t>
            </w:r>
          </w:p>
        </w:tc>
        <w:tc>
          <w:tcPr>
            <w:tcW w:w="6800" w:type="dxa"/>
            <w:vAlign w:val="bottom"/>
          </w:tcPr>
          <w:p>
            <w:pPr>
              <w:ind w:left="100"/>
              <w:spacing w:after="0"/>
              <w:rPr>
                <w:sz w:val="20"/>
                <w:szCs w:val="20"/>
                <w:color w:val="auto"/>
              </w:rPr>
            </w:pPr>
            <w:r>
              <w:rPr>
                <w:rFonts w:ascii="Arial" w:cs="Arial" w:eastAsia="Arial" w:hAnsi="Arial"/>
                <w:sz w:val="18"/>
                <w:szCs w:val="18"/>
                <w:color w:val="auto"/>
              </w:rPr>
              <w:t>Measures how well capital (equity and debt) is used to generate earnings over a</w:t>
            </w:r>
          </w:p>
        </w:tc>
        <w:tc>
          <w:tcPr>
            <w:tcW w:w="0" w:type="dxa"/>
            <w:vAlign w:val="bottom"/>
          </w:tcPr>
          <w:p>
            <w:pPr>
              <w:spacing w:after="0"/>
              <w:rPr>
                <w:sz w:val="1"/>
                <w:szCs w:val="1"/>
                <w:color w:val="auto"/>
              </w:rPr>
            </w:pPr>
          </w:p>
        </w:tc>
      </w:tr>
      <w:tr>
        <w:trPr>
          <w:trHeight w:val="203"/>
        </w:trPr>
        <w:tc>
          <w:tcPr>
            <w:tcW w:w="1920" w:type="dxa"/>
            <w:vAlign w:val="bottom"/>
          </w:tcPr>
          <w:p>
            <w:pPr>
              <w:ind w:left="80"/>
              <w:spacing w:after="0" w:line="202" w:lineRule="exact"/>
              <w:rPr>
                <w:sz w:val="20"/>
                <w:szCs w:val="20"/>
                <w:color w:val="auto"/>
              </w:rPr>
            </w:pPr>
            <w:r>
              <w:rPr>
                <w:rFonts w:ascii="Arial" w:cs="Arial" w:eastAsia="Arial" w:hAnsi="Arial"/>
                <w:sz w:val="18"/>
                <w:szCs w:val="18"/>
                <w:b w:val="1"/>
                <w:bCs w:val="1"/>
                <w:color w:val="00A0E0"/>
              </w:rPr>
              <w:t>Term Incentive</w:t>
            </w:r>
          </w:p>
        </w:tc>
        <w:tc>
          <w:tcPr>
            <w:tcW w:w="2520" w:type="dxa"/>
            <w:vAlign w:val="bottom"/>
          </w:tcPr>
          <w:p>
            <w:pPr>
              <w:spacing w:after="0"/>
              <w:rPr>
                <w:sz w:val="17"/>
                <w:szCs w:val="17"/>
                <w:color w:val="auto"/>
              </w:rPr>
            </w:pPr>
          </w:p>
        </w:tc>
        <w:tc>
          <w:tcPr>
            <w:tcW w:w="6800" w:type="dxa"/>
            <w:vAlign w:val="bottom"/>
          </w:tcPr>
          <w:p>
            <w:pPr>
              <w:ind w:left="100"/>
              <w:spacing w:after="0" w:line="202" w:lineRule="exact"/>
              <w:rPr>
                <w:sz w:val="20"/>
                <w:szCs w:val="20"/>
                <w:color w:val="auto"/>
              </w:rPr>
            </w:pPr>
            <w:r>
              <w:rPr>
                <w:rFonts w:ascii="Arial" w:cs="Arial" w:eastAsia="Arial" w:hAnsi="Arial"/>
                <w:sz w:val="18"/>
                <w:szCs w:val="18"/>
                <w:color w:val="auto"/>
              </w:rPr>
              <w:t>three-year period</w:t>
            </w:r>
          </w:p>
        </w:tc>
        <w:tc>
          <w:tcPr>
            <w:tcW w:w="0" w:type="dxa"/>
            <w:vAlign w:val="bottom"/>
          </w:tcPr>
          <w:p>
            <w:pPr>
              <w:spacing w:after="0"/>
              <w:rPr>
                <w:sz w:val="1"/>
                <w:szCs w:val="1"/>
                <w:color w:val="auto"/>
              </w:rPr>
            </w:pPr>
          </w:p>
        </w:tc>
      </w:tr>
      <w:tr>
        <w:trPr>
          <w:trHeight w:val="59"/>
        </w:trPr>
        <w:tc>
          <w:tcPr>
            <w:tcW w:w="1920" w:type="dxa"/>
            <w:vAlign w:val="bottom"/>
            <w:vMerge w:val="restart"/>
          </w:tcPr>
          <w:p>
            <w:pPr>
              <w:ind w:left="80"/>
              <w:spacing w:after="0"/>
              <w:rPr>
                <w:sz w:val="20"/>
                <w:szCs w:val="20"/>
                <w:color w:val="auto"/>
              </w:rPr>
            </w:pPr>
            <w:r>
              <w:rPr>
                <w:rFonts w:ascii="Arial" w:cs="Arial" w:eastAsia="Arial" w:hAnsi="Arial"/>
                <w:sz w:val="18"/>
                <w:szCs w:val="18"/>
                <w:b w:val="1"/>
                <w:bCs w:val="1"/>
                <w:color w:val="00A0E0"/>
              </w:rPr>
              <w:t>Program</w:t>
            </w:r>
          </w:p>
        </w:tc>
        <w:tc>
          <w:tcPr>
            <w:tcW w:w="2520" w:type="dxa"/>
            <w:vAlign w:val="bottom"/>
            <w:tcBorders>
              <w:bottom w:val="single" w:sz="8" w:color="DCDDDE"/>
            </w:tcBorders>
          </w:tcPr>
          <w:p>
            <w:pPr>
              <w:spacing w:after="0"/>
              <w:rPr>
                <w:sz w:val="5"/>
                <w:szCs w:val="5"/>
                <w:color w:val="auto"/>
              </w:rPr>
            </w:pPr>
          </w:p>
        </w:tc>
        <w:tc>
          <w:tcPr>
            <w:tcW w:w="6800" w:type="dxa"/>
            <w:vAlign w:val="bottom"/>
            <w:tcBorders>
              <w:bottom w:val="single" w:sz="8" w:color="DCDDDE"/>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920" w:type="dxa"/>
            <w:vAlign w:val="bottom"/>
            <w:vMerge w:val="continue"/>
          </w:tcPr>
          <w:p>
            <w:pPr>
              <w:spacing w:after="0"/>
              <w:rPr>
                <w:sz w:val="17"/>
                <w:szCs w:val="17"/>
                <w:color w:val="auto"/>
              </w:rPr>
            </w:pPr>
          </w:p>
        </w:tc>
        <w:tc>
          <w:tcPr>
            <w:tcW w:w="2520" w:type="dxa"/>
            <w:vAlign w:val="bottom"/>
          </w:tcPr>
          <w:p>
            <w:pPr>
              <w:spacing w:after="0" w:line="204" w:lineRule="exact"/>
              <w:rPr>
                <w:sz w:val="20"/>
                <w:szCs w:val="20"/>
                <w:color w:val="auto"/>
              </w:rPr>
            </w:pPr>
            <w:r>
              <w:rPr>
                <w:rFonts w:ascii="Arial" w:cs="Arial" w:eastAsia="Arial" w:hAnsi="Arial"/>
                <w:sz w:val="18"/>
                <w:szCs w:val="18"/>
                <w:color w:val="auto"/>
              </w:rPr>
              <w:t>Relative Adjusted EPS Growth</w:t>
            </w:r>
          </w:p>
        </w:tc>
        <w:tc>
          <w:tcPr>
            <w:tcW w:w="6800" w:type="dxa"/>
            <w:vAlign w:val="bottom"/>
          </w:tcPr>
          <w:p>
            <w:pPr>
              <w:ind w:left="100"/>
              <w:spacing w:after="0" w:line="204" w:lineRule="exact"/>
              <w:rPr>
                <w:sz w:val="20"/>
                <w:szCs w:val="20"/>
                <w:color w:val="auto"/>
              </w:rPr>
            </w:pPr>
            <w:r>
              <w:rPr>
                <w:rFonts w:ascii="Arial" w:cs="Arial" w:eastAsia="Arial" w:hAnsi="Arial"/>
                <w:sz w:val="18"/>
                <w:szCs w:val="18"/>
                <w:color w:val="auto"/>
              </w:rPr>
              <w:t>Measures earnings performance compared to other S&amp;P 100 companies over a</w:t>
            </w:r>
          </w:p>
        </w:tc>
        <w:tc>
          <w:tcPr>
            <w:tcW w:w="0" w:type="dxa"/>
            <w:vAlign w:val="bottom"/>
          </w:tcPr>
          <w:p>
            <w:pPr>
              <w:spacing w:after="0"/>
              <w:rPr>
                <w:sz w:val="1"/>
                <w:szCs w:val="1"/>
                <w:color w:val="auto"/>
              </w:rPr>
            </w:pPr>
          </w:p>
        </w:tc>
      </w:tr>
      <w:tr>
        <w:trPr>
          <w:trHeight w:val="244"/>
        </w:trPr>
        <w:tc>
          <w:tcPr>
            <w:tcW w:w="1920" w:type="dxa"/>
            <w:vAlign w:val="bottom"/>
          </w:tcPr>
          <w:p>
            <w:pPr>
              <w:spacing w:after="0"/>
              <w:rPr>
                <w:sz w:val="21"/>
                <w:szCs w:val="21"/>
                <w:color w:val="auto"/>
              </w:rPr>
            </w:pPr>
          </w:p>
        </w:tc>
        <w:tc>
          <w:tcPr>
            <w:tcW w:w="2520" w:type="dxa"/>
            <w:vAlign w:val="bottom"/>
            <w:tcBorders>
              <w:bottom w:val="single" w:sz="8" w:color="DCDDDE"/>
            </w:tcBorders>
          </w:tcPr>
          <w:p>
            <w:pPr>
              <w:spacing w:after="0"/>
              <w:rPr>
                <w:sz w:val="21"/>
                <w:szCs w:val="21"/>
                <w:color w:val="auto"/>
              </w:rPr>
            </w:pPr>
          </w:p>
        </w:tc>
        <w:tc>
          <w:tcPr>
            <w:tcW w:w="6800" w:type="dxa"/>
            <w:vAlign w:val="bottom"/>
            <w:tcBorders>
              <w:bottom w:val="single" w:sz="8" w:color="DCDDDE"/>
            </w:tcBorders>
          </w:tcPr>
          <w:p>
            <w:pPr>
              <w:ind w:left="100"/>
              <w:spacing w:after="0"/>
              <w:rPr>
                <w:sz w:val="20"/>
                <w:szCs w:val="20"/>
                <w:color w:val="auto"/>
              </w:rPr>
            </w:pPr>
            <w:r>
              <w:rPr>
                <w:rFonts w:ascii="Arial" w:cs="Arial" w:eastAsia="Arial" w:hAnsi="Arial"/>
                <w:sz w:val="18"/>
                <w:szCs w:val="18"/>
                <w:color w:val="auto"/>
              </w:rPr>
              <w:t>three-year period</w:t>
            </w:r>
          </w:p>
        </w:tc>
        <w:tc>
          <w:tcPr>
            <w:tcW w:w="0" w:type="dxa"/>
            <w:vAlign w:val="bottom"/>
          </w:tcPr>
          <w:p>
            <w:pPr>
              <w:spacing w:after="0"/>
              <w:rPr>
                <w:sz w:val="1"/>
                <w:szCs w:val="1"/>
                <w:color w:val="auto"/>
              </w:rPr>
            </w:pPr>
          </w:p>
        </w:tc>
      </w:tr>
      <w:tr>
        <w:trPr>
          <w:trHeight w:val="209"/>
        </w:trPr>
        <w:tc>
          <w:tcPr>
            <w:tcW w:w="19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Relative TSR</w:t>
            </w:r>
          </w:p>
        </w:tc>
        <w:tc>
          <w:tcPr>
            <w:tcW w:w="6800" w:type="dxa"/>
            <w:vAlign w:val="bottom"/>
          </w:tcPr>
          <w:p>
            <w:pPr>
              <w:ind w:left="100"/>
              <w:spacing w:after="0"/>
              <w:rPr>
                <w:sz w:val="20"/>
                <w:szCs w:val="20"/>
                <w:color w:val="auto"/>
              </w:rPr>
            </w:pPr>
            <w:r>
              <w:rPr>
                <w:rFonts w:ascii="Arial" w:cs="Arial" w:eastAsia="Arial" w:hAnsi="Arial"/>
                <w:sz w:val="18"/>
                <w:szCs w:val="18"/>
                <w:color w:val="auto"/>
              </w:rPr>
              <w:t>Measures total company achievement of shareholder returns compared to other</w:t>
            </w:r>
          </w:p>
        </w:tc>
        <w:tc>
          <w:tcPr>
            <w:tcW w:w="0" w:type="dxa"/>
            <w:vAlign w:val="bottom"/>
          </w:tcPr>
          <w:p>
            <w:pPr>
              <w:spacing w:after="0"/>
              <w:rPr>
                <w:sz w:val="1"/>
                <w:szCs w:val="1"/>
                <w:color w:val="auto"/>
              </w:rPr>
            </w:pPr>
          </w:p>
        </w:tc>
      </w:tr>
      <w:tr>
        <w:trPr>
          <w:trHeight w:val="244"/>
        </w:trPr>
        <w:tc>
          <w:tcPr>
            <w:tcW w:w="19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6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S&amp;P 100 companies over a three-year period</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auto"/>
        </w:rPr>
        <w:t>Design and Structure of Executive Compensation Program</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A0DD"/>
        </w:rPr>
        <w:t>Elements of Compensation</w:t>
      </w:r>
    </w:p>
    <w:p>
      <w:pPr>
        <w:spacing w:after="0" w:line="214"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We view the executive compensation program on a “portfolio” basis to appropriately balance various compensation elements that motivate and reward our NEOs for their performance and creation of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2061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320611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TYPE</w:t>
            </w: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ELEMENT</w:t>
            </w:r>
          </w:p>
        </w:tc>
        <w:tc>
          <w:tcPr>
            <w:tcW w:w="45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WHY WE USED IT</w:t>
            </w:r>
          </w:p>
        </w:tc>
        <w:tc>
          <w:tcPr>
            <w:tcW w:w="4540" w:type="dxa"/>
            <w:vAlign w:val="bottom"/>
            <w:tcBorders>
              <w:bottom w:val="single" w:sz="8" w:color="auto"/>
            </w:tcBorders>
            <w:gridSpan w:val="2"/>
          </w:tcPr>
          <w:p>
            <w:pPr>
              <w:ind w:left="140"/>
              <w:spacing w:after="0"/>
              <w:rPr>
                <w:sz w:val="20"/>
                <w:szCs w:val="20"/>
                <w:color w:val="auto"/>
              </w:rPr>
            </w:pPr>
            <w:r>
              <w:rPr>
                <w:rFonts w:ascii="Arial" w:cs="Arial" w:eastAsia="Arial" w:hAnsi="Arial"/>
                <w:sz w:val="15"/>
                <w:szCs w:val="15"/>
                <w:b w:val="1"/>
                <w:bCs w:val="1"/>
                <w:color w:val="auto"/>
              </w:rPr>
              <w:t>COMPENSATION HIGHLIGHTS</w:t>
            </w:r>
          </w:p>
        </w:tc>
        <w:tc>
          <w:tcPr>
            <w:tcW w:w="0" w:type="dxa"/>
            <w:vAlign w:val="bottom"/>
          </w:tcPr>
          <w:p>
            <w:pPr>
              <w:spacing w:after="0"/>
              <w:rPr>
                <w:sz w:val="1"/>
                <w:szCs w:val="1"/>
                <w:color w:val="auto"/>
              </w:rPr>
            </w:pPr>
          </w:p>
        </w:tc>
      </w:tr>
      <w:tr>
        <w:trPr>
          <w:trHeight w:val="165"/>
        </w:trPr>
        <w:tc>
          <w:tcPr>
            <w:tcW w:w="11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Fixed</w:t>
            </w:r>
          </w:p>
        </w:tc>
        <w:tc>
          <w:tcPr>
            <w:tcW w:w="11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Base Salary</w:t>
            </w:r>
          </w:p>
        </w:tc>
        <w:tc>
          <w:tcPr>
            <w:tcW w:w="260" w:type="dxa"/>
            <w:vAlign w:val="bottom"/>
          </w:tcPr>
          <w:p>
            <w:pPr>
              <w:ind w:left="120"/>
              <w:spacing w:after="0"/>
              <w:rPr>
                <w:sz w:val="20"/>
                <w:szCs w:val="20"/>
                <w:color w:val="auto"/>
              </w:rPr>
            </w:pPr>
            <w:r>
              <w:rPr>
                <w:rFonts w:ascii="Arial" w:cs="Arial" w:eastAsia="Arial" w:hAnsi="Arial"/>
                <w:sz w:val="14"/>
                <w:szCs w:val="14"/>
                <w:color w:val="00A0DE"/>
              </w:rPr>
              <w:t>●</w:t>
            </w:r>
          </w:p>
        </w:tc>
        <w:tc>
          <w:tcPr>
            <w:tcW w:w="4240" w:type="dxa"/>
            <w:vAlign w:val="bottom"/>
          </w:tcPr>
          <w:p>
            <w:pPr>
              <w:ind w:left="80"/>
              <w:spacing w:after="0" w:line="165" w:lineRule="exact"/>
              <w:rPr>
                <w:sz w:val="20"/>
                <w:szCs w:val="20"/>
                <w:color w:val="auto"/>
              </w:rPr>
            </w:pPr>
            <w:r>
              <w:rPr>
                <w:rFonts w:ascii="Arial" w:cs="Arial" w:eastAsia="Arial" w:hAnsi="Arial"/>
                <w:sz w:val="15"/>
                <w:szCs w:val="15"/>
                <w:color w:val="auto"/>
              </w:rPr>
              <w:t>Necessary to attract and retain our NEOs.</w:t>
            </w:r>
          </w:p>
        </w:tc>
        <w:tc>
          <w:tcPr>
            <w:tcW w:w="320" w:type="dxa"/>
            <w:vAlign w:val="bottom"/>
          </w:tcPr>
          <w:p>
            <w:pPr>
              <w:ind w:left="160"/>
              <w:spacing w:after="0"/>
              <w:rPr>
                <w:sz w:val="20"/>
                <w:szCs w:val="20"/>
                <w:color w:val="auto"/>
              </w:rPr>
            </w:pPr>
            <w:r>
              <w:rPr>
                <w:rFonts w:ascii="Arial" w:cs="Arial" w:eastAsia="Arial" w:hAnsi="Arial"/>
                <w:sz w:val="14"/>
                <w:szCs w:val="14"/>
                <w:color w:val="00A0DE"/>
              </w:rPr>
              <w:t>●</w:t>
            </w:r>
          </w:p>
        </w:tc>
        <w:tc>
          <w:tcPr>
            <w:tcW w:w="4220" w:type="dxa"/>
            <w:vAlign w:val="bottom"/>
          </w:tcPr>
          <w:p>
            <w:pPr>
              <w:ind w:left="60"/>
              <w:spacing w:after="0" w:line="165" w:lineRule="exact"/>
              <w:rPr>
                <w:sz w:val="20"/>
                <w:szCs w:val="20"/>
                <w:color w:val="auto"/>
              </w:rPr>
            </w:pPr>
            <w:r>
              <w:rPr>
                <w:rFonts w:ascii="Arial" w:cs="Arial" w:eastAsia="Arial" w:hAnsi="Arial"/>
                <w:sz w:val="15"/>
                <w:szCs w:val="15"/>
                <w:color w:val="auto"/>
              </w:rPr>
              <w:t>Salary level is based on individual performance,</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500" w:type="dxa"/>
            <w:vAlign w:val="bottom"/>
            <w:gridSpan w:val="2"/>
            <w:vMerge w:val="restart"/>
          </w:tcPr>
          <w:p>
            <w:pPr>
              <w:ind w:left="120"/>
              <w:spacing w:after="0"/>
              <w:rPr>
                <w:sz w:val="20"/>
                <w:szCs w:val="20"/>
                <w:color w:val="auto"/>
              </w:rPr>
            </w:pPr>
            <w:r>
              <w:rPr>
                <w:rFonts w:ascii="Arial" w:cs="Arial" w:eastAsia="Arial" w:hAnsi="Arial"/>
                <w:sz w:val="14"/>
                <w:szCs w:val="14"/>
                <w:color w:val="00A0DE"/>
              </w:rPr>
              <w:t xml:space="preserve">●  </w:t>
            </w:r>
            <w:r>
              <w:rPr>
                <w:rFonts w:ascii="Arial" w:cs="Arial" w:eastAsia="Arial" w:hAnsi="Arial"/>
                <w:sz w:val="15"/>
                <w:szCs w:val="15"/>
                <w:color w:val="000000"/>
              </w:rPr>
              <w:t>Serves as a baseline measure of an NEO’s value.</w:t>
            </w:r>
          </w:p>
        </w:tc>
        <w:tc>
          <w:tcPr>
            <w:tcW w:w="320" w:type="dxa"/>
            <w:vAlign w:val="bottom"/>
          </w:tcPr>
          <w:p>
            <w:pPr>
              <w:spacing w:after="0"/>
              <w:rPr>
                <w:sz w:val="14"/>
                <w:szCs w:val="14"/>
                <w:color w:val="auto"/>
              </w:rPr>
            </w:pPr>
          </w:p>
        </w:tc>
        <w:tc>
          <w:tcPr>
            <w:tcW w:w="4220" w:type="dxa"/>
            <w:vAlign w:val="bottom"/>
          </w:tcPr>
          <w:p>
            <w:pPr>
              <w:ind w:left="80"/>
              <w:spacing w:after="0" w:line="162" w:lineRule="exact"/>
              <w:rPr>
                <w:sz w:val="20"/>
                <w:szCs w:val="20"/>
                <w:color w:val="auto"/>
              </w:rPr>
            </w:pPr>
            <w:r>
              <w:rPr>
                <w:rFonts w:ascii="Arial" w:cs="Arial" w:eastAsia="Arial" w:hAnsi="Arial"/>
                <w:sz w:val="15"/>
                <w:szCs w:val="15"/>
                <w:color w:val="auto"/>
              </w:rPr>
              <w:t>experience, market data, position within the organization</w:t>
            </w:r>
          </w:p>
        </w:tc>
        <w:tc>
          <w:tcPr>
            <w:tcW w:w="0" w:type="dxa"/>
            <w:vAlign w:val="bottom"/>
          </w:tcPr>
          <w:p>
            <w:pPr>
              <w:spacing w:after="0"/>
              <w:rPr>
                <w:sz w:val="1"/>
                <w:szCs w:val="1"/>
                <w:color w:val="auto"/>
              </w:rPr>
            </w:pPr>
          </w:p>
        </w:tc>
      </w:tr>
      <w:tr>
        <w:trPr>
          <w:trHeight w:val="106"/>
        </w:trPr>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5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220" w:type="dxa"/>
            <w:vAlign w:val="bottom"/>
            <w:vMerge w:val="restart"/>
          </w:tcPr>
          <w:p>
            <w:pPr>
              <w:ind w:left="80"/>
              <w:spacing w:after="0"/>
              <w:rPr>
                <w:sz w:val="20"/>
                <w:szCs w:val="20"/>
                <w:color w:val="auto"/>
              </w:rPr>
            </w:pPr>
            <w:r>
              <w:rPr>
                <w:rFonts w:ascii="Arial" w:cs="Arial" w:eastAsia="Arial" w:hAnsi="Arial"/>
                <w:sz w:val="15"/>
                <w:szCs w:val="15"/>
                <w:color w:val="auto"/>
              </w:rPr>
              <w:t>and duties and responsibilities.</w:t>
            </w: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500" w:type="dxa"/>
            <w:vAlign w:val="bottom"/>
            <w:gridSpan w:val="2"/>
            <w:vMerge w:val="restart"/>
          </w:tcPr>
          <w:p>
            <w:pPr>
              <w:ind w:left="120"/>
              <w:spacing w:after="0"/>
              <w:rPr>
                <w:sz w:val="20"/>
                <w:szCs w:val="20"/>
                <w:color w:val="auto"/>
              </w:rPr>
            </w:pPr>
            <w:r>
              <w:rPr>
                <w:rFonts w:ascii="Arial" w:cs="Arial" w:eastAsia="Arial" w:hAnsi="Arial"/>
                <w:sz w:val="14"/>
                <w:szCs w:val="14"/>
                <w:color w:val="00A0DE"/>
              </w:rPr>
              <w:t xml:space="preserve">●  </w:t>
            </w:r>
            <w:r>
              <w:rPr>
                <w:rFonts w:ascii="Arial" w:cs="Arial" w:eastAsia="Arial" w:hAnsi="Arial"/>
                <w:sz w:val="15"/>
                <w:szCs w:val="15"/>
                <w:color w:val="000000"/>
              </w:rPr>
              <w:t>Guaranteed compensation in exchange for investing in a</w:t>
            </w:r>
          </w:p>
        </w:tc>
        <w:tc>
          <w:tcPr>
            <w:tcW w:w="320" w:type="dxa"/>
            <w:vAlign w:val="bottom"/>
          </w:tcPr>
          <w:p>
            <w:pPr>
              <w:spacing w:after="0"/>
              <w:rPr>
                <w:sz w:val="8"/>
                <w:szCs w:val="8"/>
                <w:color w:val="auto"/>
              </w:rPr>
            </w:pPr>
          </w:p>
        </w:tc>
        <w:tc>
          <w:tcPr>
            <w:tcW w:w="4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5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100" w:type="dxa"/>
            <w:vAlign w:val="bottom"/>
            <w:tcBorders>
              <w:bottom w:val="single" w:sz="8" w:color="DCDDDE"/>
            </w:tcBorders>
          </w:tcPr>
          <w:p>
            <w:pPr>
              <w:spacing w:after="0"/>
              <w:rPr>
                <w:sz w:val="17"/>
                <w:szCs w:val="17"/>
                <w:color w:val="auto"/>
              </w:rPr>
            </w:pPr>
          </w:p>
        </w:tc>
        <w:tc>
          <w:tcPr>
            <w:tcW w:w="1100" w:type="dxa"/>
            <w:vAlign w:val="bottom"/>
            <w:tcBorders>
              <w:bottom w:val="single" w:sz="8" w:color="DCDDDE"/>
            </w:tcBorders>
          </w:tcPr>
          <w:p>
            <w:pPr>
              <w:spacing w:after="0"/>
              <w:rPr>
                <w:sz w:val="17"/>
                <w:szCs w:val="17"/>
                <w:color w:val="auto"/>
              </w:rPr>
            </w:pPr>
          </w:p>
        </w:tc>
        <w:tc>
          <w:tcPr>
            <w:tcW w:w="260" w:type="dxa"/>
            <w:vAlign w:val="bottom"/>
            <w:tcBorders>
              <w:bottom w:val="single" w:sz="8" w:color="DCDDDE"/>
            </w:tcBorders>
          </w:tcPr>
          <w:p>
            <w:pPr>
              <w:spacing w:after="0"/>
              <w:rPr>
                <w:sz w:val="17"/>
                <w:szCs w:val="17"/>
                <w:color w:val="auto"/>
              </w:rPr>
            </w:pPr>
          </w:p>
        </w:tc>
        <w:tc>
          <w:tcPr>
            <w:tcW w:w="4240" w:type="dxa"/>
            <w:vAlign w:val="bottom"/>
            <w:tcBorders>
              <w:bottom w:val="single" w:sz="8" w:color="DCDDDE"/>
            </w:tcBorders>
          </w:tcPr>
          <w:p>
            <w:pPr>
              <w:ind w:left="80"/>
              <w:spacing w:after="0"/>
              <w:rPr>
                <w:sz w:val="20"/>
                <w:szCs w:val="20"/>
                <w:color w:val="auto"/>
              </w:rPr>
            </w:pPr>
            <w:r>
              <w:rPr>
                <w:rFonts w:ascii="Arial" w:cs="Arial" w:eastAsia="Arial" w:hAnsi="Arial"/>
                <w:sz w:val="15"/>
                <w:szCs w:val="15"/>
                <w:color w:val="auto"/>
              </w:rPr>
              <w:t>career with us.</w:t>
            </w:r>
          </w:p>
        </w:tc>
        <w:tc>
          <w:tcPr>
            <w:tcW w:w="320" w:type="dxa"/>
            <w:vAlign w:val="bottom"/>
            <w:tcBorders>
              <w:bottom w:val="single" w:sz="8" w:color="DCDDDE"/>
            </w:tcBorders>
          </w:tcPr>
          <w:p>
            <w:pPr>
              <w:spacing w:after="0"/>
              <w:rPr>
                <w:sz w:val="17"/>
                <w:szCs w:val="17"/>
                <w:color w:val="auto"/>
              </w:rPr>
            </w:pPr>
          </w:p>
        </w:tc>
        <w:tc>
          <w:tcPr>
            <w:tcW w:w="4220" w:type="dxa"/>
            <w:vAlign w:val="bottom"/>
            <w:tcBorders>
              <w:bottom w:val="single" w:sz="8" w:color="DCDDDE"/>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00" w:type="dxa"/>
            <w:vAlign w:val="bottom"/>
          </w:tcPr>
          <w:p>
            <w:pPr>
              <w:ind w:left="80"/>
              <w:spacing w:after="0" w:line="167" w:lineRule="exact"/>
              <w:rPr>
                <w:sz w:val="20"/>
                <w:szCs w:val="20"/>
                <w:color w:val="auto"/>
              </w:rPr>
            </w:pPr>
            <w:r>
              <w:rPr>
                <w:rFonts w:ascii="Arial" w:cs="Arial" w:eastAsia="Arial" w:hAnsi="Arial"/>
                <w:sz w:val="15"/>
                <w:szCs w:val="15"/>
                <w:b w:val="1"/>
                <w:bCs w:val="1"/>
                <w:color w:val="auto"/>
              </w:rPr>
              <w:t>Variable,</w:t>
            </w:r>
          </w:p>
        </w:tc>
        <w:tc>
          <w:tcPr>
            <w:tcW w:w="1100" w:type="dxa"/>
            <w:vAlign w:val="bottom"/>
          </w:tcPr>
          <w:p>
            <w:pPr>
              <w:ind w:left="60"/>
              <w:spacing w:after="0" w:line="167" w:lineRule="exact"/>
              <w:rPr>
                <w:sz w:val="20"/>
                <w:szCs w:val="20"/>
                <w:color w:val="auto"/>
              </w:rPr>
            </w:pPr>
            <w:r>
              <w:rPr>
                <w:rFonts w:ascii="Arial" w:cs="Arial" w:eastAsia="Arial" w:hAnsi="Arial"/>
                <w:sz w:val="15"/>
                <w:szCs w:val="15"/>
                <w:b w:val="1"/>
                <w:bCs w:val="1"/>
                <w:color w:val="99D9F1"/>
              </w:rPr>
              <w:t>Annual Cash</w:t>
            </w:r>
          </w:p>
        </w:tc>
        <w:tc>
          <w:tcPr>
            <w:tcW w:w="260" w:type="dxa"/>
            <w:vAlign w:val="bottom"/>
          </w:tcPr>
          <w:p>
            <w:pPr>
              <w:ind w:left="120"/>
              <w:spacing w:after="0"/>
              <w:rPr>
                <w:sz w:val="20"/>
                <w:szCs w:val="20"/>
                <w:color w:val="auto"/>
              </w:rPr>
            </w:pPr>
            <w:r>
              <w:rPr>
                <w:rFonts w:ascii="Arial" w:cs="Arial" w:eastAsia="Arial" w:hAnsi="Arial"/>
                <w:sz w:val="14"/>
                <w:szCs w:val="14"/>
                <w:color w:val="00A0DE"/>
              </w:rPr>
              <w:t>●</w:t>
            </w:r>
          </w:p>
        </w:tc>
        <w:tc>
          <w:tcPr>
            <w:tcW w:w="4240" w:type="dxa"/>
            <w:vAlign w:val="bottom"/>
          </w:tcPr>
          <w:p>
            <w:pPr>
              <w:ind w:left="80"/>
              <w:spacing w:after="0" w:line="167" w:lineRule="exact"/>
              <w:rPr>
                <w:sz w:val="20"/>
                <w:szCs w:val="20"/>
                <w:color w:val="auto"/>
              </w:rPr>
            </w:pPr>
            <w:r>
              <w:rPr>
                <w:rFonts w:ascii="Arial" w:cs="Arial" w:eastAsia="Arial" w:hAnsi="Arial"/>
                <w:sz w:val="15"/>
                <w:szCs w:val="15"/>
                <w:color w:val="auto"/>
              </w:rPr>
              <w:t>Provides a competitive annual cash bonus opportunity and</w:t>
            </w:r>
          </w:p>
        </w:tc>
        <w:tc>
          <w:tcPr>
            <w:tcW w:w="320" w:type="dxa"/>
            <w:vAlign w:val="bottom"/>
          </w:tcPr>
          <w:p>
            <w:pPr>
              <w:ind w:left="160"/>
              <w:spacing w:after="0"/>
              <w:rPr>
                <w:sz w:val="20"/>
                <w:szCs w:val="20"/>
                <w:color w:val="auto"/>
              </w:rPr>
            </w:pPr>
            <w:r>
              <w:rPr>
                <w:rFonts w:ascii="Arial" w:cs="Arial" w:eastAsia="Arial" w:hAnsi="Arial"/>
                <w:sz w:val="14"/>
                <w:szCs w:val="14"/>
                <w:color w:val="00A0DE"/>
              </w:rPr>
              <w:t>●</w:t>
            </w:r>
          </w:p>
        </w:tc>
        <w:tc>
          <w:tcPr>
            <w:tcW w:w="4220" w:type="dxa"/>
            <w:vAlign w:val="bottom"/>
          </w:tcPr>
          <w:p>
            <w:pPr>
              <w:ind w:left="60"/>
              <w:spacing w:after="0" w:line="167" w:lineRule="exact"/>
              <w:rPr>
                <w:sz w:val="20"/>
                <w:szCs w:val="20"/>
                <w:color w:val="auto"/>
              </w:rPr>
            </w:pPr>
            <w:r>
              <w:rPr>
                <w:rFonts w:ascii="Arial" w:cs="Arial" w:eastAsia="Arial" w:hAnsi="Arial"/>
                <w:sz w:val="15"/>
                <w:szCs w:val="15"/>
                <w:color w:val="auto"/>
              </w:rPr>
              <w:t>Based on objective quantitative financial performance</w:t>
            </w:r>
          </w:p>
        </w:tc>
        <w:tc>
          <w:tcPr>
            <w:tcW w:w="0" w:type="dxa"/>
            <w:vAlign w:val="bottom"/>
          </w:tcPr>
          <w:p>
            <w:pPr>
              <w:spacing w:after="0"/>
              <w:rPr>
                <w:sz w:val="1"/>
                <w:szCs w:val="1"/>
                <w:color w:val="auto"/>
              </w:rPr>
            </w:pPr>
          </w:p>
        </w:tc>
      </w:tr>
      <w:tr>
        <w:trPr>
          <w:trHeight w:val="162"/>
        </w:trPr>
        <w:tc>
          <w:tcPr>
            <w:tcW w:w="1100" w:type="dxa"/>
            <w:vAlign w:val="bottom"/>
          </w:tcPr>
          <w:p>
            <w:pPr>
              <w:ind w:left="80"/>
              <w:spacing w:after="0" w:line="162" w:lineRule="exact"/>
              <w:rPr>
                <w:sz w:val="20"/>
                <w:szCs w:val="20"/>
                <w:color w:val="auto"/>
              </w:rPr>
            </w:pPr>
            <w:r>
              <w:rPr>
                <w:rFonts w:ascii="Arial" w:cs="Arial" w:eastAsia="Arial" w:hAnsi="Arial"/>
                <w:sz w:val="15"/>
                <w:szCs w:val="15"/>
                <w:b w:val="1"/>
                <w:bCs w:val="1"/>
                <w:color w:val="auto"/>
              </w:rPr>
              <w:t>Short-Term,</w:t>
            </w:r>
          </w:p>
        </w:tc>
        <w:tc>
          <w:tcPr>
            <w:tcW w:w="1100" w:type="dxa"/>
            <w:vAlign w:val="bottom"/>
          </w:tcPr>
          <w:p>
            <w:pPr>
              <w:ind w:left="60"/>
              <w:spacing w:after="0" w:line="162" w:lineRule="exact"/>
              <w:rPr>
                <w:sz w:val="20"/>
                <w:szCs w:val="20"/>
                <w:color w:val="auto"/>
              </w:rPr>
            </w:pPr>
            <w:r>
              <w:rPr>
                <w:rFonts w:ascii="Arial" w:cs="Arial" w:eastAsia="Arial" w:hAnsi="Arial"/>
                <w:sz w:val="15"/>
                <w:szCs w:val="15"/>
                <w:b w:val="1"/>
                <w:bCs w:val="1"/>
                <w:color w:val="99D9F1"/>
              </w:rPr>
              <w:t>Bonus</w:t>
            </w:r>
          </w:p>
        </w:tc>
        <w:tc>
          <w:tcPr>
            <w:tcW w:w="260" w:type="dxa"/>
            <w:vAlign w:val="bottom"/>
          </w:tcPr>
          <w:p>
            <w:pPr>
              <w:spacing w:after="0"/>
              <w:rPr>
                <w:sz w:val="14"/>
                <w:szCs w:val="14"/>
                <w:color w:val="auto"/>
              </w:rPr>
            </w:pPr>
          </w:p>
        </w:tc>
        <w:tc>
          <w:tcPr>
            <w:tcW w:w="4240" w:type="dxa"/>
            <w:vAlign w:val="bottom"/>
          </w:tcPr>
          <w:p>
            <w:pPr>
              <w:ind w:left="80"/>
              <w:spacing w:after="0" w:line="162" w:lineRule="exact"/>
              <w:rPr>
                <w:sz w:val="20"/>
                <w:szCs w:val="20"/>
                <w:color w:val="auto"/>
              </w:rPr>
            </w:pPr>
            <w:r>
              <w:rPr>
                <w:rFonts w:ascii="Arial" w:cs="Arial" w:eastAsia="Arial" w:hAnsi="Arial"/>
                <w:sz w:val="15"/>
                <w:szCs w:val="15"/>
                <w:color w:val="auto"/>
              </w:rPr>
              <w:t>completes our competitive total annual cash compensation</w:t>
            </w:r>
          </w:p>
        </w:tc>
        <w:tc>
          <w:tcPr>
            <w:tcW w:w="320" w:type="dxa"/>
            <w:vAlign w:val="bottom"/>
          </w:tcPr>
          <w:p>
            <w:pPr>
              <w:spacing w:after="0"/>
              <w:rPr>
                <w:sz w:val="14"/>
                <w:szCs w:val="14"/>
                <w:color w:val="auto"/>
              </w:rPr>
            </w:pPr>
          </w:p>
        </w:tc>
        <w:tc>
          <w:tcPr>
            <w:tcW w:w="4220" w:type="dxa"/>
            <w:vAlign w:val="bottom"/>
          </w:tcPr>
          <w:p>
            <w:pPr>
              <w:ind w:left="80"/>
              <w:spacing w:after="0" w:line="162" w:lineRule="exact"/>
              <w:rPr>
                <w:sz w:val="20"/>
                <w:szCs w:val="20"/>
                <w:color w:val="auto"/>
              </w:rPr>
            </w:pPr>
            <w:r>
              <w:rPr>
                <w:rFonts w:ascii="Arial" w:cs="Arial" w:eastAsia="Arial" w:hAnsi="Arial"/>
                <w:sz w:val="15"/>
                <w:szCs w:val="15"/>
                <w:color w:val="auto"/>
              </w:rPr>
              <w:t>metrics and quantitative and qualitative goals relating to key</w:t>
            </w:r>
          </w:p>
        </w:tc>
        <w:tc>
          <w:tcPr>
            <w:tcW w:w="0" w:type="dxa"/>
            <w:vAlign w:val="bottom"/>
          </w:tcPr>
          <w:p>
            <w:pPr>
              <w:spacing w:after="0"/>
              <w:rPr>
                <w:sz w:val="1"/>
                <w:szCs w:val="1"/>
                <w:color w:val="auto"/>
              </w:rPr>
            </w:pPr>
          </w:p>
        </w:tc>
      </w:tr>
      <w:tr>
        <w:trPr>
          <w:trHeight w:val="162"/>
        </w:trPr>
        <w:tc>
          <w:tcPr>
            <w:tcW w:w="1100" w:type="dxa"/>
            <w:vAlign w:val="bottom"/>
          </w:tcPr>
          <w:p>
            <w:pPr>
              <w:ind w:left="80"/>
              <w:spacing w:after="0" w:line="162" w:lineRule="exact"/>
              <w:rPr>
                <w:sz w:val="20"/>
                <w:szCs w:val="20"/>
                <w:color w:val="auto"/>
              </w:rPr>
            </w:pPr>
            <w:r>
              <w:rPr>
                <w:rFonts w:ascii="Arial" w:cs="Arial" w:eastAsia="Arial" w:hAnsi="Arial"/>
                <w:sz w:val="15"/>
                <w:szCs w:val="15"/>
                <w:b w:val="1"/>
                <w:bCs w:val="1"/>
                <w:color w:val="auto"/>
              </w:rPr>
              <w:t>Performance</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40" w:type="dxa"/>
            <w:vAlign w:val="bottom"/>
          </w:tcPr>
          <w:p>
            <w:pPr>
              <w:ind w:left="80"/>
              <w:spacing w:after="0" w:line="162" w:lineRule="exact"/>
              <w:rPr>
                <w:sz w:val="20"/>
                <w:szCs w:val="20"/>
                <w:color w:val="auto"/>
              </w:rPr>
            </w:pPr>
            <w:r>
              <w:rPr>
                <w:rFonts w:ascii="Arial" w:cs="Arial" w:eastAsia="Arial" w:hAnsi="Arial"/>
                <w:sz w:val="15"/>
                <w:szCs w:val="15"/>
                <w:color w:val="auto"/>
              </w:rPr>
              <w:t>package.</w:t>
            </w:r>
          </w:p>
        </w:tc>
        <w:tc>
          <w:tcPr>
            <w:tcW w:w="320" w:type="dxa"/>
            <w:vAlign w:val="bottom"/>
          </w:tcPr>
          <w:p>
            <w:pPr>
              <w:spacing w:after="0"/>
              <w:rPr>
                <w:sz w:val="14"/>
                <w:szCs w:val="14"/>
                <w:color w:val="auto"/>
              </w:rPr>
            </w:pPr>
          </w:p>
        </w:tc>
        <w:tc>
          <w:tcPr>
            <w:tcW w:w="4220" w:type="dxa"/>
            <w:vAlign w:val="bottom"/>
          </w:tcPr>
          <w:p>
            <w:pPr>
              <w:ind w:left="80"/>
              <w:spacing w:after="0" w:line="162" w:lineRule="exact"/>
              <w:rPr>
                <w:sz w:val="20"/>
                <w:szCs w:val="20"/>
                <w:color w:val="auto"/>
              </w:rPr>
            </w:pPr>
            <w:r>
              <w:rPr>
                <w:rFonts w:ascii="Arial" w:cs="Arial" w:eastAsia="Arial" w:hAnsi="Arial"/>
                <w:sz w:val="15"/>
                <w:szCs w:val="15"/>
                <w:color w:val="auto"/>
              </w:rPr>
              <w:t>operating performance goals.</w:t>
            </w:r>
          </w:p>
        </w:tc>
        <w:tc>
          <w:tcPr>
            <w:tcW w:w="0" w:type="dxa"/>
            <w:vAlign w:val="bottom"/>
          </w:tcPr>
          <w:p>
            <w:pPr>
              <w:spacing w:after="0"/>
              <w:rPr>
                <w:sz w:val="1"/>
                <w:szCs w:val="1"/>
                <w:color w:val="auto"/>
              </w:rPr>
            </w:pPr>
          </w:p>
        </w:tc>
      </w:tr>
      <w:tr>
        <w:trPr>
          <w:trHeight w:val="231"/>
        </w:trPr>
        <w:tc>
          <w:tcPr>
            <w:tcW w:w="1100" w:type="dxa"/>
            <w:vAlign w:val="bottom"/>
          </w:tcPr>
          <w:p>
            <w:pPr>
              <w:ind w:left="80"/>
              <w:spacing w:after="0"/>
              <w:rPr>
                <w:sz w:val="20"/>
                <w:szCs w:val="20"/>
                <w:color w:val="auto"/>
              </w:rPr>
            </w:pPr>
            <w:r>
              <w:rPr>
                <w:rFonts w:ascii="Arial" w:cs="Arial" w:eastAsia="Arial" w:hAnsi="Arial"/>
                <w:sz w:val="15"/>
                <w:szCs w:val="15"/>
                <w:b w:val="1"/>
                <w:bCs w:val="1"/>
                <w:color w:val="auto"/>
              </w:rPr>
              <w:t>-Based</w:t>
            </w:r>
          </w:p>
        </w:tc>
        <w:tc>
          <w:tcPr>
            <w:tcW w:w="1100" w:type="dxa"/>
            <w:vAlign w:val="bottom"/>
          </w:tcPr>
          <w:p>
            <w:pPr>
              <w:spacing w:after="0"/>
              <w:rPr>
                <w:sz w:val="20"/>
                <w:szCs w:val="20"/>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00A0DE"/>
              </w:rPr>
              <w:t>●</w:t>
            </w:r>
          </w:p>
        </w:tc>
        <w:tc>
          <w:tcPr>
            <w:tcW w:w="4240" w:type="dxa"/>
            <w:vAlign w:val="bottom"/>
          </w:tcPr>
          <w:p>
            <w:pPr>
              <w:ind w:left="80"/>
              <w:spacing w:after="0"/>
              <w:rPr>
                <w:sz w:val="20"/>
                <w:szCs w:val="20"/>
                <w:color w:val="auto"/>
              </w:rPr>
            </w:pPr>
            <w:r>
              <w:rPr>
                <w:rFonts w:ascii="Arial" w:cs="Arial" w:eastAsia="Arial" w:hAnsi="Arial"/>
                <w:sz w:val="15"/>
                <w:szCs w:val="15"/>
                <w:color w:val="auto"/>
              </w:rPr>
              <w:t>Target bonus is based on the CHC Committee’s</w:t>
            </w:r>
          </w:p>
        </w:tc>
        <w:tc>
          <w:tcPr>
            <w:tcW w:w="320" w:type="dxa"/>
            <w:vAlign w:val="bottom"/>
          </w:tcPr>
          <w:p>
            <w:pPr>
              <w:ind w:left="160"/>
              <w:spacing w:after="0"/>
              <w:rPr>
                <w:sz w:val="20"/>
                <w:szCs w:val="20"/>
                <w:color w:val="auto"/>
              </w:rPr>
            </w:pPr>
            <w:r>
              <w:rPr>
                <w:rFonts w:ascii="Arial" w:cs="Arial" w:eastAsia="Arial" w:hAnsi="Arial"/>
                <w:sz w:val="14"/>
                <w:szCs w:val="14"/>
                <w:color w:val="00A0DE"/>
              </w:rPr>
              <w:t>●</w:t>
            </w:r>
          </w:p>
        </w:tc>
        <w:tc>
          <w:tcPr>
            <w:tcW w:w="4220" w:type="dxa"/>
            <w:vAlign w:val="bottom"/>
          </w:tcPr>
          <w:p>
            <w:pPr>
              <w:ind w:left="60"/>
              <w:spacing w:after="0"/>
              <w:rPr>
                <w:sz w:val="20"/>
                <w:szCs w:val="20"/>
                <w:color w:val="auto"/>
              </w:rPr>
            </w:pPr>
            <w:r>
              <w:rPr>
                <w:rFonts w:ascii="Arial" w:cs="Arial" w:eastAsia="Arial" w:hAnsi="Arial"/>
                <w:sz w:val="15"/>
                <w:szCs w:val="15"/>
                <w:color w:val="auto"/>
              </w:rPr>
              <w:t>Includes a qualitative portion based on stakeholder and</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40" w:type="dxa"/>
            <w:vAlign w:val="bottom"/>
          </w:tcPr>
          <w:p>
            <w:pPr>
              <w:ind w:left="80"/>
              <w:spacing w:after="0" w:line="162" w:lineRule="exact"/>
              <w:rPr>
                <w:sz w:val="20"/>
                <w:szCs w:val="20"/>
                <w:color w:val="auto"/>
              </w:rPr>
            </w:pPr>
            <w:r>
              <w:rPr>
                <w:rFonts w:ascii="Arial" w:cs="Arial" w:eastAsia="Arial" w:hAnsi="Arial"/>
                <w:sz w:val="15"/>
                <w:szCs w:val="15"/>
                <w:color w:val="auto"/>
              </w:rPr>
              <w:t>assessment of the optimal mix of fixed vs. variable cash</w:t>
            </w:r>
          </w:p>
        </w:tc>
        <w:tc>
          <w:tcPr>
            <w:tcW w:w="320" w:type="dxa"/>
            <w:vAlign w:val="bottom"/>
          </w:tcPr>
          <w:p>
            <w:pPr>
              <w:spacing w:after="0"/>
              <w:rPr>
                <w:sz w:val="14"/>
                <w:szCs w:val="14"/>
                <w:color w:val="auto"/>
              </w:rPr>
            </w:pPr>
          </w:p>
        </w:tc>
        <w:tc>
          <w:tcPr>
            <w:tcW w:w="4220" w:type="dxa"/>
            <w:vAlign w:val="bottom"/>
          </w:tcPr>
          <w:p>
            <w:pPr>
              <w:ind w:left="80"/>
              <w:spacing w:after="0" w:line="162" w:lineRule="exact"/>
              <w:rPr>
                <w:sz w:val="20"/>
                <w:szCs w:val="20"/>
                <w:color w:val="auto"/>
              </w:rPr>
            </w:pPr>
            <w:r>
              <w:rPr>
                <w:rFonts w:ascii="Arial" w:cs="Arial" w:eastAsia="Arial" w:hAnsi="Arial"/>
                <w:sz w:val="15"/>
                <w:szCs w:val="15"/>
                <w:color w:val="auto"/>
              </w:rPr>
              <w:t>sustainability initiatives.</w:t>
            </w: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40" w:type="dxa"/>
            <w:vAlign w:val="bottom"/>
          </w:tcPr>
          <w:p>
            <w:pPr>
              <w:ind w:left="80"/>
              <w:spacing w:after="0"/>
              <w:rPr>
                <w:sz w:val="20"/>
                <w:szCs w:val="20"/>
                <w:color w:val="auto"/>
              </w:rPr>
            </w:pPr>
            <w:r>
              <w:rPr>
                <w:rFonts w:ascii="Arial" w:cs="Arial" w:eastAsia="Arial" w:hAnsi="Arial"/>
                <w:sz w:val="15"/>
                <w:szCs w:val="15"/>
                <w:color w:val="auto"/>
              </w:rPr>
              <w:t>compensation.</w:t>
            </w:r>
          </w:p>
        </w:tc>
        <w:tc>
          <w:tcPr>
            <w:tcW w:w="3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500" w:type="dxa"/>
            <w:vAlign w:val="bottom"/>
            <w:gridSpan w:val="2"/>
          </w:tcPr>
          <w:p>
            <w:pPr>
              <w:ind w:left="120"/>
              <w:spacing w:after="0"/>
              <w:rPr>
                <w:sz w:val="20"/>
                <w:szCs w:val="20"/>
                <w:color w:val="auto"/>
              </w:rPr>
            </w:pPr>
            <w:r>
              <w:rPr>
                <w:rFonts w:ascii="Arial" w:cs="Arial" w:eastAsia="Arial" w:hAnsi="Arial"/>
                <w:sz w:val="14"/>
                <w:szCs w:val="14"/>
                <w:color w:val="00A0DE"/>
              </w:rPr>
              <w:t xml:space="preserve">●  </w:t>
            </w:r>
            <w:r>
              <w:rPr>
                <w:rFonts w:ascii="Arial" w:cs="Arial" w:eastAsia="Arial" w:hAnsi="Arial"/>
                <w:sz w:val="15"/>
                <w:szCs w:val="15"/>
                <w:color w:val="000000"/>
              </w:rPr>
              <w:t>Supports our objective that NEOs must balance achieving</w:t>
            </w:r>
          </w:p>
        </w:tc>
        <w:tc>
          <w:tcPr>
            <w:tcW w:w="3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40" w:type="dxa"/>
            <w:vAlign w:val="bottom"/>
          </w:tcPr>
          <w:p>
            <w:pPr>
              <w:ind w:left="80"/>
              <w:spacing w:after="0" w:line="162" w:lineRule="exact"/>
              <w:rPr>
                <w:sz w:val="20"/>
                <w:szCs w:val="20"/>
                <w:color w:val="auto"/>
              </w:rPr>
            </w:pPr>
            <w:r>
              <w:rPr>
                <w:rFonts w:ascii="Arial" w:cs="Arial" w:eastAsia="Arial" w:hAnsi="Arial"/>
                <w:sz w:val="15"/>
                <w:szCs w:val="15"/>
                <w:color w:val="auto"/>
              </w:rPr>
              <w:t>current year (short-term) goals with long-term value</w:t>
            </w:r>
          </w:p>
        </w:tc>
        <w:tc>
          <w:tcPr>
            <w:tcW w:w="3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00" w:type="dxa"/>
            <w:vAlign w:val="bottom"/>
            <w:tcBorders>
              <w:bottom w:val="single" w:sz="8" w:color="DCDDDE"/>
            </w:tcBorders>
          </w:tcPr>
          <w:p>
            <w:pPr>
              <w:spacing w:after="0"/>
              <w:rPr>
                <w:sz w:val="17"/>
                <w:szCs w:val="17"/>
                <w:color w:val="auto"/>
              </w:rPr>
            </w:pPr>
          </w:p>
        </w:tc>
        <w:tc>
          <w:tcPr>
            <w:tcW w:w="1100" w:type="dxa"/>
            <w:vAlign w:val="bottom"/>
            <w:tcBorders>
              <w:bottom w:val="single" w:sz="8" w:color="DCDDDE"/>
            </w:tcBorders>
          </w:tcPr>
          <w:p>
            <w:pPr>
              <w:spacing w:after="0"/>
              <w:rPr>
                <w:sz w:val="17"/>
                <w:szCs w:val="17"/>
                <w:color w:val="auto"/>
              </w:rPr>
            </w:pPr>
          </w:p>
        </w:tc>
        <w:tc>
          <w:tcPr>
            <w:tcW w:w="260" w:type="dxa"/>
            <w:vAlign w:val="bottom"/>
            <w:tcBorders>
              <w:bottom w:val="single" w:sz="8" w:color="DCDDDE"/>
            </w:tcBorders>
          </w:tcPr>
          <w:p>
            <w:pPr>
              <w:spacing w:after="0"/>
              <w:rPr>
                <w:sz w:val="17"/>
                <w:szCs w:val="17"/>
                <w:color w:val="auto"/>
              </w:rPr>
            </w:pPr>
          </w:p>
        </w:tc>
        <w:tc>
          <w:tcPr>
            <w:tcW w:w="4240" w:type="dxa"/>
            <w:vAlign w:val="bottom"/>
            <w:tcBorders>
              <w:bottom w:val="single" w:sz="8" w:color="DCDDDE"/>
            </w:tcBorders>
          </w:tcPr>
          <w:p>
            <w:pPr>
              <w:ind w:left="80"/>
              <w:spacing w:after="0"/>
              <w:rPr>
                <w:sz w:val="20"/>
                <w:szCs w:val="20"/>
                <w:color w:val="auto"/>
              </w:rPr>
            </w:pPr>
            <w:r>
              <w:rPr>
                <w:rFonts w:ascii="Arial" w:cs="Arial" w:eastAsia="Arial" w:hAnsi="Arial"/>
                <w:sz w:val="15"/>
                <w:szCs w:val="15"/>
                <w:color w:val="auto"/>
              </w:rPr>
              <w:t>creation.</w:t>
            </w:r>
          </w:p>
        </w:tc>
        <w:tc>
          <w:tcPr>
            <w:tcW w:w="320" w:type="dxa"/>
            <w:vAlign w:val="bottom"/>
            <w:tcBorders>
              <w:bottom w:val="single" w:sz="8" w:color="DCDDDE"/>
            </w:tcBorders>
          </w:tcPr>
          <w:p>
            <w:pPr>
              <w:spacing w:after="0"/>
              <w:rPr>
                <w:sz w:val="17"/>
                <w:szCs w:val="17"/>
                <w:color w:val="auto"/>
              </w:rPr>
            </w:pPr>
          </w:p>
        </w:tc>
        <w:tc>
          <w:tcPr>
            <w:tcW w:w="4220" w:type="dxa"/>
            <w:vAlign w:val="bottom"/>
            <w:tcBorders>
              <w:bottom w:val="single" w:sz="8" w:color="DCDDDE"/>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100" w:type="dxa"/>
            <w:vAlign w:val="bottom"/>
          </w:tcPr>
          <w:p>
            <w:pPr>
              <w:ind w:left="80"/>
              <w:spacing w:after="0" w:line="167" w:lineRule="exact"/>
              <w:rPr>
                <w:sz w:val="20"/>
                <w:szCs w:val="20"/>
                <w:color w:val="auto"/>
              </w:rPr>
            </w:pPr>
            <w:r>
              <w:rPr>
                <w:rFonts w:ascii="Arial" w:cs="Arial" w:eastAsia="Arial" w:hAnsi="Arial"/>
                <w:sz w:val="15"/>
                <w:szCs w:val="15"/>
                <w:b w:val="1"/>
                <w:bCs w:val="1"/>
                <w:color w:val="auto"/>
              </w:rPr>
              <w:t>Variable,</w:t>
            </w:r>
          </w:p>
        </w:tc>
        <w:tc>
          <w:tcPr>
            <w:tcW w:w="1100" w:type="dxa"/>
            <w:vAlign w:val="bottom"/>
          </w:tcPr>
          <w:p>
            <w:pPr>
              <w:ind w:left="60"/>
              <w:spacing w:after="0" w:line="167" w:lineRule="exact"/>
              <w:rPr>
                <w:sz w:val="20"/>
                <w:szCs w:val="20"/>
                <w:color w:val="auto"/>
              </w:rPr>
            </w:pPr>
            <w:r>
              <w:rPr>
                <w:rFonts w:ascii="Arial" w:cs="Arial" w:eastAsia="Arial" w:hAnsi="Arial"/>
                <w:sz w:val="15"/>
                <w:szCs w:val="15"/>
                <w:b w:val="1"/>
                <w:bCs w:val="1"/>
                <w:color w:val="00A0DE"/>
              </w:rPr>
              <w:t>Annual PSU</w:t>
            </w:r>
          </w:p>
        </w:tc>
        <w:tc>
          <w:tcPr>
            <w:tcW w:w="260" w:type="dxa"/>
            <w:vAlign w:val="bottom"/>
          </w:tcPr>
          <w:p>
            <w:pPr>
              <w:ind w:left="120"/>
              <w:spacing w:after="0"/>
              <w:rPr>
                <w:sz w:val="20"/>
                <w:szCs w:val="20"/>
                <w:color w:val="auto"/>
              </w:rPr>
            </w:pPr>
            <w:r>
              <w:rPr>
                <w:rFonts w:ascii="Arial" w:cs="Arial" w:eastAsia="Arial" w:hAnsi="Arial"/>
                <w:sz w:val="14"/>
                <w:szCs w:val="14"/>
                <w:color w:val="00A0DE"/>
              </w:rPr>
              <w:t>●</w:t>
            </w:r>
          </w:p>
        </w:tc>
        <w:tc>
          <w:tcPr>
            <w:tcW w:w="4240" w:type="dxa"/>
            <w:vAlign w:val="bottom"/>
          </w:tcPr>
          <w:p>
            <w:pPr>
              <w:ind w:left="80"/>
              <w:spacing w:after="0" w:line="167" w:lineRule="exact"/>
              <w:rPr>
                <w:sz w:val="20"/>
                <w:szCs w:val="20"/>
                <w:color w:val="auto"/>
              </w:rPr>
            </w:pPr>
            <w:r>
              <w:rPr>
                <w:rFonts w:ascii="Arial" w:cs="Arial" w:eastAsia="Arial" w:hAnsi="Arial"/>
                <w:sz w:val="15"/>
                <w:szCs w:val="15"/>
                <w:color w:val="auto"/>
              </w:rPr>
              <w:t>Fosters a long-term commitment and motivates executives</w:t>
            </w:r>
          </w:p>
        </w:tc>
        <w:tc>
          <w:tcPr>
            <w:tcW w:w="320" w:type="dxa"/>
            <w:vAlign w:val="bottom"/>
          </w:tcPr>
          <w:p>
            <w:pPr>
              <w:ind w:left="160"/>
              <w:spacing w:after="0"/>
              <w:rPr>
                <w:sz w:val="20"/>
                <w:szCs w:val="20"/>
                <w:color w:val="auto"/>
              </w:rPr>
            </w:pPr>
            <w:r>
              <w:rPr>
                <w:rFonts w:ascii="Arial" w:cs="Arial" w:eastAsia="Arial" w:hAnsi="Arial"/>
                <w:sz w:val="14"/>
                <w:szCs w:val="14"/>
                <w:color w:val="00A0DE"/>
              </w:rPr>
              <w:t>●</w:t>
            </w:r>
          </w:p>
        </w:tc>
        <w:tc>
          <w:tcPr>
            <w:tcW w:w="4220" w:type="dxa"/>
            <w:vAlign w:val="bottom"/>
          </w:tcPr>
          <w:p>
            <w:pPr>
              <w:ind w:left="60"/>
              <w:spacing w:after="0" w:line="167" w:lineRule="exact"/>
              <w:rPr>
                <w:sz w:val="20"/>
                <w:szCs w:val="20"/>
                <w:color w:val="auto"/>
              </w:rPr>
            </w:pPr>
            <w:r>
              <w:rPr>
                <w:rFonts w:ascii="Arial" w:cs="Arial" w:eastAsia="Arial" w:hAnsi="Arial"/>
                <w:sz w:val="15"/>
                <w:szCs w:val="15"/>
                <w:color w:val="auto"/>
              </w:rPr>
              <w:t>Cliff vest after three years.</w:t>
            </w:r>
          </w:p>
        </w:tc>
        <w:tc>
          <w:tcPr>
            <w:tcW w:w="0" w:type="dxa"/>
            <w:vAlign w:val="bottom"/>
          </w:tcPr>
          <w:p>
            <w:pPr>
              <w:spacing w:after="0"/>
              <w:rPr>
                <w:sz w:val="1"/>
                <w:szCs w:val="1"/>
                <w:color w:val="auto"/>
              </w:rPr>
            </w:pPr>
          </w:p>
        </w:tc>
      </w:tr>
      <w:tr>
        <w:trPr>
          <w:trHeight w:val="162"/>
        </w:trPr>
        <w:tc>
          <w:tcPr>
            <w:tcW w:w="1100" w:type="dxa"/>
            <w:vAlign w:val="bottom"/>
          </w:tcPr>
          <w:p>
            <w:pPr>
              <w:ind w:left="80"/>
              <w:spacing w:after="0" w:line="162" w:lineRule="exact"/>
              <w:rPr>
                <w:sz w:val="20"/>
                <w:szCs w:val="20"/>
                <w:color w:val="auto"/>
              </w:rPr>
            </w:pPr>
            <w:r>
              <w:rPr>
                <w:rFonts w:ascii="Arial" w:cs="Arial" w:eastAsia="Arial" w:hAnsi="Arial"/>
                <w:sz w:val="15"/>
                <w:szCs w:val="15"/>
                <w:b w:val="1"/>
                <w:bCs w:val="1"/>
                <w:color w:val="auto"/>
              </w:rPr>
              <w:t>Long-Term,</w:t>
            </w:r>
          </w:p>
        </w:tc>
        <w:tc>
          <w:tcPr>
            <w:tcW w:w="1100" w:type="dxa"/>
            <w:vAlign w:val="bottom"/>
          </w:tcPr>
          <w:p>
            <w:pPr>
              <w:ind w:left="60"/>
              <w:spacing w:after="0" w:line="162" w:lineRule="exact"/>
              <w:rPr>
                <w:sz w:val="20"/>
                <w:szCs w:val="20"/>
                <w:color w:val="auto"/>
              </w:rPr>
            </w:pPr>
            <w:r>
              <w:rPr>
                <w:rFonts w:ascii="Arial" w:cs="Arial" w:eastAsia="Arial" w:hAnsi="Arial"/>
                <w:sz w:val="15"/>
                <w:szCs w:val="15"/>
                <w:b w:val="1"/>
                <w:bCs w:val="1"/>
                <w:color w:val="00A0DE"/>
              </w:rPr>
              <w:t>Grants</w:t>
            </w:r>
          </w:p>
        </w:tc>
        <w:tc>
          <w:tcPr>
            <w:tcW w:w="260" w:type="dxa"/>
            <w:vAlign w:val="bottom"/>
          </w:tcPr>
          <w:p>
            <w:pPr>
              <w:spacing w:after="0"/>
              <w:rPr>
                <w:sz w:val="14"/>
                <w:szCs w:val="14"/>
                <w:color w:val="auto"/>
              </w:rPr>
            </w:pPr>
          </w:p>
        </w:tc>
        <w:tc>
          <w:tcPr>
            <w:tcW w:w="4240" w:type="dxa"/>
            <w:vAlign w:val="bottom"/>
          </w:tcPr>
          <w:p>
            <w:pPr>
              <w:ind w:left="80"/>
              <w:spacing w:after="0" w:line="162" w:lineRule="exact"/>
              <w:rPr>
                <w:sz w:val="20"/>
                <w:szCs w:val="20"/>
                <w:color w:val="auto"/>
              </w:rPr>
            </w:pPr>
            <w:r>
              <w:rPr>
                <w:rFonts w:ascii="Arial" w:cs="Arial" w:eastAsia="Arial" w:hAnsi="Arial"/>
                <w:sz w:val="15"/>
                <w:szCs w:val="15"/>
                <w:color w:val="auto"/>
              </w:rPr>
              <w:t>to improve the long-term market performance of our stock.</w:t>
            </w:r>
          </w:p>
        </w:tc>
        <w:tc>
          <w:tcPr>
            <w:tcW w:w="320" w:type="dxa"/>
            <w:vAlign w:val="bottom"/>
            <w:vMerge w:val="restart"/>
          </w:tcPr>
          <w:p>
            <w:pPr>
              <w:ind w:left="160"/>
              <w:spacing w:after="0"/>
              <w:rPr>
                <w:sz w:val="20"/>
                <w:szCs w:val="20"/>
                <w:color w:val="auto"/>
              </w:rPr>
            </w:pPr>
            <w:r>
              <w:rPr>
                <w:rFonts w:ascii="Arial" w:cs="Arial" w:eastAsia="Arial" w:hAnsi="Arial"/>
                <w:sz w:val="14"/>
                <w:szCs w:val="14"/>
                <w:color w:val="00A0DE"/>
              </w:rPr>
              <w:t>●</w:t>
            </w:r>
          </w:p>
        </w:tc>
        <w:tc>
          <w:tcPr>
            <w:tcW w:w="4220" w:type="dxa"/>
            <w:vAlign w:val="bottom"/>
            <w:vMerge w:val="restart"/>
          </w:tcPr>
          <w:p>
            <w:pPr>
              <w:ind w:left="60"/>
              <w:spacing w:after="0"/>
              <w:rPr>
                <w:sz w:val="20"/>
                <w:szCs w:val="20"/>
                <w:color w:val="auto"/>
              </w:rPr>
            </w:pPr>
            <w:r>
              <w:rPr>
                <w:rFonts w:ascii="Arial" w:cs="Arial" w:eastAsia="Arial" w:hAnsi="Arial"/>
                <w:sz w:val="15"/>
                <w:szCs w:val="15"/>
                <w:color w:val="auto"/>
              </w:rPr>
              <w:t>Vesting is dependent upon achievement of absolute and</w:t>
            </w:r>
          </w:p>
        </w:tc>
        <w:tc>
          <w:tcPr>
            <w:tcW w:w="0" w:type="dxa"/>
            <w:vAlign w:val="bottom"/>
          </w:tcPr>
          <w:p>
            <w:pPr>
              <w:spacing w:after="0"/>
              <w:rPr>
                <w:sz w:val="1"/>
                <w:szCs w:val="1"/>
                <w:color w:val="auto"/>
              </w:rPr>
            </w:pPr>
          </w:p>
        </w:tc>
      </w:tr>
      <w:tr>
        <w:trPr>
          <w:trHeight w:val="69"/>
        </w:trPr>
        <w:tc>
          <w:tcPr>
            <w:tcW w:w="1100" w:type="dxa"/>
            <w:vAlign w:val="bottom"/>
            <w:vMerge w:val="restart"/>
          </w:tcPr>
          <w:p>
            <w:pPr>
              <w:ind w:left="80"/>
              <w:spacing w:after="0" w:line="162" w:lineRule="exact"/>
              <w:rPr>
                <w:sz w:val="20"/>
                <w:szCs w:val="20"/>
                <w:color w:val="auto"/>
              </w:rPr>
            </w:pPr>
            <w:r>
              <w:rPr>
                <w:rFonts w:ascii="Arial" w:cs="Arial" w:eastAsia="Arial" w:hAnsi="Arial"/>
                <w:sz w:val="15"/>
                <w:szCs w:val="15"/>
                <w:b w:val="1"/>
                <w:bCs w:val="1"/>
                <w:color w:val="auto"/>
              </w:rPr>
              <w:t>Performance</w:t>
            </w: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4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10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vMerge w:val="restart"/>
          </w:tcPr>
          <w:p>
            <w:pPr>
              <w:ind w:left="120"/>
              <w:spacing w:after="0"/>
              <w:rPr>
                <w:sz w:val="20"/>
                <w:szCs w:val="20"/>
                <w:color w:val="auto"/>
              </w:rPr>
            </w:pPr>
            <w:r>
              <w:rPr>
                <w:rFonts w:ascii="Arial" w:cs="Arial" w:eastAsia="Arial" w:hAnsi="Arial"/>
                <w:sz w:val="14"/>
                <w:szCs w:val="14"/>
                <w:color w:val="00A0DE"/>
              </w:rPr>
              <w:t>●</w:t>
            </w:r>
          </w:p>
        </w:tc>
        <w:tc>
          <w:tcPr>
            <w:tcW w:w="4240" w:type="dxa"/>
            <w:vAlign w:val="bottom"/>
            <w:vMerge w:val="restart"/>
          </w:tcPr>
          <w:p>
            <w:pPr>
              <w:ind w:left="80"/>
              <w:spacing w:after="0" w:line="162" w:lineRule="exact"/>
              <w:rPr>
                <w:sz w:val="20"/>
                <w:szCs w:val="20"/>
                <w:color w:val="auto"/>
              </w:rPr>
            </w:pPr>
            <w:r>
              <w:rPr>
                <w:rFonts w:ascii="Arial" w:cs="Arial" w:eastAsia="Arial" w:hAnsi="Arial"/>
                <w:sz w:val="15"/>
                <w:szCs w:val="15"/>
                <w:color w:val="auto"/>
              </w:rPr>
              <w:t>Links the NEOs’ decision-making with the long-term</w:t>
            </w:r>
          </w:p>
        </w:tc>
        <w:tc>
          <w:tcPr>
            <w:tcW w:w="320" w:type="dxa"/>
            <w:vAlign w:val="bottom"/>
          </w:tcPr>
          <w:p>
            <w:pPr>
              <w:spacing w:after="0"/>
              <w:rPr>
                <w:sz w:val="8"/>
                <w:szCs w:val="8"/>
                <w:color w:val="auto"/>
              </w:rPr>
            </w:pPr>
          </w:p>
        </w:tc>
        <w:tc>
          <w:tcPr>
            <w:tcW w:w="4220" w:type="dxa"/>
            <w:vAlign w:val="bottom"/>
            <w:vMerge w:val="restart"/>
          </w:tcPr>
          <w:p>
            <w:pPr>
              <w:ind w:left="80"/>
              <w:spacing w:after="0" w:line="162" w:lineRule="exact"/>
              <w:rPr>
                <w:sz w:val="20"/>
                <w:szCs w:val="20"/>
                <w:color w:val="auto"/>
              </w:rPr>
            </w:pPr>
            <w:r>
              <w:rPr>
                <w:rFonts w:ascii="Arial" w:cs="Arial" w:eastAsia="Arial" w:hAnsi="Arial"/>
                <w:sz w:val="15"/>
                <w:szCs w:val="15"/>
                <w:color w:val="auto"/>
              </w:rPr>
              <w:t>relative performance metrics established at the beginning of</w:t>
            </w:r>
          </w:p>
        </w:tc>
        <w:tc>
          <w:tcPr>
            <w:tcW w:w="0" w:type="dxa"/>
            <w:vAlign w:val="bottom"/>
          </w:tcPr>
          <w:p>
            <w:pPr>
              <w:spacing w:after="0"/>
              <w:rPr>
                <w:sz w:val="1"/>
                <w:szCs w:val="1"/>
                <w:color w:val="auto"/>
              </w:rPr>
            </w:pPr>
          </w:p>
        </w:tc>
      </w:tr>
      <w:tr>
        <w:trPr>
          <w:trHeight w:val="69"/>
        </w:trPr>
        <w:tc>
          <w:tcPr>
            <w:tcW w:w="11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-Based</w:t>
            </w:r>
          </w:p>
        </w:tc>
        <w:tc>
          <w:tcPr>
            <w:tcW w:w="11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42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110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40" w:type="dxa"/>
            <w:vAlign w:val="bottom"/>
            <w:vMerge w:val="restart"/>
          </w:tcPr>
          <w:p>
            <w:pPr>
              <w:ind w:left="80"/>
              <w:spacing w:after="0"/>
              <w:rPr>
                <w:sz w:val="20"/>
                <w:szCs w:val="20"/>
                <w:color w:val="auto"/>
              </w:rPr>
            </w:pPr>
            <w:r>
              <w:rPr>
                <w:rFonts w:ascii="Arial" w:cs="Arial" w:eastAsia="Arial" w:hAnsi="Arial"/>
                <w:sz w:val="15"/>
                <w:szCs w:val="15"/>
                <w:color w:val="auto"/>
              </w:rPr>
              <w:t>outcomes of those decisions.</w:t>
            </w:r>
          </w:p>
        </w:tc>
        <w:tc>
          <w:tcPr>
            <w:tcW w:w="320" w:type="dxa"/>
            <w:vAlign w:val="bottom"/>
          </w:tcPr>
          <w:p>
            <w:pPr>
              <w:spacing w:after="0"/>
              <w:rPr>
                <w:sz w:val="12"/>
                <w:szCs w:val="12"/>
                <w:color w:val="auto"/>
              </w:rPr>
            </w:pPr>
          </w:p>
        </w:tc>
        <w:tc>
          <w:tcPr>
            <w:tcW w:w="4220" w:type="dxa"/>
            <w:vAlign w:val="bottom"/>
            <w:vMerge w:val="restart"/>
          </w:tcPr>
          <w:p>
            <w:pPr>
              <w:ind w:left="80"/>
              <w:spacing w:after="0"/>
              <w:rPr>
                <w:sz w:val="20"/>
                <w:szCs w:val="20"/>
                <w:color w:val="auto"/>
              </w:rPr>
            </w:pPr>
            <w:r>
              <w:rPr>
                <w:rFonts w:ascii="Arial" w:cs="Arial" w:eastAsia="Arial" w:hAnsi="Arial"/>
                <w:sz w:val="15"/>
                <w:szCs w:val="15"/>
                <w:color w:val="auto"/>
              </w:rPr>
              <w:t>the three-year period.</w:t>
            </w:r>
          </w:p>
        </w:tc>
        <w:tc>
          <w:tcPr>
            <w:tcW w:w="0" w:type="dxa"/>
            <w:vAlign w:val="bottom"/>
          </w:tcPr>
          <w:p>
            <w:pPr>
              <w:spacing w:after="0"/>
              <w:rPr>
                <w:sz w:val="1"/>
                <w:szCs w:val="1"/>
                <w:color w:val="auto"/>
              </w:rPr>
            </w:pPr>
          </w:p>
        </w:tc>
      </w:tr>
      <w:tr>
        <w:trPr>
          <w:trHeight w:val="60"/>
        </w:trPr>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4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00A0DE"/>
              </w:rPr>
              <w:t>●</w:t>
            </w:r>
          </w:p>
        </w:tc>
        <w:tc>
          <w:tcPr>
            <w:tcW w:w="4240" w:type="dxa"/>
            <w:vAlign w:val="bottom"/>
          </w:tcPr>
          <w:p>
            <w:pPr>
              <w:ind w:left="80"/>
              <w:spacing w:after="0"/>
              <w:rPr>
                <w:sz w:val="20"/>
                <w:szCs w:val="20"/>
                <w:color w:val="auto"/>
              </w:rPr>
            </w:pPr>
            <w:r>
              <w:rPr>
                <w:rFonts w:ascii="Arial" w:cs="Arial" w:eastAsia="Arial" w:hAnsi="Arial"/>
                <w:sz w:val="15"/>
                <w:szCs w:val="15"/>
                <w:color w:val="auto"/>
              </w:rPr>
              <w:t>Creates a meaningful retention tool and ties value ultimately</w:t>
            </w:r>
          </w:p>
        </w:tc>
        <w:tc>
          <w:tcPr>
            <w:tcW w:w="320" w:type="dxa"/>
            <w:vAlign w:val="bottom"/>
          </w:tcPr>
          <w:p>
            <w:pPr>
              <w:ind w:left="160"/>
              <w:spacing w:after="0"/>
              <w:rPr>
                <w:sz w:val="20"/>
                <w:szCs w:val="20"/>
                <w:color w:val="auto"/>
              </w:rPr>
            </w:pPr>
            <w:r>
              <w:rPr>
                <w:rFonts w:ascii="Arial" w:cs="Arial" w:eastAsia="Arial" w:hAnsi="Arial"/>
                <w:sz w:val="14"/>
                <w:szCs w:val="14"/>
                <w:color w:val="00A0DE"/>
              </w:rPr>
              <w:t>●</w:t>
            </w:r>
          </w:p>
        </w:tc>
        <w:tc>
          <w:tcPr>
            <w:tcW w:w="4220" w:type="dxa"/>
            <w:vAlign w:val="bottom"/>
          </w:tcPr>
          <w:p>
            <w:pPr>
              <w:ind w:left="60"/>
              <w:spacing w:after="0"/>
              <w:rPr>
                <w:sz w:val="20"/>
                <w:szCs w:val="20"/>
                <w:color w:val="auto"/>
              </w:rPr>
            </w:pPr>
            <w:r>
              <w:rPr>
                <w:rFonts w:ascii="Arial" w:cs="Arial" w:eastAsia="Arial" w:hAnsi="Arial"/>
                <w:sz w:val="15"/>
                <w:szCs w:val="15"/>
                <w:color w:val="auto"/>
              </w:rPr>
              <w:t>Ultimate value of shares acquired upon vesting depends on</w:t>
            </w: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40" w:type="dxa"/>
            <w:vAlign w:val="bottom"/>
          </w:tcPr>
          <w:p>
            <w:pPr>
              <w:ind w:left="80"/>
              <w:spacing w:after="0"/>
              <w:rPr>
                <w:sz w:val="20"/>
                <w:szCs w:val="20"/>
                <w:color w:val="auto"/>
              </w:rPr>
            </w:pPr>
            <w:r>
              <w:rPr>
                <w:rFonts w:ascii="Arial" w:cs="Arial" w:eastAsia="Arial" w:hAnsi="Arial"/>
                <w:sz w:val="15"/>
                <w:szCs w:val="15"/>
                <w:color w:val="auto"/>
              </w:rPr>
              <w:t>realized to longer-term performance.</w:t>
            </w:r>
          </w:p>
        </w:tc>
        <w:tc>
          <w:tcPr>
            <w:tcW w:w="320" w:type="dxa"/>
            <w:vAlign w:val="bottom"/>
          </w:tcPr>
          <w:p>
            <w:pPr>
              <w:spacing w:after="0"/>
              <w:rPr>
                <w:sz w:val="17"/>
                <w:szCs w:val="17"/>
                <w:color w:val="auto"/>
              </w:rPr>
            </w:pPr>
          </w:p>
        </w:tc>
        <w:tc>
          <w:tcPr>
            <w:tcW w:w="4220" w:type="dxa"/>
            <w:vAlign w:val="bottom"/>
          </w:tcPr>
          <w:p>
            <w:pPr>
              <w:ind w:left="80"/>
              <w:spacing w:after="0"/>
              <w:rPr>
                <w:sz w:val="20"/>
                <w:szCs w:val="20"/>
                <w:color w:val="auto"/>
              </w:rPr>
            </w:pPr>
            <w:r>
              <w:rPr>
                <w:rFonts w:ascii="Arial" w:cs="Arial" w:eastAsia="Arial" w:hAnsi="Arial"/>
                <w:sz w:val="15"/>
                <w:szCs w:val="15"/>
                <w:color w:val="auto"/>
              </w:rPr>
              <w:t>attainment of metrics and stock price.</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1100" w:type="dxa"/>
            <w:vAlign w:val="bottom"/>
          </w:tcPr>
          <w:p>
            <w:pPr>
              <w:ind w:left="60"/>
              <w:spacing w:after="0"/>
              <w:rPr>
                <w:sz w:val="20"/>
                <w:szCs w:val="20"/>
                <w:color w:val="auto"/>
              </w:rPr>
            </w:pPr>
            <w:r>
              <w:rPr>
                <w:rFonts w:ascii="Arial" w:cs="Arial" w:eastAsia="Arial" w:hAnsi="Arial"/>
                <w:sz w:val="15"/>
                <w:szCs w:val="15"/>
                <w:b w:val="1"/>
                <w:bCs w:val="1"/>
                <w:color w:val="00A0DE"/>
              </w:rPr>
              <w:t>Annual</w:t>
            </w:r>
          </w:p>
        </w:tc>
        <w:tc>
          <w:tcPr>
            <w:tcW w:w="260" w:type="dxa"/>
            <w:vAlign w:val="bottom"/>
          </w:tcPr>
          <w:p>
            <w:pPr>
              <w:ind w:left="120"/>
              <w:spacing w:after="0"/>
              <w:rPr>
                <w:sz w:val="20"/>
                <w:szCs w:val="20"/>
                <w:color w:val="auto"/>
              </w:rPr>
            </w:pPr>
            <w:r>
              <w:rPr>
                <w:rFonts w:ascii="Arial" w:cs="Arial" w:eastAsia="Arial" w:hAnsi="Arial"/>
                <w:sz w:val="14"/>
                <w:szCs w:val="14"/>
                <w:color w:val="00A0DE"/>
              </w:rPr>
              <w:t>●</w:t>
            </w:r>
          </w:p>
        </w:tc>
        <w:tc>
          <w:tcPr>
            <w:tcW w:w="4240" w:type="dxa"/>
            <w:vAlign w:val="bottom"/>
          </w:tcPr>
          <w:p>
            <w:pPr>
              <w:ind w:left="80"/>
              <w:spacing w:after="0"/>
              <w:rPr>
                <w:sz w:val="20"/>
                <w:szCs w:val="20"/>
                <w:color w:val="auto"/>
              </w:rPr>
            </w:pPr>
            <w:r>
              <w:rPr>
                <w:rFonts w:ascii="Arial" w:cs="Arial" w:eastAsia="Arial" w:hAnsi="Arial"/>
                <w:sz w:val="15"/>
                <w:szCs w:val="15"/>
                <w:color w:val="auto"/>
              </w:rPr>
              <w:t>Motivates the long-term market performance of our stock</w:t>
            </w:r>
          </w:p>
        </w:tc>
        <w:tc>
          <w:tcPr>
            <w:tcW w:w="320" w:type="dxa"/>
            <w:vAlign w:val="bottom"/>
          </w:tcPr>
          <w:p>
            <w:pPr>
              <w:ind w:left="160"/>
              <w:spacing w:after="0"/>
              <w:rPr>
                <w:sz w:val="20"/>
                <w:szCs w:val="20"/>
                <w:color w:val="auto"/>
              </w:rPr>
            </w:pPr>
            <w:r>
              <w:rPr>
                <w:rFonts w:ascii="Arial" w:cs="Arial" w:eastAsia="Arial" w:hAnsi="Arial"/>
                <w:sz w:val="14"/>
                <w:szCs w:val="14"/>
                <w:color w:val="00A0DE"/>
              </w:rPr>
              <w:t>●</w:t>
            </w:r>
          </w:p>
        </w:tc>
        <w:tc>
          <w:tcPr>
            <w:tcW w:w="4220" w:type="dxa"/>
            <w:vAlign w:val="bottom"/>
          </w:tcPr>
          <w:p>
            <w:pPr>
              <w:ind w:left="60"/>
              <w:spacing w:after="0"/>
              <w:rPr>
                <w:sz w:val="20"/>
                <w:szCs w:val="20"/>
                <w:color w:val="auto"/>
              </w:rPr>
            </w:pPr>
            <w:r>
              <w:rPr>
                <w:rFonts w:ascii="Arial" w:cs="Arial" w:eastAsia="Arial" w:hAnsi="Arial"/>
                <w:sz w:val="15"/>
                <w:szCs w:val="15"/>
                <w:color w:val="auto"/>
              </w:rPr>
              <w:t>Vest ratably over a five-year period.</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100" w:type="dxa"/>
            <w:vAlign w:val="bottom"/>
          </w:tcPr>
          <w:p>
            <w:pPr>
              <w:ind w:left="60"/>
              <w:spacing w:after="0" w:line="162" w:lineRule="exact"/>
              <w:rPr>
                <w:sz w:val="20"/>
                <w:szCs w:val="20"/>
                <w:color w:val="auto"/>
              </w:rPr>
            </w:pPr>
            <w:r>
              <w:rPr>
                <w:rFonts w:ascii="Arial" w:cs="Arial" w:eastAsia="Arial" w:hAnsi="Arial"/>
                <w:sz w:val="15"/>
                <w:szCs w:val="15"/>
                <w:b w:val="1"/>
                <w:bCs w:val="1"/>
                <w:color w:val="00A0DE"/>
              </w:rPr>
              <w:t>Stock Option</w:t>
            </w:r>
          </w:p>
        </w:tc>
        <w:tc>
          <w:tcPr>
            <w:tcW w:w="260" w:type="dxa"/>
            <w:vAlign w:val="bottom"/>
          </w:tcPr>
          <w:p>
            <w:pPr>
              <w:spacing w:after="0"/>
              <w:rPr>
                <w:sz w:val="14"/>
                <w:szCs w:val="14"/>
                <w:color w:val="auto"/>
              </w:rPr>
            </w:pPr>
          </w:p>
        </w:tc>
        <w:tc>
          <w:tcPr>
            <w:tcW w:w="4240" w:type="dxa"/>
            <w:vAlign w:val="bottom"/>
          </w:tcPr>
          <w:p>
            <w:pPr>
              <w:ind w:left="80"/>
              <w:spacing w:after="0" w:line="162" w:lineRule="exact"/>
              <w:rPr>
                <w:sz w:val="20"/>
                <w:szCs w:val="20"/>
                <w:color w:val="auto"/>
              </w:rPr>
            </w:pPr>
            <w:r>
              <w:rPr>
                <w:rFonts w:ascii="Arial" w:cs="Arial" w:eastAsia="Arial" w:hAnsi="Arial"/>
                <w:sz w:val="15"/>
                <w:szCs w:val="15"/>
                <w:color w:val="auto"/>
              </w:rPr>
              <w:t>and the creation of sustained shareholder value.</w:t>
            </w:r>
          </w:p>
        </w:tc>
        <w:tc>
          <w:tcPr>
            <w:tcW w:w="320" w:type="dxa"/>
            <w:vAlign w:val="bottom"/>
            <w:vMerge w:val="restart"/>
          </w:tcPr>
          <w:p>
            <w:pPr>
              <w:ind w:left="160"/>
              <w:spacing w:after="0"/>
              <w:rPr>
                <w:sz w:val="20"/>
                <w:szCs w:val="20"/>
                <w:color w:val="auto"/>
              </w:rPr>
            </w:pPr>
            <w:r>
              <w:rPr>
                <w:rFonts w:ascii="Arial" w:cs="Arial" w:eastAsia="Arial" w:hAnsi="Arial"/>
                <w:sz w:val="14"/>
                <w:szCs w:val="14"/>
                <w:color w:val="00A0DE"/>
              </w:rPr>
              <w:t>●</w:t>
            </w:r>
          </w:p>
        </w:tc>
        <w:tc>
          <w:tcPr>
            <w:tcW w:w="4220" w:type="dxa"/>
            <w:vAlign w:val="bottom"/>
            <w:vMerge w:val="restart"/>
          </w:tcPr>
          <w:p>
            <w:pPr>
              <w:ind w:left="60"/>
              <w:spacing w:after="0"/>
              <w:rPr>
                <w:sz w:val="20"/>
                <w:szCs w:val="20"/>
                <w:color w:val="auto"/>
              </w:rPr>
            </w:pPr>
            <w:r>
              <w:rPr>
                <w:rFonts w:ascii="Arial" w:cs="Arial" w:eastAsia="Arial" w:hAnsi="Arial"/>
                <w:sz w:val="15"/>
                <w:szCs w:val="15"/>
                <w:color w:val="auto"/>
              </w:rPr>
              <w:t>Stock price must appreciate for stock options to deliver</w:t>
            </w:r>
          </w:p>
        </w:tc>
        <w:tc>
          <w:tcPr>
            <w:tcW w:w="0" w:type="dxa"/>
            <w:vAlign w:val="bottom"/>
          </w:tcPr>
          <w:p>
            <w:pPr>
              <w:spacing w:after="0"/>
              <w:rPr>
                <w:sz w:val="1"/>
                <w:szCs w:val="1"/>
                <w:color w:val="auto"/>
              </w:rPr>
            </w:pPr>
          </w:p>
        </w:tc>
      </w:tr>
      <w:tr>
        <w:trPr>
          <w:trHeight w:val="69"/>
        </w:trPr>
        <w:tc>
          <w:tcPr>
            <w:tcW w:w="1100" w:type="dxa"/>
            <w:vAlign w:val="bottom"/>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5"/>
                <w:szCs w:val="15"/>
                <w:b w:val="1"/>
                <w:bCs w:val="1"/>
                <w:color w:val="00A0DE"/>
              </w:rPr>
              <w:t>Grants</w:t>
            </w:r>
          </w:p>
        </w:tc>
        <w:tc>
          <w:tcPr>
            <w:tcW w:w="260" w:type="dxa"/>
            <w:vAlign w:val="bottom"/>
          </w:tcPr>
          <w:p>
            <w:pPr>
              <w:spacing w:after="0"/>
              <w:rPr>
                <w:sz w:val="6"/>
                <w:szCs w:val="6"/>
                <w:color w:val="auto"/>
              </w:rPr>
            </w:pPr>
          </w:p>
        </w:tc>
        <w:tc>
          <w:tcPr>
            <w:tcW w:w="424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00A0DE"/>
              </w:rPr>
              <w:t>●</w:t>
            </w:r>
          </w:p>
        </w:tc>
        <w:tc>
          <w:tcPr>
            <w:tcW w:w="4240" w:type="dxa"/>
            <w:vAlign w:val="bottom"/>
          </w:tcPr>
          <w:p>
            <w:pPr>
              <w:ind w:left="80"/>
              <w:spacing w:after="0" w:line="162" w:lineRule="exact"/>
              <w:rPr>
                <w:sz w:val="20"/>
                <w:szCs w:val="20"/>
                <w:color w:val="auto"/>
              </w:rPr>
            </w:pPr>
            <w:r>
              <w:rPr>
                <w:rFonts w:ascii="Arial" w:cs="Arial" w:eastAsia="Arial" w:hAnsi="Arial"/>
                <w:sz w:val="15"/>
                <w:szCs w:val="15"/>
                <w:color w:val="auto"/>
              </w:rPr>
              <w:t>Relatively long vesting period creates a significant retention</w:t>
            </w:r>
          </w:p>
        </w:tc>
        <w:tc>
          <w:tcPr>
            <w:tcW w:w="320" w:type="dxa"/>
            <w:vAlign w:val="bottom"/>
          </w:tcPr>
          <w:p>
            <w:pPr>
              <w:spacing w:after="0"/>
              <w:rPr>
                <w:sz w:val="14"/>
                <w:szCs w:val="14"/>
                <w:color w:val="auto"/>
              </w:rPr>
            </w:pPr>
          </w:p>
        </w:tc>
        <w:tc>
          <w:tcPr>
            <w:tcW w:w="4220" w:type="dxa"/>
            <w:vAlign w:val="bottom"/>
          </w:tcPr>
          <w:p>
            <w:pPr>
              <w:ind w:left="80"/>
              <w:spacing w:after="0" w:line="162" w:lineRule="exact"/>
              <w:rPr>
                <w:sz w:val="20"/>
                <w:szCs w:val="20"/>
                <w:color w:val="auto"/>
              </w:rPr>
            </w:pPr>
            <w:r>
              <w:rPr>
                <w:rFonts w:ascii="Arial" w:cs="Arial" w:eastAsia="Arial" w:hAnsi="Arial"/>
                <w:sz w:val="15"/>
                <w:szCs w:val="15"/>
                <w:color w:val="auto"/>
              </w:rPr>
              <w:t>value.</w:t>
            </w: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40" w:type="dxa"/>
            <w:vAlign w:val="bottom"/>
          </w:tcPr>
          <w:p>
            <w:pPr>
              <w:ind w:left="80"/>
              <w:spacing w:after="0"/>
              <w:rPr>
                <w:sz w:val="20"/>
                <w:szCs w:val="20"/>
                <w:color w:val="auto"/>
              </w:rPr>
            </w:pPr>
            <w:r>
              <w:rPr>
                <w:rFonts w:ascii="Arial" w:cs="Arial" w:eastAsia="Arial" w:hAnsi="Arial"/>
                <w:sz w:val="15"/>
                <w:szCs w:val="15"/>
                <w:color w:val="auto"/>
              </w:rPr>
              <w:t>tool and emphasizes longer-term shareholder alignment.</w:t>
            </w:r>
          </w:p>
        </w:tc>
        <w:tc>
          <w:tcPr>
            <w:tcW w:w="320" w:type="dxa"/>
            <w:vAlign w:val="bottom"/>
            <w:vMerge w:val="restart"/>
          </w:tcPr>
          <w:p>
            <w:pPr>
              <w:ind w:left="160"/>
              <w:spacing w:after="0"/>
              <w:rPr>
                <w:sz w:val="20"/>
                <w:szCs w:val="20"/>
                <w:color w:val="auto"/>
              </w:rPr>
            </w:pPr>
            <w:r>
              <w:rPr>
                <w:rFonts w:ascii="Arial" w:cs="Arial" w:eastAsia="Arial" w:hAnsi="Arial"/>
                <w:sz w:val="14"/>
                <w:szCs w:val="14"/>
                <w:color w:val="00A0DE"/>
              </w:rPr>
              <w:t>●</w:t>
            </w:r>
          </w:p>
        </w:tc>
        <w:tc>
          <w:tcPr>
            <w:tcW w:w="4220" w:type="dxa"/>
            <w:vAlign w:val="bottom"/>
            <w:vMerge w:val="restart"/>
          </w:tcPr>
          <w:p>
            <w:pPr>
              <w:ind w:left="60"/>
              <w:spacing w:after="0"/>
              <w:rPr>
                <w:sz w:val="20"/>
                <w:szCs w:val="20"/>
                <w:color w:val="auto"/>
              </w:rPr>
            </w:pPr>
            <w:r>
              <w:rPr>
                <w:rFonts w:ascii="Arial" w:cs="Arial" w:eastAsia="Arial" w:hAnsi="Arial"/>
                <w:sz w:val="15"/>
                <w:szCs w:val="15"/>
                <w:color w:val="auto"/>
              </w:rPr>
              <w:t>Options are net settled, resulting in fewer shares issued</w:t>
            </w:r>
          </w:p>
        </w:tc>
        <w:tc>
          <w:tcPr>
            <w:tcW w:w="0" w:type="dxa"/>
            <w:vAlign w:val="bottom"/>
          </w:tcPr>
          <w:p>
            <w:pPr>
              <w:spacing w:after="0"/>
              <w:rPr>
                <w:sz w:val="1"/>
                <w:szCs w:val="1"/>
                <w:color w:val="auto"/>
              </w:rPr>
            </w:pPr>
          </w:p>
        </w:tc>
      </w:tr>
      <w:tr>
        <w:trPr>
          <w:trHeight w:val="57"/>
        </w:trPr>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4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4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5"/>
          <w:szCs w:val="15"/>
          <w:color w:val="auto"/>
        </w:rPr>
        <w:t>upon exercise.</w:t>
      </w:r>
    </w:p>
    <w:p>
      <w:pPr>
        <w:spacing w:after="0" w:line="30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r>
        <w:rPr>
          <w:sz w:val="20"/>
          <w:szCs w:val="20"/>
          <w:color w:val="auto"/>
        </w:rPr>
        <w:tab/>
      </w:r>
      <w:r>
        <w:rPr>
          <w:rFonts w:ascii="Arial" w:cs="Arial" w:eastAsia="Arial" w:hAnsi="Arial"/>
          <w:sz w:val="12"/>
          <w:szCs w:val="12"/>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00A0DD"/>
        </w:rPr>
        <w:t>Compensation Decisions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Base Salary</w:t>
      </w:r>
    </w:p>
    <w:p>
      <w:pPr>
        <w:spacing w:after="0" w:line="20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CHC Committee did not increase Mr. Roberts’ base salary in 2023. Mr. Cavanagh’s base salary increased to $2.5 million effective March 2023, pursuant to the employment agreement entered into upon his promotion to President. Pursuant to his employment agreement, Mr. Armstrong’s base salary was set at $1.8 million effective January 2023, and the CHC Committee increased his base salary to $ 2 million effective January 2024. Mr. Reid’s base salary did not increase in 2023; however, pursuant to his new employment agreement, Mr. Reid’s base salary increased to $1.9 million effective January 2024. Pursuant to her employment agreement, Ms. Khoury’s base salary was set at $1.5 million effective January 2023.</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Annual Cash Bonus</w:t>
      </w:r>
    </w:p>
    <w:p>
      <w:pPr>
        <w:spacing w:after="0" w:line="205"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Our short-term incentive program includes meaningful performance-based elements tied to financial goals, as well as incentives for attainment of operational goals tied to key strategic initiatives and key stakeholder and sustainability initiatives.</w:t>
      </w:r>
    </w:p>
    <w:p>
      <w:pPr>
        <w:spacing w:after="0" w:line="154" w:lineRule="exact"/>
        <w:rPr>
          <w:sz w:val="20"/>
          <w:szCs w:val="20"/>
          <w:color w:val="auto"/>
        </w:rPr>
      </w:pPr>
    </w:p>
    <w:p>
      <w:pPr>
        <w:ind w:left="280" w:right="140" w:hanging="263"/>
        <w:spacing w:after="0" w:line="271" w:lineRule="auto"/>
        <w:tabs>
          <w:tab w:leader="none" w:pos="257" w:val="left"/>
        </w:tabs>
        <w:numPr>
          <w:ilvl w:val="0"/>
          <w:numId w:val="66"/>
        </w:numPr>
        <w:rPr>
          <w:rFonts w:ascii="Arial" w:cs="Arial" w:eastAsia="Arial" w:hAnsi="Arial"/>
          <w:sz w:val="17"/>
          <w:szCs w:val="17"/>
          <w:color w:val="00A0DE"/>
        </w:rPr>
      </w:pPr>
      <w:r>
        <w:rPr>
          <w:rFonts w:ascii="Arial" w:cs="Arial" w:eastAsia="Arial" w:hAnsi="Arial"/>
          <w:sz w:val="18"/>
          <w:szCs w:val="18"/>
          <w:color w:val="auto"/>
        </w:rPr>
        <w:t>The target bonus opportunity in 2023 was 300% of salary for Messrs. Roberts and Cavanagh, 200% of salary for Messrs. Armstrong and Reid, and 150% of salary for Ms. Khoury.</w:t>
      </w:r>
    </w:p>
    <w:p>
      <w:pPr>
        <w:spacing w:after="0" w:line="5" w:lineRule="exact"/>
        <w:rPr>
          <w:rFonts w:ascii="Arial" w:cs="Arial" w:eastAsia="Arial" w:hAnsi="Arial"/>
          <w:sz w:val="17"/>
          <w:szCs w:val="17"/>
          <w:color w:val="00A0DE"/>
        </w:rPr>
      </w:pPr>
    </w:p>
    <w:p>
      <w:pPr>
        <w:ind w:left="280" w:right="200" w:hanging="263"/>
        <w:spacing w:after="0" w:line="253" w:lineRule="auto"/>
        <w:tabs>
          <w:tab w:leader="none" w:pos="257" w:val="left"/>
        </w:tabs>
        <w:numPr>
          <w:ilvl w:val="0"/>
          <w:numId w:val="66"/>
        </w:numPr>
        <w:rPr>
          <w:rFonts w:ascii="Arial" w:cs="Arial" w:eastAsia="Arial" w:hAnsi="Arial"/>
          <w:sz w:val="17"/>
          <w:szCs w:val="17"/>
          <w:color w:val="00A0DE"/>
        </w:rPr>
      </w:pPr>
      <w:r>
        <w:rPr>
          <w:rFonts w:ascii="Arial" w:cs="Arial" w:eastAsia="Arial" w:hAnsi="Arial"/>
          <w:sz w:val="18"/>
          <w:szCs w:val="18"/>
          <w:color w:val="auto"/>
        </w:rPr>
        <w:t>Below are the target weightings for each element of the annual cash bonus plan for our NEOs in 2023. The maximum bonus achievable was 185%, based on a maximum weight of 140% for the three financial metrics plus 22.5% for each of the operating performance and stakeholder and sustainability-related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136525</wp:posOffset>
            </wp:positionV>
            <wp:extent cx="2228850" cy="4286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228850" cy="4286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40" w:type="dxa"/>
            <w:vAlign w:val="bottom"/>
            <w:tcBorders>
              <w:right w:val="single" w:sz="8" w:color="00A0DE"/>
            </w:tcBorders>
            <w:shd w:val="clear" w:color="auto" w:fill="00A0DE"/>
          </w:tcPr>
          <w:p>
            <w:pPr>
              <w:spacing w:after="0"/>
              <w:rPr>
                <w:sz w:val="24"/>
                <w:szCs w:val="24"/>
                <w:color w:val="auto"/>
              </w:rPr>
            </w:pPr>
          </w:p>
        </w:tc>
        <w:tc>
          <w:tcPr>
            <w:tcW w:w="360" w:type="dxa"/>
            <w:vAlign w:val="bottom"/>
            <w:shd w:val="clear" w:color="auto" w:fill="00A0DE"/>
          </w:tcPr>
          <w:p>
            <w:pPr>
              <w:spacing w:after="0"/>
              <w:rPr>
                <w:sz w:val="24"/>
                <w:szCs w:val="24"/>
                <w:color w:val="auto"/>
              </w:rPr>
            </w:pPr>
          </w:p>
        </w:tc>
        <w:tc>
          <w:tcPr>
            <w:tcW w:w="3100" w:type="dxa"/>
            <w:vAlign w:val="bottom"/>
            <w:tcBorders>
              <w:right w:val="single" w:sz="8" w:color="00A0DE"/>
            </w:tcBorders>
            <w:gridSpan w:val="2"/>
            <w:shd w:val="clear" w:color="auto" w:fill="00A0DE"/>
          </w:tcPr>
          <w:p>
            <w:pPr>
              <w:jc w:val="center"/>
              <w:ind w:right="400"/>
              <w:spacing w:after="0"/>
              <w:rPr>
                <w:sz w:val="20"/>
                <w:szCs w:val="20"/>
                <w:color w:val="auto"/>
              </w:rPr>
            </w:pPr>
            <w:r>
              <w:rPr>
                <w:rFonts w:ascii="Arial" w:cs="Arial" w:eastAsia="Arial" w:hAnsi="Arial"/>
                <w:sz w:val="18"/>
                <w:szCs w:val="18"/>
                <w:b w:val="1"/>
                <w:bCs w:val="1"/>
                <w:color w:val="FFFFFF"/>
                <w:w w:val="99"/>
              </w:rPr>
              <w:t>Financial</w:t>
            </w:r>
          </w:p>
        </w:tc>
        <w:tc>
          <w:tcPr>
            <w:tcW w:w="380" w:type="dxa"/>
            <w:vAlign w:val="bottom"/>
            <w:tcBorders>
              <w:right w:val="single" w:sz="8" w:color="69BCEB"/>
            </w:tcBorders>
          </w:tcPr>
          <w:p>
            <w:pPr>
              <w:spacing w:after="0"/>
              <w:rPr>
                <w:sz w:val="24"/>
                <w:szCs w:val="24"/>
                <w:color w:val="auto"/>
              </w:rPr>
            </w:pPr>
          </w:p>
        </w:tc>
        <w:tc>
          <w:tcPr>
            <w:tcW w:w="360" w:type="dxa"/>
            <w:vAlign w:val="bottom"/>
            <w:shd w:val="clear" w:color="auto" w:fill="69BCEB"/>
          </w:tcPr>
          <w:p>
            <w:pPr>
              <w:spacing w:after="0"/>
              <w:rPr>
                <w:sz w:val="24"/>
                <w:szCs w:val="24"/>
                <w:color w:val="auto"/>
              </w:rPr>
            </w:pPr>
          </w:p>
        </w:tc>
        <w:tc>
          <w:tcPr>
            <w:tcW w:w="3120" w:type="dxa"/>
            <w:vAlign w:val="bottom"/>
            <w:tcBorders>
              <w:right w:val="single" w:sz="8" w:color="69BCEB"/>
            </w:tcBorders>
            <w:gridSpan w:val="2"/>
            <w:shd w:val="clear" w:color="auto" w:fill="69BCEB"/>
          </w:tcPr>
          <w:p>
            <w:pPr>
              <w:jc w:val="center"/>
              <w:ind w:right="360"/>
              <w:spacing w:after="0"/>
              <w:rPr>
                <w:sz w:val="20"/>
                <w:szCs w:val="20"/>
                <w:color w:val="auto"/>
              </w:rPr>
            </w:pPr>
            <w:r>
              <w:rPr>
                <w:rFonts w:ascii="Arial" w:cs="Arial" w:eastAsia="Arial" w:hAnsi="Arial"/>
                <w:sz w:val="18"/>
                <w:szCs w:val="18"/>
                <w:b w:val="1"/>
                <w:bCs w:val="1"/>
                <w:color w:val="FFFFFF"/>
                <w:w w:val="99"/>
              </w:rPr>
              <w:t>Operating Performance</w:t>
            </w:r>
          </w:p>
        </w:tc>
        <w:tc>
          <w:tcPr>
            <w:tcW w:w="0" w:type="dxa"/>
            <w:vAlign w:val="bottom"/>
          </w:tcPr>
          <w:p>
            <w:pPr>
              <w:spacing w:after="0"/>
              <w:rPr>
                <w:sz w:val="1"/>
                <w:szCs w:val="1"/>
                <w:color w:val="auto"/>
              </w:rPr>
            </w:pPr>
          </w:p>
        </w:tc>
      </w:tr>
      <w:tr>
        <w:trPr>
          <w:trHeight w:val="247"/>
        </w:trPr>
        <w:tc>
          <w:tcPr>
            <w:tcW w:w="40" w:type="dxa"/>
            <w:vAlign w:val="bottom"/>
            <w:tcBorders>
              <w:right w:val="single" w:sz="8" w:color="00A0DE"/>
            </w:tcBorders>
            <w:shd w:val="clear" w:color="auto" w:fill="00A0DE"/>
          </w:tcPr>
          <w:p>
            <w:pPr>
              <w:spacing w:after="0"/>
              <w:rPr>
                <w:sz w:val="21"/>
                <w:szCs w:val="21"/>
                <w:color w:val="auto"/>
              </w:rPr>
            </w:pPr>
          </w:p>
        </w:tc>
        <w:tc>
          <w:tcPr>
            <w:tcW w:w="360" w:type="dxa"/>
            <w:vAlign w:val="bottom"/>
            <w:shd w:val="clear" w:color="auto" w:fill="00A0DE"/>
          </w:tcPr>
          <w:p>
            <w:pPr>
              <w:spacing w:after="0"/>
              <w:rPr>
                <w:sz w:val="21"/>
                <w:szCs w:val="21"/>
                <w:color w:val="auto"/>
              </w:rPr>
            </w:pPr>
          </w:p>
        </w:tc>
        <w:tc>
          <w:tcPr>
            <w:tcW w:w="3100" w:type="dxa"/>
            <w:vAlign w:val="bottom"/>
            <w:tcBorders>
              <w:right w:val="single" w:sz="8" w:color="00A0DE"/>
            </w:tcBorders>
            <w:gridSpan w:val="2"/>
            <w:shd w:val="clear" w:color="auto" w:fill="00A0DE"/>
          </w:tcPr>
          <w:p>
            <w:pPr>
              <w:jc w:val="right"/>
              <w:ind w:right="1520"/>
              <w:spacing w:after="0"/>
              <w:rPr>
                <w:sz w:val="20"/>
                <w:szCs w:val="20"/>
                <w:color w:val="auto"/>
              </w:rPr>
            </w:pPr>
            <w:r>
              <w:rPr>
                <w:rFonts w:ascii="Arial" w:cs="Arial" w:eastAsia="Arial" w:hAnsi="Arial"/>
                <w:sz w:val="18"/>
                <w:szCs w:val="18"/>
                <w:b w:val="1"/>
                <w:bCs w:val="1"/>
                <w:color w:val="FFFFFF"/>
              </w:rPr>
              <w:t>(70%)</w:t>
            </w:r>
          </w:p>
        </w:tc>
        <w:tc>
          <w:tcPr>
            <w:tcW w:w="380" w:type="dxa"/>
            <w:vAlign w:val="bottom"/>
            <w:tcBorders>
              <w:right w:val="single" w:sz="8" w:color="69BCEB"/>
            </w:tcBorders>
          </w:tcPr>
          <w:p>
            <w:pPr>
              <w:spacing w:after="0"/>
              <w:rPr>
                <w:sz w:val="21"/>
                <w:szCs w:val="21"/>
                <w:color w:val="auto"/>
              </w:rPr>
            </w:pPr>
          </w:p>
        </w:tc>
        <w:tc>
          <w:tcPr>
            <w:tcW w:w="360" w:type="dxa"/>
            <w:vAlign w:val="bottom"/>
            <w:shd w:val="clear" w:color="auto" w:fill="69BCEB"/>
          </w:tcPr>
          <w:p>
            <w:pPr>
              <w:spacing w:after="0"/>
              <w:rPr>
                <w:sz w:val="21"/>
                <w:szCs w:val="21"/>
                <w:color w:val="auto"/>
              </w:rPr>
            </w:pPr>
          </w:p>
        </w:tc>
        <w:tc>
          <w:tcPr>
            <w:tcW w:w="3120" w:type="dxa"/>
            <w:vAlign w:val="bottom"/>
            <w:tcBorders>
              <w:right w:val="single" w:sz="8" w:color="69BCEB"/>
            </w:tcBorders>
            <w:gridSpan w:val="2"/>
            <w:shd w:val="clear" w:color="auto" w:fill="69BCEB"/>
          </w:tcPr>
          <w:p>
            <w:pPr>
              <w:jc w:val="right"/>
              <w:ind w:right="1480"/>
              <w:spacing w:after="0"/>
              <w:rPr>
                <w:sz w:val="20"/>
                <w:szCs w:val="20"/>
                <w:color w:val="auto"/>
              </w:rPr>
            </w:pPr>
            <w:r>
              <w:rPr>
                <w:rFonts w:ascii="Arial" w:cs="Arial" w:eastAsia="Arial" w:hAnsi="Arial"/>
                <w:sz w:val="18"/>
                <w:szCs w:val="18"/>
                <w:b w:val="1"/>
                <w:bCs w:val="1"/>
                <w:color w:val="FFFFFF"/>
              </w:rPr>
              <w:t>(15%)*</w:t>
            </w:r>
          </w:p>
        </w:tc>
        <w:tc>
          <w:tcPr>
            <w:tcW w:w="0" w:type="dxa"/>
            <w:vAlign w:val="bottom"/>
          </w:tcPr>
          <w:p>
            <w:pPr>
              <w:spacing w:after="0"/>
              <w:rPr>
                <w:sz w:val="1"/>
                <w:szCs w:val="1"/>
                <w:color w:val="auto"/>
              </w:rPr>
            </w:pPr>
          </w:p>
        </w:tc>
      </w:tr>
      <w:tr>
        <w:trPr>
          <w:trHeight w:val="109"/>
        </w:trPr>
        <w:tc>
          <w:tcPr>
            <w:tcW w:w="40" w:type="dxa"/>
            <w:vAlign w:val="bottom"/>
            <w:tcBorders>
              <w:right w:val="single" w:sz="8" w:color="00A0DE"/>
            </w:tcBorders>
            <w:shd w:val="clear" w:color="auto" w:fill="00A0DE"/>
          </w:tcPr>
          <w:p>
            <w:pPr>
              <w:spacing w:after="0"/>
              <w:rPr>
                <w:sz w:val="9"/>
                <w:szCs w:val="9"/>
                <w:color w:val="auto"/>
              </w:rPr>
            </w:pPr>
          </w:p>
        </w:tc>
        <w:tc>
          <w:tcPr>
            <w:tcW w:w="360" w:type="dxa"/>
            <w:vAlign w:val="bottom"/>
            <w:shd w:val="clear" w:color="auto" w:fill="00A0DE"/>
          </w:tcPr>
          <w:p>
            <w:pPr>
              <w:spacing w:after="0"/>
              <w:rPr>
                <w:sz w:val="9"/>
                <w:szCs w:val="9"/>
                <w:color w:val="auto"/>
              </w:rPr>
            </w:pPr>
          </w:p>
        </w:tc>
        <w:tc>
          <w:tcPr>
            <w:tcW w:w="1380" w:type="dxa"/>
            <w:vAlign w:val="bottom"/>
            <w:tcBorders>
              <w:right w:val="single" w:sz="8" w:color="00A0DE"/>
            </w:tcBorders>
            <w:shd w:val="clear" w:color="auto" w:fill="00A0DE"/>
          </w:tcPr>
          <w:p>
            <w:pPr>
              <w:spacing w:after="0"/>
              <w:rPr>
                <w:sz w:val="9"/>
                <w:szCs w:val="9"/>
                <w:color w:val="auto"/>
              </w:rPr>
            </w:pPr>
          </w:p>
        </w:tc>
        <w:tc>
          <w:tcPr>
            <w:tcW w:w="1720" w:type="dxa"/>
            <w:vAlign w:val="bottom"/>
            <w:tcBorders>
              <w:right w:val="single" w:sz="8" w:color="00A0DE"/>
            </w:tcBorders>
            <w:shd w:val="clear" w:color="auto" w:fill="00A0DE"/>
          </w:tcPr>
          <w:p>
            <w:pPr>
              <w:spacing w:after="0"/>
              <w:rPr>
                <w:sz w:val="9"/>
                <w:szCs w:val="9"/>
                <w:color w:val="auto"/>
              </w:rPr>
            </w:pPr>
          </w:p>
        </w:tc>
        <w:tc>
          <w:tcPr>
            <w:tcW w:w="380" w:type="dxa"/>
            <w:vAlign w:val="bottom"/>
            <w:tcBorders>
              <w:right w:val="single" w:sz="8" w:color="69BCEB"/>
            </w:tcBorders>
          </w:tcPr>
          <w:p>
            <w:pPr>
              <w:spacing w:after="0"/>
              <w:rPr>
                <w:sz w:val="9"/>
                <w:szCs w:val="9"/>
                <w:color w:val="auto"/>
              </w:rPr>
            </w:pPr>
          </w:p>
        </w:tc>
        <w:tc>
          <w:tcPr>
            <w:tcW w:w="360" w:type="dxa"/>
            <w:vAlign w:val="bottom"/>
            <w:shd w:val="clear" w:color="auto" w:fill="69BCEB"/>
          </w:tcPr>
          <w:p>
            <w:pPr>
              <w:spacing w:after="0"/>
              <w:rPr>
                <w:sz w:val="9"/>
                <w:szCs w:val="9"/>
                <w:color w:val="auto"/>
              </w:rPr>
            </w:pPr>
          </w:p>
        </w:tc>
        <w:tc>
          <w:tcPr>
            <w:tcW w:w="1400" w:type="dxa"/>
            <w:vAlign w:val="bottom"/>
            <w:tcBorders>
              <w:right w:val="single" w:sz="8" w:color="69BCEB"/>
            </w:tcBorders>
            <w:shd w:val="clear" w:color="auto" w:fill="69BCEB"/>
          </w:tcPr>
          <w:p>
            <w:pPr>
              <w:spacing w:after="0"/>
              <w:rPr>
                <w:sz w:val="9"/>
                <w:szCs w:val="9"/>
                <w:color w:val="auto"/>
              </w:rPr>
            </w:pPr>
          </w:p>
        </w:tc>
        <w:tc>
          <w:tcPr>
            <w:tcW w:w="1720" w:type="dxa"/>
            <w:vAlign w:val="bottom"/>
            <w:tcBorders>
              <w:right w:val="single" w:sz="8" w:color="69BCEB"/>
            </w:tcBorders>
            <w:shd w:val="clear" w:color="auto" w:fill="69BCEB"/>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360" w:type="dxa"/>
            <w:vAlign w:val="bottom"/>
            <w:tcBorders>
              <w:bottom w:val="single" w:sz="8" w:color="00A0DE"/>
            </w:tcBorders>
          </w:tcPr>
          <w:p>
            <w:pPr>
              <w:spacing w:after="0"/>
              <w:rPr>
                <w:sz w:val="17"/>
                <w:szCs w:val="17"/>
                <w:color w:val="auto"/>
              </w:rPr>
            </w:pPr>
          </w:p>
        </w:tc>
        <w:tc>
          <w:tcPr>
            <w:tcW w:w="1380" w:type="dxa"/>
            <w:vAlign w:val="bottom"/>
            <w:tcBorders>
              <w:bottom w:val="single" w:sz="8" w:color="00A0DE"/>
              <w:right w:val="single" w:sz="8" w:color="00A0DE"/>
            </w:tcBorders>
          </w:tcPr>
          <w:p>
            <w:pPr>
              <w:spacing w:after="0"/>
              <w:rPr>
                <w:sz w:val="17"/>
                <w:szCs w:val="17"/>
                <w:color w:val="auto"/>
              </w:rPr>
            </w:pPr>
          </w:p>
        </w:tc>
        <w:tc>
          <w:tcPr>
            <w:tcW w:w="1720" w:type="dxa"/>
            <w:vAlign w:val="bottom"/>
            <w:tcBorders>
              <w:bottom w:val="single" w:sz="8" w:color="00A0DE"/>
            </w:tcBorders>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bottom w:val="single" w:sz="8" w:color="69BCEB"/>
            </w:tcBorders>
          </w:tcPr>
          <w:p>
            <w:pPr>
              <w:spacing w:after="0"/>
              <w:rPr>
                <w:sz w:val="17"/>
                <w:szCs w:val="17"/>
                <w:color w:val="auto"/>
              </w:rPr>
            </w:pPr>
          </w:p>
        </w:tc>
        <w:tc>
          <w:tcPr>
            <w:tcW w:w="1400" w:type="dxa"/>
            <w:vAlign w:val="bottom"/>
            <w:tcBorders>
              <w:bottom w:val="single" w:sz="8" w:color="69BCEB"/>
              <w:right w:val="single" w:sz="8" w:color="69BCEB"/>
            </w:tcBorders>
          </w:tcPr>
          <w:p>
            <w:pPr>
              <w:spacing w:after="0"/>
              <w:rPr>
                <w:sz w:val="17"/>
                <w:szCs w:val="17"/>
                <w:color w:val="auto"/>
              </w:rPr>
            </w:pPr>
          </w:p>
        </w:tc>
        <w:tc>
          <w:tcPr>
            <w:tcW w:w="1720" w:type="dxa"/>
            <w:vAlign w:val="bottom"/>
            <w:tcBorders>
              <w:bottom w:val="single" w:sz="8" w:color="69BCEB"/>
            </w:tcBorders>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40" w:type="dxa"/>
            <w:vAlign w:val="bottom"/>
            <w:tcBorders>
              <w:right w:val="single" w:sz="8" w:color="00A0DE"/>
            </w:tcBorders>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7"/>
                <w:szCs w:val="17"/>
                <w:color w:val="00A0DE"/>
              </w:rPr>
              <w:t>●</w:t>
            </w:r>
          </w:p>
        </w:tc>
        <w:tc>
          <w:tcPr>
            <w:tcW w:w="3100" w:type="dxa"/>
            <w:vAlign w:val="bottom"/>
            <w:tcBorders>
              <w:right w:val="single" w:sz="8" w:color="00A0DE"/>
            </w:tcBorders>
            <w:gridSpan w:val="2"/>
          </w:tcPr>
          <w:p>
            <w:pPr>
              <w:ind w:left="6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8"/>
                <w:szCs w:val="18"/>
                <w:b w:val="1"/>
                <w:bCs w:val="1"/>
                <w:color w:val="auto"/>
              </w:rPr>
              <w:t>(35%)</w:t>
            </w:r>
          </w:p>
        </w:tc>
        <w:tc>
          <w:tcPr>
            <w:tcW w:w="380" w:type="dxa"/>
            <w:vAlign w:val="bottom"/>
            <w:tcBorders>
              <w:right w:val="single" w:sz="8" w:color="69BCEB"/>
            </w:tcBorders>
          </w:tcPr>
          <w:p>
            <w:pPr>
              <w:spacing w:after="0"/>
              <w:rPr>
                <w:sz w:val="24"/>
                <w:szCs w:val="24"/>
                <w:color w:val="auto"/>
              </w:rPr>
            </w:pPr>
          </w:p>
        </w:tc>
        <w:tc>
          <w:tcPr>
            <w:tcW w:w="360" w:type="dxa"/>
            <w:vAlign w:val="bottom"/>
          </w:tcPr>
          <w:p>
            <w:pPr>
              <w:ind w:left="200"/>
              <w:spacing w:after="0"/>
              <w:rPr>
                <w:sz w:val="20"/>
                <w:szCs w:val="20"/>
                <w:color w:val="auto"/>
              </w:rPr>
            </w:pPr>
            <w:r>
              <w:rPr>
                <w:rFonts w:ascii="Arial" w:cs="Arial" w:eastAsia="Arial" w:hAnsi="Arial"/>
                <w:sz w:val="17"/>
                <w:szCs w:val="17"/>
                <w:color w:val="00A0DE"/>
              </w:rPr>
              <w:t>●</w:t>
            </w:r>
          </w:p>
        </w:tc>
        <w:tc>
          <w:tcPr>
            <w:tcW w:w="3120" w:type="dxa"/>
            <w:vAlign w:val="bottom"/>
            <w:tcBorders>
              <w:right w:val="single" w:sz="8" w:color="69BCEB"/>
            </w:tcBorders>
            <w:gridSpan w:val="2"/>
          </w:tcPr>
          <w:p>
            <w:pPr>
              <w:ind w:left="60"/>
              <w:spacing w:after="0"/>
              <w:rPr>
                <w:sz w:val="20"/>
                <w:szCs w:val="20"/>
                <w:color w:val="auto"/>
              </w:rPr>
            </w:pPr>
            <w:r>
              <w:rPr>
                <w:rFonts w:ascii="Arial" w:cs="Arial" w:eastAsia="Arial" w:hAnsi="Arial"/>
                <w:sz w:val="18"/>
                <w:szCs w:val="18"/>
                <w:color w:val="auto"/>
              </w:rPr>
              <w:t>Achievement Against Long Range</w:t>
            </w:r>
          </w:p>
        </w:tc>
        <w:tc>
          <w:tcPr>
            <w:tcW w:w="0" w:type="dxa"/>
            <w:vAlign w:val="bottom"/>
          </w:tcPr>
          <w:p>
            <w:pPr>
              <w:spacing w:after="0"/>
              <w:rPr>
                <w:sz w:val="1"/>
                <w:szCs w:val="1"/>
                <w:color w:val="auto"/>
              </w:rPr>
            </w:pPr>
          </w:p>
        </w:tc>
      </w:tr>
      <w:tr>
        <w:trPr>
          <w:trHeight w:val="239"/>
        </w:trPr>
        <w:tc>
          <w:tcPr>
            <w:tcW w:w="40" w:type="dxa"/>
            <w:vAlign w:val="bottom"/>
            <w:tcBorders>
              <w:right w:val="single" w:sz="8" w:color="00A0DE"/>
            </w:tcBorders>
          </w:tcPr>
          <w:p>
            <w:pPr>
              <w:spacing w:after="0"/>
              <w:rPr>
                <w:sz w:val="20"/>
                <w:szCs w:val="20"/>
                <w:color w:val="auto"/>
              </w:rPr>
            </w:pPr>
          </w:p>
        </w:tc>
        <w:tc>
          <w:tcPr>
            <w:tcW w:w="3460" w:type="dxa"/>
            <w:vAlign w:val="bottom"/>
            <w:tcBorders>
              <w:right w:val="single" w:sz="8" w:color="00A0DE"/>
            </w:tcBorders>
            <w:gridSpan w:val="3"/>
            <w:vMerge w:val="restart"/>
          </w:tcPr>
          <w:p>
            <w:pPr>
              <w:ind w:left="180"/>
              <w:spacing w:after="0"/>
              <w:rPr>
                <w:sz w:val="20"/>
                <w:szCs w:val="20"/>
                <w:color w:val="auto"/>
              </w:rPr>
            </w:pPr>
            <w:r>
              <w:rPr>
                <w:rFonts w:ascii="Arial" w:cs="Arial" w:eastAsia="Arial" w:hAnsi="Arial"/>
                <w:sz w:val="17"/>
                <w:szCs w:val="17"/>
                <w:color w:val="00A0DE"/>
              </w:rPr>
              <w:t xml:space="preserve">●  </w:t>
            </w:r>
            <w:r>
              <w:rPr>
                <w:rFonts w:ascii="Arial" w:cs="Arial" w:eastAsia="Arial" w:hAnsi="Arial"/>
                <w:sz w:val="17"/>
                <w:szCs w:val="17"/>
                <w:color w:val="000000"/>
              </w:rPr>
              <w:t>Free Cash Flow</w:t>
            </w:r>
            <w:r>
              <w:rPr>
                <w:rFonts w:ascii="Arial" w:cs="Arial" w:eastAsia="Arial" w:hAnsi="Arial"/>
                <w:sz w:val="17"/>
                <w:szCs w:val="17"/>
                <w:color w:val="00A0DE"/>
              </w:rPr>
              <w:t xml:space="preserve"> </w:t>
            </w:r>
            <w:r>
              <w:rPr>
                <w:rFonts w:ascii="Arial" w:cs="Arial" w:eastAsia="Arial" w:hAnsi="Arial"/>
                <w:sz w:val="17"/>
                <w:szCs w:val="17"/>
                <w:b w:val="1"/>
                <w:bCs w:val="1"/>
                <w:color w:val="000000"/>
              </w:rPr>
              <w:t>(28%)</w:t>
            </w:r>
          </w:p>
        </w:tc>
        <w:tc>
          <w:tcPr>
            <w:tcW w:w="380" w:type="dxa"/>
            <w:vAlign w:val="bottom"/>
            <w:tcBorders>
              <w:right w:val="single" w:sz="8" w:color="69BCEB"/>
            </w:tcBorders>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tcBorders>
              <w:right w:val="single" w:sz="8" w:color="69BCEB"/>
            </w:tcBorders>
            <w:gridSpan w:val="2"/>
          </w:tcPr>
          <w:p>
            <w:pPr>
              <w:ind w:left="100"/>
              <w:spacing w:after="0"/>
              <w:rPr>
                <w:sz w:val="20"/>
                <w:szCs w:val="20"/>
                <w:color w:val="auto"/>
              </w:rPr>
            </w:pPr>
            <w:r>
              <w:rPr>
                <w:rFonts w:ascii="Arial" w:cs="Arial" w:eastAsia="Arial" w:hAnsi="Arial"/>
                <w:sz w:val="18"/>
                <w:szCs w:val="18"/>
                <w:color w:val="auto"/>
              </w:rPr>
              <w:t>Plans</w:t>
            </w:r>
          </w:p>
        </w:tc>
        <w:tc>
          <w:tcPr>
            <w:tcW w:w="0" w:type="dxa"/>
            <w:vAlign w:val="bottom"/>
          </w:tcPr>
          <w:p>
            <w:pPr>
              <w:spacing w:after="0"/>
              <w:rPr>
                <w:sz w:val="1"/>
                <w:szCs w:val="1"/>
                <w:color w:val="auto"/>
              </w:rPr>
            </w:pPr>
          </w:p>
        </w:tc>
      </w:tr>
      <w:tr>
        <w:trPr>
          <w:trHeight w:val="89"/>
        </w:trPr>
        <w:tc>
          <w:tcPr>
            <w:tcW w:w="40" w:type="dxa"/>
            <w:vAlign w:val="bottom"/>
            <w:tcBorders>
              <w:right w:val="single" w:sz="8" w:color="00A0DE"/>
            </w:tcBorders>
          </w:tcPr>
          <w:p>
            <w:pPr>
              <w:spacing w:after="0"/>
              <w:rPr>
                <w:sz w:val="7"/>
                <w:szCs w:val="7"/>
                <w:color w:val="auto"/>
              </w:rPr>
            </w:pPr>
          </w:p>
        </w:tc>
        <w:tc>
          <w:tcPr>
            <w:tcW w:w="3460" w:type="dxa"/>
            <w:vAlign w:val="bottom"/>
            <w:tcBorders>
              <w:right w:val="single" w:sz="8" w:color="00A0DE"/>
            </w:tcBorders>
            <w:gridSpan w:val="3"/>
            <w:vMerge w:val="continue"/>
          </w:tcPr>
          <w:p>
            <w:pPr>
              <w:spacing w:after="0"/>
              <w:rPr>
                <w:sz w:val="7"/>
                <w:szCs w:val="7"/>
                <w:color w:val="auto"/>
              </w:rPr>
            </w:pPr>
          </w:p>
        </w:tc>
        <w:tc>
          <w:tcPr>
            <w:tcW w:w="380" w:type="dxa"/>
            <w:vAlign w:val="bottom"/>
            <w:tcBorders>
              <w:right w:val="single" w:sz="8" w:color="69BCEB"/>
            </w:tcBorders>
          </w:tcPr>
          <w:p>
            <w:pPr>
              <w:spacing w:after="0"/>
              <w:rPr>
                <w:sz w:val="7"/>
                <w:szCs w:val="7"/>
                <w:color w:val="auto"/>
              </w:rPr>
            </w:pPr>
          </w:p>
        </w:tc>
        <w:tc>
          <w:tcPr>
            <w:tcW w:w="360" w:type="dxa"/>
            <w:vAlign w:val="bottom"/>
            <w:vMerge w:val="restart"/>
          </w:tcPr>
          <w:p>
            <w:pPr>
              <w:ind w:left="200"/>
              <w:spacing w:after="0"/>
              <w:rPr>
                <w:sz w:val="20"/>
                <w:szCs w:val="20"/>
                <w:color w:val="auto"/>
              </w:rPr>
            </w:pPr>
            <w:r>
              <w:rPr>
                <w:rFonts w:ascii="Arial" w:cs="Arial" w:eastAsia="Arial" w:hAnsi="Arial"/>
                <w:sz w:val="17"/>
                <w:szCs w:val="17"/>
                <w:color w:val="00A0DE"/>
              </w:rPr>
              <w:t>●</w:t>
            </w:r>
          </w:p>
        </w:tc>
        <w:tc>
          <w:tcPr>
            <w:tcW w:w="3120" w:type="dxa"/>
            <w:vAlign w:val="bottom"/>
            <w:tcBorders>
              <w:right w:val="single" w:sz="8" w:color="69BCEB"/>
            </w:tcBorders>
            <w:gridSpan w:val="2"/>
            <w:vMerge w:val="restart"/>
          </w:tcPr>
          <w:p>
            <w:pPr>
              <w:ind w:left="60"/>
              <w:spacing w:after="0"/>
              <w:rPr>
                <w:sz w:val="20"/>
                <w:szCs w:val="20"/>
                <w:color w:val="auto"/>
              </w:rPr>
            </w:pPr>
            <w:r>
              <w:rPr>
                <w:rFonts w:ascii="Arial" w:cs="Arial" w:eastAsia="Arial" w:hAnsi="Arial"/>
                <w:sz w:val="18"/>
                <w:szCs w:val="18"/>
                <w:color w:val="auto"/>
              </w:rPr>
              <w:t>Organizational Collaboration</w:t>
            </w:r>
          </w:p>
        </w:tc>
        <w:tc>
          <w:tcPr>
            <w:tcW w:w="0" w:type="dxa"/>
            <w:vAlign w:val="bottom"/>
          </w:tcPr>
          <w:p>
            <w:pPr>
              <w:spacing w:after="0"/>
              <w:rPr>
                <w:sz w:val="1"/>
                <w:szCs w:val="1"/>
                <w:color w:val="auto"/>
              </w:rPr>
            </w:pPr>
          </w:p>
        </w:tc>
      </w:tr>
      <w:tr>
        <w:trPr>
          <w:trHeight w:val="195"/>
        </w:trPr>
        <w:tc>
          <w:tcPr>
            <w:tcW w:w="40" w:type="dxa"/>
            <w:vAlign w:val="bottom"/>
            <w:tcBorders>
              <w:right w:val="single" w:sz="8" w:color="00A0DE"/>
            </w:tcBorders>
          </w:tcPr>
          <w:p>
            <w:pPr>
              <w:spacing w:after="0"/>
              <w:rPr>
                <w:sz w:val="16"/>
                <w:szCs w:val="16"/>
                <w:color w:val="auto"/>
              </w:rPr>
            </w:pPr>
          </w:p>
        </w:tc>
        <w:tc>
          <w:tcPr>
            <w:tcW w:w="360" w:type="dxa"/>
            <w:vAlign w:val="bottom"/>
            <w:vMerge w:val="restart"/>
          </w:tcPr>
          <w:p>
            <w:pPr>
              <w:ind w:left="180"/>
              <w:spacing w:after="0"/>
              <w:rPr>
                <w:sz w:val="20"/>
                <w:szCs w:val="20"/>
                <w:color w:val="auto"/>
              </w:rPr>
            </w:pPr>
            <w:r>
              <w:rPr>
                <w:rFonts w:ascii="Arial" w:cs="Arial" w:eastAsia="Arial" w:hAnsi="Arial"/>
                <w:sz w:val="17"/>
                <w:szCs w:val="17"/>
                <w:color w:val="00A0DE"/>
              </w:rPr>
              <w:t>●</w:t>
            </w:r>
          </w:p>
        </w:tc>
        <w:tc>
          <w:tcPr>
            <w:tcW w:w="3100" w:type="dxa"/>
            <w:vAlign w:val="bottom"/>
            <w:tcBorders>
              <w:right w:val="single" w:sz="8" w:color="00A0DE"/>
            </w:tcBorders>
            <w:gridSpan w:val="2"/>
            <w:vMerge w:val="restart"/>
          </w:tcPr>
          <w:p>
            <w:pPr>
              <w:ind w:left="60"/>
              <w:spacing w:after="0"/>
              <w:rPr>
                <w:sz w:val="20"/>
                <w:szCs w:val="20"/>
                <w:color w:val="auto"/>
              </w:rPr>
            </w:pPr>
            <w:r>
              <w:rPr>
                <w:rFonts w:ascii="Arial" w:cs="Arial" w:eastAsia="Arial" w:hAnsi="Arial"/>
                <w:sz w:val="18"/>
                <w:szCs w:val="18"/>
                <w:color w:val="auto"/>
              </w:rPr>
              <w:t xml:space="preserve">Revenue </w:t>
            </w:r>
            <w:r>
              <w:rPr>
                <w:rFonts w:ascii="Arial" w:cs="Arial" w:eastAsia="Arial" w:hAnsi="Arial"/>
                <w:sz w:val="18"/>
                <w:szCs w:val="18"/>
                <w:b w:val="1"/>
                <w:bCs w:val="1"/>
                <w:color w:val="auto"/>
              </w:rPr>
              <w:t>(7%)</w:t>
            </w:r>
          </w:p>
        </w:tc>
        <w:tc>
          <w:tcPr>
            <w:tcW w:w="380" w:type="dxa"/>
            <w:vAlign w:val="bottom"/>
            <w:tcBorders>
              <w:right w:val="single" w:sz="8" w:color="69BCEB"/>
            </w:tcBorders>
          </w:tcPr>
          <w:p>
            <w:pPr>
              <w:spacing w:after="0"/>
              <w:rPr>
                <w:sz w:val="16"/>
                <w:szCs w:val="16"/>
                <w:color w:val="auto"/>
              </w:rPr>
            </w:pPr>
          </w:p>
        </w:tc>
        <w:tc>
          <w:tcPr>
            <w:tcW w:w="360" w:type="dxa"/>
            <w:vAlign w:val="bottom"/>
            <w:vMerge w:val="continue"/>
          </w:tcPr>
          <w:p>
            <w:pPr>
              <w:spacing w:after="0"/>
              <w:rPr>
                <w:sz w:val="16"/>
                <w:szCs w:val="16"/>
                <w:color w:val="auto"/>
              </w:rPr>
            </w:pPr>
          </w:p>
        </w:tc>
        <w:tc>
          <w:tcPr>
            <w:tcW w:w="3120" w:type="dxa"/>
            <w:vAlign w:val="bottom"/>
            <w:tcBorders>
              <w:right w:val="single" w:sz="8" w:color="69BCEB"/>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40" w:type="dxa"/>
            <w:vAlign w:val="bottom"/>
            <w:tcBorders>
              <w:right w:val="single" w:sz="8" w:color="00A0DE"/>
            </w:tcBorders>
          </w:tcPr>
          <w:p>
            <w:pPr>
              <w:spacing w:after="0"/>
              <w:rPr>
                <w:sz w:val="6"/>
                <w:szCs w:val="6"/>
                <w:color w:val="auto"/>
              </w:rPr>
            </w:pPr>
          </w:p>
        </w:tc>
        <w:tc>
          <w:tcPr>
            <w:tcW w:w="360" w:type="dxa"/>
            <w:vAlign w:val="bottom"/>
            <w:vMerge w:val="continue"/>
          </w:tcPr>
          <w:p>
            <w:pPr>
              <w:spacing w:after="0"/>
              <w:rPr>
                <w:sz w:val="6"/>
                <w:szCs w:val="6"/>
                <w:color w:val="auto"/>
              </w:rPr>
            </w:pPr>
          </w:p>
        </w:tc>
        <w:tc>
          <w:tcPr>
            <w:tcW w:w="3100" w:type="dxa"/>
            <w:vAlign w:val="bottom"/>
            <w:tcBorders>
              <w:right w:val="single" w:sz="8" w:color="00A0DE"/>
            </w:tcBorders>
            <w:gridSpan w:val="2"/>
            <w:vMerge w:val="continue"/>
          </w:tcPr>
          <w:p>
            <w:pPr>
              <w:spacing w:after="0"/>
              <w:rPr>
                <w:sz w:val="6"/>
                <w:szCs w:val="6"/>
                <w:color w:val="auto"/>
              </w:rPr>
            </w:pPr>
          </w:p>
        </w:tc>
        <w:tc>
          <w:tcPr>
            <w:tcW w:w="380" w:type="dxa"/>
            <w:vAlign w:val="bottom"/>
            <w:tcBorders>
              <w:right w:val="single" w:sz="8" w:color="69BCEB"/>
            </w:tcBorders>
          </w:tcPr>
          <w:p>
            <w:pPr>
              <w:spacing w:after="0"/>
              <w:rPr>
                <w:sz w:val="6"/>
                <w:szCs w:val="6"/>
                <w:color w:val="auto"/>
              </w:rPr>
            </w:pPr>
          </w:p>
        </w:tc>
        <w:tc>
          <w:tcPr>
            <w:tcW w:w="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720" w:type="dxa"/>
            <w:vAlign w:val="bottom"/>
            <w:tcBorders>
              <w:right w:val="single" w:sz="8" w:color="69BCEB"/>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40" w:type="dxa"/>
            <w:vAlign w:val="bottom"/>
            <w:tcBorders>
              <w:right w:val="single" w:sz="8" w:color="00A0DE"/>
            </w:tcBorders>
          </w:tcPr>
          <w:p>
            <w:pPr>
              <w:spacing w:after="0"/>
              <w:rPr>
                <w:sz w:val="13"/>
                <w:szCs w:val="13"/>
                <w:color w:val="auto"/>
              </w:rPr>
            </w:pPr>
          </w:p>
        </w:tc>
        <w:tc>
          <w:tcPr>
            <w:tcW w:w="360" w:type="dxa"/>
            <w:vAlign w:val="bottom"/>
            <w:tcBorders>
              <w:bottom w:val="single" w:sz="8" w:color="00A0DE"/>
            </w:tcBorders>
          </w:tcPr>
          <w:p>
            <w:pPr>
              <w:spacing w:after="0"/>
              <w:rPr>
                <w:sz w:val="13"/>
                <w:szCs w:val="13"/>
                <w:color w:val="auto"/>
              </w:rPr>
            </w:pPr>
          </w:p>
        </w:tc>
        <w:tc>
          <w:tcPr>
            <w:tcW w:w="1380" w:type="dxa"/>
            <w:vAlign w:val="bottom"/>
            <w:tcBorders>
              <w:bottom w:val="single" w:sz="8" w:color="00A0DE"/>
            </w:tcBorders>
          </w:tcPr>
          <w:p>
            <w:pPr>
              <w:spacing w:after="0"/>
              <w:rPr>
                <w:sz w:val="13"/>
                <w:szCs w:val="13"/>
                <w:color w:val="auto"/>
              </w:rPr>
            </w:pPr>
          </w:p>
        </w:tc>
        <w:tc>
          <w:tcPr>
            <w:tcW w:w="1720" w:type="dxa"/>
            <w:vAlign w:val="bottom"/>
            <w:tcBorders>
              <w:bottom w:val="single" w:sz="8" w:color="00A0DE"/>
              <w:right w:val="single" w:sz="8" w:color="00A0DE"/>
            </w:tcBorders>
          </w:tcPr>
          <w:p>
            <w:pPr>
              <w:spacing w:after="0"/>
              <w:rPr>
                <w:sz w:val="13"/>
                <w:szCs w:val="13"/>
                <w:color w:val="auto"/>
              </w:rPr>
            </w:pPr>
          </w:p>
        </w:tc>
        <w:tc>
          <w:tcPr>
            <w:tcW w:w="380" w:type="dxa"/>
            <w:vAlign w:val="bottom"/>
            <w:tcBorders>
              <w:right w:val="single" w:sz="8" w:color="69BCEB"/>
            </w:tcBorders>
          </w:tcPr>
          <w:p>
            <w:pPr>
              <w:spacing w:after="0"/>
              <w:rPr>
                <w:sz w:val="13"/>
                <w:szCs w:val="13"/>
                <w:color w:val="auto"/>
              </w:rPr>
            </w:pPr>
          </w:p>
        </w:tc>
        <w:tc>
          <w:tcPr>
            <w:tcW w:w="360" w:type="dxa"/>
            <w:vAlign w:val="bottom"/>
            <w:tcBorders>
              <w:bottom w:val="single" w:sz="8" w:color="69BCEB"/>
            </w:tcBorders>
          </w:tcPr>
          <w:p>
            <w:pPr>
              <w:spacing w:after="0"/>
              <w:rPr>
                <w:sz w:val="13"/>
                <w:szCs w:val="13"/>
                <w:color w:val="auto"/>
              </w:rPr>
            </w:pPr>
          </w:p>
        </w:tc>
        <w:tc>
          <w:tcPr>
            <w:tcW w:w="1400" w:type="dxa"/>
            <w:vAlign w:val="bottom"/>
            <w:tcBorders>
              <w:bottom w:val="single" w:sz="8" w:color="69BCEB"/>
            </w:tcBorders>
          </w:tcPr>
          <w:p>
            <w:pPr>
              <w:spacing w:after="0"/>
              <w:rPr>
                <w:sz w:val="13"/>
                <w:szCs w:val="13"/>
                <w:color w:val="auto"/>
              </w:rPr>
            </w:pPr>
          </w:p>
        </w:tc>
        <w:tc>
          <w:tcPr>
            <w:tcW w:w="1720" w:type="dxa"/>
            <w:vAlign w:val="bottom"/>
            <w:tcBorders>
              <w:bottom w:val="single" w:sz="8" w:color="69BCEB"/>
              <w:right w:val="single" w:sz="8" w:color="69BCEB"/>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Metrics are considered collectively on a holistic basis.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Financial Metrics and Results</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ind w:right="100"/>
        <w:spacing w:after="0" w:line="281" w:lineRule="auto"/>
        <w:rPr>
          <w:sz w:val="20"/>
          <w:szCs w:val="20"/>
          <w:color w:val="auto"/>
        </w:rPr>
      </w:pPr>
      <w:r>
        <w:rPr>
          <w:rFonts w:ascii="Arial" w:cs="Arial" w:eastAsia="Arial" w:hAnsi="Arial"/>
          <w:sz w:val="18"/>
          <w:szCs w:val="18"/>
          <w:b w:val="1"/>
          <w:bCs w:val="1"/>
          <w:color w:val="FFFFFF"/>
        </w:rPr>
        <w:t>Stakeholder &amp; Sustainability Initiatives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46990</wp:posOffset>
            </wp:positionV>
            <wp:extent cx="2224405" cy="8636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224405" cy="86360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40" w:hanging="234"/>
        <w:spacing w:after="0"/>
        <w:tabs>
          <w:tab w:leader="none" w:pos="340" w:val="left"/>
        </w:tabs>
        <w:numPr>
          <w:ilvl w:val="0"/>
          <w:numId w:val="67"/>
        </w:numPr>
        <w:rPr>
          <w:rFonts w:ascii="Arial" w:cs="Arial" w:eastAsia="Arial" w:hAnsi="Arial"/>
          <w:sz w:val="17"/>
          <w:szCs w:val="17"/>
          <w:color w:val="00A0DE"/>
        </w:rPr>
      </w:pPr>
      <w:r>
        <w:rPr>
          <w:rFonts w:ascii="Arial" w:cs="Arial" w:eastAsia="Arial" w:hAnsi="Arial"/>
          <w:sz w:val="18"/>
          <w:szCs w:val="18"/>
          <w:color w:val="auto"/>
        </w:rPr>
        <w:t>Advancing Digital Equity</w:t>
      </w:r>
    </w:p>
    <w:p>
      <w:pPr>
        <w:spacing w:after="0" w:line="76" w:lineRule="exact"/>
        <w:rPr>
          <w:rFonts w:ascii="Arial" w:cs="Arial" w:eastAsia="Arial" w:hAnsi="Arial"/>
          <w:sz w:val="17"/>
          <w:szCs w:val="17"/>
          <w:color w:val="00A0DE"/>
        </w:rPr>
      </w:pPr>
    </w:p>
    <w:p>
      <w:pPr>
        <w:ind w:left="340" w:hanging="234"/>
        <w:spacing w:after="0"/>
        <w:tabs>
          <w:tab w:leader="none" w:pos="340" w:val="left"/>
        </w:tabs>
        <w:numPr>
          <w:ilvl w:val="0"/>
          <w:numId w:val="67"/>
        </w:numPr>
        <w:rPr>
          <w:rFonts w:ascii="Arial" w:cs="Arial" w:eastAsia="Arial" w:hAnsi="Arial"/>
          <w:sz w:val="17"/>
          <w:szCs w:val="17"/>
          <w:color w:val="00A0DE"/>
        </w:rPr>
      </w:pPr>
      <w:r>
        <w:rPr>
          <w:rFonts w:ascii="Arial" w:cs="Arial" w:eastAsia="Arial" w:hAnsi="Arial"/>
          <w:sz w:val="18"/>
          <w:szCs w:val="18"/>
          <w:color w:val="auto"/>
        </w:rPr>
        <w:t>Environmental Sustainability</w:t>
      </w:r>
    </w:p>
    <w:p>
      <w:pPr>
        <w:spacing w:after="0" w:line="63" w:lineRule="exact"/>
        <w:rPr>
          <w:rFonts w:ascii="Arial" w:cs="Arial" w:eastAsia="Arial" w:hAnsi="Arial"/>
          <w:sz w:val="17"/>
          <w:szCs w:val="17"/>
          <w:color w:val="00A0DE"/>
        </w:rPr>
      </w:pPr>
    </w:p>
    <w:p>
      <w:pPr>
        <w:ind w:left="340" w:hanging="234"/>
        <w:spacing w:after="0"/>
        <w:tabs>
          <w:tab w:leader="none" w:pos="340" w:val="left"/>
        </w:tabs>
        <w:numPr>
          <w:ilvl w:val="0"/>
          <w:numId w:val="67"/>
        </w:numPr>
        <w:rPr>
          <w:rFonts w:ascii="Arial" w:cs="Arial" w:eastAsia="Arial" w:hAnsi="Arial"/>
          <w:sz w:val="17"/>
          <w:szCs w:val="17"/>
          <w:color w:val="00A0DE"/>
        </w:rPr>
      </w:pPr>
      <w:r>
        <w:rPr>
          <w:rFonts w:ascii="Arial" w:cs="Arial" w:eastAsia="Arial" w:hAnsi="Arial"/>
          <w:sz w:val="18"/>
          <w:szCs w:val="18"/>
          <w:color w:val="auto"/>
        </w:rPr>
        <w:t>Company Culture</w:t>
      </w:r>
    </w:p>
    <w:p>
      <w:pPr>
        <w:spacing w:after="0" w:line="1131" w:lineRule="exact"/>
        <w:rPr>
          <w:sz w:val="20"/>
          <w:szCs w:val="20"/>
          <w:color w:val="auto"/>
        </w:rPr>
      </w:pPr>
    </w:p>
    <w:p>
      <w:pPr>
        <w:sectPr>
          <w:pgSz w:w="11900" w:h="16838" w:orient="portrait"/>
          <w:cols w:equalWidth="0" w:num="2">
            <w:col w:w="7360" w:space="480"/>
            <w:col w:w="3400"/>
          </w:cols>
          <w:pgMar w:left="320" w:top="121" w:right="339" w:bottom="1440" w:gutter="0" w:footer="0" w:header="0"/>
          <w:type w:val="continuous"/>
        </w:sectPr>
      </w:pPr>
    </w:p>
    <w:p>
      <w:pPr>
        <w:spacing w:after="0" w:line="1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performance ranges below were used as the financial performance metrics for the NEOs’ 2023 target bonus. Achievement for each financial metric would be zero if performance is below the minimum threshold of the metric’s range, with potential payouts ranging from 14% if achievement for each of the three financial metrics is at the low end of the range to a maximum of 140% if achievement for each is at the top end of the range. See “2023 Performance Overview” above for a description of our strong financial performance in 2023.</w:t>
      </w:r>
    </w:p>
    <w:p>
      <w:pPr>
        <w:spacing w:after="0" w:line="17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2023 performance ranges were based on meeting our 2023 enterprise-wide consolidated operating budget, which takes into account the cyclicality of working capital, capital spending plans for the upcoming year, target product rollout numbers and other relevant factors, such as the fact that 2023 would not include broadcasts of the Beijing Winter Olympics, the FIFA World Cup and the Super Bowl that had occurred in 2022. Target performance for each metric was set above our 2022 reported results.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8"/>
                <w:szCs w:val="18"/>
                <w:color w:val="auto"/>
              </w:rPr>
            </w:pPr>
          </w:p>
        </w:tc>
        <w:tc>
          <w:tcPr>
            <w:tcW w:w="4980" w:type="dxa"/>
            <w:vAlign w:val="bottom"/>
          </w:tcPr>
          <w:p>
            <w:pPr>
              <w:jc w:val="right"/>
              <w:ind w:right="52"/>
              <w:spacing w:after="0"/>
              <w:rPr>
                <w:sz w:val="20"/>
                <w:szCs w:val="20"/>
                <w:color w:val="auto"/>
              </w:rPr>
            </w:pPr>
            <w:r>
              <w:rPr>
                <w:rFonts w:ascii="Arial" w:cs="Arial" w:eastAsia="Arial" w:hAnsi="Arial"/>
                <w:sz w:val="18"/>
                <w:szCs w:val="18"/>
                <w:b w:val="1"/>
                <w:bCs w:val="1"/>
                <w:color w:val="auto"/>
              </w:rPr>
              <w:t>2023 PERFORMANCE</w:t>
            </w:r>
          </w:p>
        </w:tc>
        <w:tc>
          <w:tcPr>
            <w:tcW w:w="1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2023 ACTUAL</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18"/>
                <w:szCs w:val="18"/>
                <w:color w:val="auto"/>
              </w:rPr>
            </w:pPr>
          </w:p>
        </w:tc>
        <w:tc>
          <w:tcPr>
            <w:tcW w:w="4980" w:type="dxa"/>
            <w:vAlign w:val="bottom"/>
          </w:tcPr>
          <w:p>
            <w:pPr>
              <w:jc w:val="right"/>
              <w:ind w:right="52"/>
              <w:spacing w:after="0" w:line="217" w:lineRule="exact"/>
              <w:rPr>
                <w:sz w:val="20"/>
                <w:szCs w:val="20"/>
                <w:color w:val="auto"/>
              </w:rPr>
            </w:pPr>
            <w:r>
              <w:rPr>
                <w:rFonts w:ascii="Arial" w:cs="Arial" w:eastAsia="Arial" w:hAnsi="Arial"/>
                <w:sz w:val="16"/>
                <w:szCs w:val="16"/>
                <w:b w:val="1"/>
                <w:bCs w:val="1"/>
                <w:color w:val="auto"/>
              </w:rPr>
              <w:t>RANGE</w:t>
            </w:r>
            <w:r>
              <w:rPr>
                <w:rFonts w:ascii="Arial" w:cs="Arial" w:eastAsia="Arial" w:hAnsi="Arial"/>
                <w:sz w:val="25"/>
                <w:szCs w:val="25"/>
                <w:b w:val="1"/>
                <w:bCs w:val="1"/>
                <w:color w:val="auto"/>
                <w:vertAlign w:val="superscript"/>
              </w:rPr>
              <w:t>(1)</w:t>
            </w: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560" w:type="dxa"/>
            <w:vAlign w:val="bottom"/>
            <w:tcBorders>
              <w:bottom w:val="single" w:sz="8" w:color="auto"/>
            </w:tcBorders>
          </w:tcPr>
          <w:p>
            <w:pPr>
              <w:spacing w:after="0"/>
              <w:rPr>
                <w:sz w:val="23"/>
                <w:szCs w:val="23"/>
                <w:color w:val="auto"/>
              </w:rPr>
            </w:pPr>
          </w:p>
        </w:tc>
        <w:tc>
          <w:tcPr>
            <w:tcW w:w="49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 IN BILLIONS)</w:t>
            </w:r>
          </w:p>
        </w:tc>
        <w:tc>
          <w:tcPr>
            <w:tcW w:w="1700" w:type="dxa"/>
            <w:vAlign w:val="bottom"/>
            <w:tcBorders>
              <w:bottom w:val="single" w:sz="8" w:color="auto"/>
            </w:tcBorders>
          </w:tcPr>
          <w:p>
            <w:pPr>
              <w:jc w:val="right"/>
              <w:spacing w:after="0" w:line="270" w:lineRule="exact"/>
              <w:rPr>
                <w:sz w:val="20"/>
                <w:szCs w:val="20"/>
                <w:color w:val="auto"/>
              </w:rPr>
            </w:pPr>
            <w:r>
              <w:rPr>
                <w:rFonts w:ascii="Arial" w:cs="Arial" w:eastAsia="Arial" w:hAnsi="Arial"/>
                <w:sz w:val="18"/>
                <w:szCs w:val="18"/>
                <w:b w:val="1"/>
                <w:bCs w:val="1"/>
                <w:color w:val="auto"/>
              </w:rPr>
              <w:t>ACHIEVEMENT</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249"/>
        </w:trPr>
        <w:tc>
          <w:tcPr>
            <w:tcW w:w="456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auto"/>
              </w:rPr>
              <w:t>Adjusted EBITDA</w:t>
            </w:r>
          </w:p>
        </w:tc>
        <w:tc>
          <w:tcPr>
            <w:tcW w:w="4980" w:type="dxa"/>
            <w:vAlign w:val="bottom"/>
            <w:tcBorders>
              <w:bottom w:val="single" w:sz="8" w:color="DCDDDE"/>
            </w:tcBorders>
          </w:tcPr>
          <w:p>
            <w:pPr>
              <w:jc w:val="right"/>
              <w:ind w:right="52"/>
              <w:spacing w:after="0"/>
              <w:rPr>
                <w:sz w:val="20"/>
                <w:szCs w:val="20"/>
                <w:color w:val="auto"/>
              </w:rPr>
            </w:pPr>
            <w:r>
              <w:rPr>
                <w:rFonts w:ascii="Arial" w:cs="Arial" w:eastAsia="Arial" w:hAnsi="Arial"/>
                <w:sz w:val="18"/>
                <w:szCs w:val="18"/>
                <w:color w:val="auto"/>
              </w:rPr>
              <w:t>35.287 – 40.858</w:t>
            </w:r>
          </w:p>
        </w:tc>
        <w:tc>
          <w:tcPr>
            <w:tcW w:w="1700" w:type="dxa"/>
            <w:vAlign w:val="bottom"/>
            <w:tcBorders>
              <w:bottom w:val="single" w:sz="8" w:color="DCDDDE"/>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90"/>
        </w:trPr>
        <w:tc>
          <w:tcPr>
            <w:tcW w:w="456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auto"/>
              </w:rPr>
              <w:t>Free Cash Flow</w:t>
            </w:r>
          </w:p>
        </w:tc>
        <w:tc>
          <w:tcPr>
            <w:tcW w:w="4980" w:type="dxa"/>
            <w:vAlign w:val="bottom"/>
            <w:tcBorders>
              <w:bottom w:val="single" w:sz="8" w:color="DCDDDE"/>
            </w:tcBorders>
          </w:tcPr>
          <w:p>
            <w:pPr>
              <w:jc w:val="right"/>
              <w:ind w:right="52"/>
              <w:spacing w:after="0"/>
              <w:rPr>
                <w:sz w:val="20"/>
                <w:szCs w:val="20"/>
                <w:color w:val="auto"/>
              </w:rPr>
            </w:pPr>
            <w:r>
              <w:rPr>
                <w:rFonts w:ascii="Arial" w:cs="Arial" w:eastAsia="Arial" w:hAnsi="Arial"/>
                <w:sz w:val="18"/>
                <w:szCs w:val="18"/>
                <w:color w:val="auto"/>
              </w:rPr>
              <w:t>10.836 – 16.572</w:t>
            </w:r>
          </w:p>
        </w:tc>
        <w:tc>
          <w:tcPr>
            <w:tcW w:w="1700" w:type="dxa"/>
            <w:vAlign w:val="bottom"/>
            <w:tcBorders>
              <w:bottom w:val="single" w:sz="8" w:color="DCDDDE"/>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auto"/>
              </w:rPr>
              <w:t>Revenue</w:t>
            </w:r>
          </w:p>
        </w:tc>
        <w:tc>
          <w:tcPr>
            <w:tcW w:w="4980" w:type="dxa"/>
            <w:vAlign w:val="bottom"/>
            <w:tcBorders>
              <w:bottom w:val="single" w:sz="8" w:color="DCDDDE"/>
            </w:tcBorders>
          </w:tcPr>
          <w:p>
            <w:pPr>
              <w:jc w:val="right"/>
              <w:ind w:right="52"/>
              <w:spacing w:after="0"/>
              <w:rPr>
                <w:sz w:val="20"/>
                <w:szCs w:val="20"/>
                <w:color w:val="auto"/>
              </w:rPr>
            </w:pPr>
            <w:r>
              <w:rPr>
                <w:rFonts w:ascii="Arial" w:cs="Arial" w:eastAsia="Arial" w:hAnsi="Arial"/>
                <w:sz w:val="18"/>
                <w:szCs w:val="18"/>
                <w:color w:val="auto"/>
              </w:rPr>
              <w:t>116.907 – 135.366</w:t>
            </w:r>
          </w:p>
        </w:tc>
        <w:tc>
          <w:tcPr>
            <w:tcW w:w="1700" w:type="dxa"/>
            <w:vAlign w:val="bottom"/>
            <w:tcBorders>
              <w:bottom w:val="single" w:sz="8" w:color="DCDDDE"/>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49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20" w:hanging="412"/>
        <w:spacing w:after="0"/>
        <w:tabs>
          <w:tab w:leader="none" w:pos="420" w:val="left"/>
        </w:tabs>
        <w:numPr>
          <w:ilvl w:val="0"/>
          <w:numId w:val="68"/>
        </w:numPr>
        <w:rPr>
          <w:rFonts w:ascii="Arial" w:cs="Arial" w:eastAsia="Arial" w:hAnsi="Arial"/>
          <w:sz w:val="13"/>
          <w:szCs w:val="13"/>
          <w:color w:val="auto"/>
        </w:rPr>
      </w:pPr>
      <w:r>
        <w:rPr>
          <w:rFonts w:ascii="Arial" w:cs="Arial" w:eastAsia="Arial" w:hAnsi="Arial"/>
          <w:sz w:val="15"/>
          <w:szCs w:val="15"/>
          <w:color w:val="auto"/>
        </w:rPr>
        <w:t>Amounts reflected are on a consolidated basis and have been adjusted to reflect Sky results on a constant currency basis.</w:t>
      </w:r>
    </w:p>
    <w:p>
      <w:pPr>
        <w:spacing w:after="0" w:line="70" w:lineRule="exact"/>
        <w:rPr>
          <w:rFonts w:ascii="Arial" w:cs="Arial" w:eastAsia="Arial" w:hAnsi="Arial"/>
          <w:sz w:val="13"/>
          <w:szCs w:val="13"/>
          <w:color w:val="auto"/>
        </w:rPr>
      </w:pPr>
    </w:p>
    <w:p>
      <w:pPr>
        <w:ind w:left="420" w:right="260" w:hanging="412"/>
        <w:spacing w:after="0" w:line="264" w:lineRule="auto"/>
        <w:tabs>
          <w:tab w:leader="none" w:pos="420" w:val="left"/>
        </w:tabs>
        <w:numPr>
          <w:ilvl w:val="0"/>
          <w:numId w:val="68"/>
        </w:numPr>
        <w:rPr>
          <w:rFonts w:ascii="Arial" w:cs="Arial" w:eastAsia="Arial" w:hAnsi="Arial"/>
          <w:sz w:val="13"/>
          <w:szCs w:val="13"/>
          <w:color w:val="auto"/>
        </w:rPr>
      </w:pPr>
      <w:r>
        <w:rPr>
          <w:rFonts w:ascii="Arial" w:cs="Arial" w:eastAsia="Arial" w:hAnsi="Arial"/>
          <w:sz w:val="15"/>
          <w:szCs w:val="15"/>
          <w:color w:val="auto"/>
        </w:rPr>
        <w:t>Achievement percentages are interpolated between specified achievement levels and are presented based on the maximum weighted levels of achievement described in the section immediately above (i.e., achievement of target performance for the three metrics would total 70%).</w:t>
      </w:r>
    </w:p>
    <w:p>
      <w:pPr>
        <w:spacing w:after="0" w:line="190" w:lineRule="exact"/>
        <w:rPr>
          <w:sz w:val="20"/>
          <w:szCs w:val="20"/>
          <w:color w:val="auto"/>
        </w:rPr>
      </w:pPr>
    </w:p>
    <w:p>
      <w:pPr>
        <w:ind w:left="360" w:hanging="352"/>
        <w:spacing w:after="0"/>
        <w:tabs>
          <w:tab w:leader="none" w:pos="360" w:val="left"/>
        </w:tabs>
        <w:numPr>
          <w:ilvl w:val="0"/>
          <w:numId w:val="6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Operating Performance Goals and Results</w:t>
      </w:r>
    </w:p>
    <w:p>
      <w:pPr>
        <w:spacing w:after="0" w:line="212"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Operating performance goals accounted for 15% of the 2023 target annual bonus, with potential payouts ranging from 0% to 22.5%. The following goals and performance against those goals were considered by the CHC Committee in determining that achievement for 2023 was 20%. These considerations included both quantifiable outcomes as to whether we met or exceeded expectations of achievement and the CHC Committee’s holistic evaluation of the NEOs’ performance, collectively and individually, in executing against strategic operational priorities described immediately below and in “2023 NEO Performance.” Certain details about the performance of our operating goals are not disclosed due to competitive concerns.</w:t>
      </w:r>
    </w:p>
    <w:p>
      <w:pPr>
        <w:spacing w:after="0" w:line="206" w:lineRule="exact"/>
        <w:rPr>
          <w:sz w:val="20"/>
          <w:szCs w:val="20"/>
          <w:color w:val="auto"/>
        </w:rPr>
      </w:pPr>
    </w:p>
    <w:p>
      <w:pPr>
        <w:ind w:left="80"/>
        <w:spacing w:after="0"/>
        <w:tabs>
          <w:tab w:leader="none" w:pos="2580" w:val="left"/>
        </w:tabs>
        <w:rPr>
          <w:sz w:val="20"/>
          <w:szCs w:val="20"/>
          <w:color w:val="auto"/>
        </w:rPr>
      </w:pPr>
      <w:r>
        <w:rPr>
          <w:rFonts w:ascii="Arial" w:cs="Arial" w:eastAsia="Arial" w:hAnsi="Arial"/>
          <w:sz w:val="18"/>
          <w:szCs w:val="18"/>
          <w:b w:val="1"/>
          <w:bCs w:val="1"/>
          <w:color w:val="auto"/>
        </w:rPr>
        <w:t>GOALS</w:t>
      </w:r>
      <w:r>
        <w:rPr>
          <w:sz w:val="20"/>
          <w:szCs w:val="20"/>
          <w:color w:val="auto"/>
        </w:rPr>
        <w:tab/>
      </w:r>
      <w:r>
        <w:rPr>
          <w:rFonts w:ascii="Arial" w:cs="Arial" w:eastAsia="Arial" w:hAnsi="Arial"/>
          <w:sz w:val="18"/>
          <w:szCs w:val="18"/>
          <w:b w:val="1"/>
          <w:bCs w:val="1"/>
          <w:color w:val="auto"/>
        </w:rPr>
        <w:t>2023 OPERATING PERFORMANCE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2177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177415"/>
                    </a:xfrm>
                    <a:prstGeom prst="rect">
                      <a:avLst/>
                    </a:prstGeom>
                    <a:noFill/>
                  </pic:spPr>
                </pic:pic>
              </a:graphicData>
            </a:graphic>
          </wp:anchor>
        </w:drawing>
      </w:r>
    </w:p>
    <w:p>
      <w:pPr>
        <w:spacing w:after="0" w:line="43" w:lineRule="exact"/>
        <w:rPr>
          <w:sz w:val="20"/>
          <w:szCs w:val="20"/>
          <w:color w:val="auto"/>
        </w:rPr>
      </w:pPr>
    </w:p>
    <w:p>
      <w:pPr>
        <w:ind w:left="80"/>
        <w:spacing w:after="0"/>
        <w:tabs>
          <w:tab w:leader="none" w:pos="2580" w:val="left"/>
        </w:tabs>
        <w:rPr>
          <w:sz w:val="20"/>
          <w:szCs w:val="20"/>
          <w:color w:val="auto"/>
        </w:rPr>
      </w:pPr>
      <w:r>
        <w:rPr>
          <w:rFonts w:ascii="Arial" w:cs="Arial" w:eastAsia="Arial" w:hAnsi="Arial"/>
          <w:sz w:val="18"/>
          <w:szCs w:val="18"/>
          <w:b w:val="1"/>
          <w:bCs w:val="1"/>
          <w:color w:val="auto"/>
        </w:rPr>
        <w:t>Achievement Against Long</w:t>
      </w:r>
      <w:r>
        <w:rPr>
          <w:sz w:val="20"/>
          <w:szCs w:val="20"/>
          <w:color w:val="auto"/>
        </w:rPr>
        <w:tab/>
      </w:r>
      <w:r>
        <w:rPr>
          <w:rFonts w:ascii="Arial" w:cs="Arial" w:eastAsia="Arial" w:hAnsi="Arial"/>
          <w:sz w:val="18"/>
          <w:szCs w:val="18"/>
          <w:color w:val="auto"/>
        </w:rPr>
        <w:t>In 2023, we made progress towards achieving goals in our long range strategic plans and in managing our</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960" w:type="dxa"/>
            <w:vAlign w:val="bottom"/>
          </w:tcPr>
          <w:p>
            <w:pPr>
              <w:ind w:left="80"/>
              <w:spacing w:after="0"/>
              <w:rPr>
                <w:sz w:val="20"/>
                <w:szCs w:val="20"/>
                <w:color w:val="auto"/>
              </w:rPr>
            </w:pPr>
            <w:r>
              <w:rPr>
                <w:rFonts w:ascii="Arial" w:cs="Arial" w:eastAsia="Arial" w:hAnsi="Arial"/>
                <w:sz w:val="18"/>
                <w:szCs w:val="18"/>
                <w:b w:val="1"/>
                <w:bCs w:val="1"/>
                <w:color w:val="auto"/>
              </w:rPr>
              <w:t>Range Plans</w:t>
            </w:r>
          </w:p>
        </w:tc>
        <w:tc>
          <w:tcPr>
            <w:tcW w:w="9280" w:type="dxa"/>
            <w:vAlign w:val="bottom"/>
          </w:tcPr>
          <w:p>
            <w:pPr>
              <w:ind w:left="640"/>
              <w:spacing w:after="0"/>
              <w:rPr>
                <w:sz w:val="20"/>
                <w:szCs w:val="20"/>
                <w:color w:val="auto"/>
              </w:rPr>
            </w:pPr>
            <w:r>
              <w:rPr>
                <w:rFonts w:ascii="Arial" w:cs="Arial" w:eastAsia="Arial" w:hAnsi="Arial"/>
                <w:sz w:val="18"/>
                <w:szCs w:val="18"/>
                <w:color w:val="auto"/>
              </w:rPr>
              <w:t>operations to adapt to a robust competitive environment:</w:t>
            </w:r>
          </w:p>
        </w:tc>
      </w:tr>
      <w:tr>
        <w:trPr>
          <w:trHeight w:val="208"/>
        </w:trPr>
        <w:tc>
          <w:tcPr>
            <w:tcW w:w="1960" w:type="dxa"/>
            <w:vAlign w:val="bottom"/>
          </w:tcPr>
          <w:p>
            <w:pPr>
              <w:spacing w:after="0"/>
              <w:rPr>
                <w:sz w:val="18"/>
                <w:szCs w:val="18"/>
                <w:color w:val="auto"/>
              </w:rPr>
            </w:pPr>
          </w:p>
        </w:tc>
        <w:tc>
          <w:tcPr>
            <w:tcW w:w="9280" w:type="dxa"/>
            <w:vAlign w:val="bottom"/>
          </w:tcPr>
          <w:p>
            <w:pPr>
              <w:ind w:left="6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Continued to grow residential domestic broadband revenue, even with heightened competitive pressure</w:t>
            </w:r>
          </w:p>
        </w:tc>
      </w:tr>
      <w:tr>
        <w:trPr>
          <w:trHeight w:val="239"/>
        </w:trPr>
        <w:tc>
          <w:tcPr>
            <w:tcW w:w="1960" w:type="dxa"/>
            <w:vAlign w:val="bottom"/>
          </w:tcPr>
          <w:p>
            <w:pPr>
              <w:spacing w:after="0"/>
              <w:rPr>
                <w:sz w:val="20"/>
                <w:szCs w:val="20"/>
                <w:color w:val="auto"/>
              </w:rPr>
            </w:pPr>
          </w:p>
        </w:tc>
        <w:tc>
          <w:tcPr>
            <w:tcW w:w="9280" w:type="dxa"/>
            <w:vAlign w:val="bottom"/>
          </w:tcPr>
          <w:p>
            <w:pPr>
              <w:ind w:left="920"/>
              <w:spacing w:after="0"/>
              <w:rPr>
                <w:sz w:val="20"/>
                <w:szCs w:val="20"/>
                <w:color w:val="auto"/>
              </w:rPr>
            </w:pPr>
            <w:r>
              <w:rPr>
                <w:rFonts w:ascii="Arial" w:cs="Arial" w:eastAsia="Arial" w:hAnsi="Arial"/>
                <w:sz w:val="18"/>
                <w:szCs w:val="18"/>
                <w:color w:val="auto"/>
              </w:rPr>
              <w:t>on subscriber additions.</w:t>
            </w:r>
          </w:p>
        </w:tc>
      </w:tr>
      <w:tr>
        <w:trPr>
          <w:trHeight w:val="247"/>
        </w:trPr>
        <w:tc>
          <w:tcPr>
            <w:tcW w:w="1960" w:type="dxa"/>
            <w:vAlign w:val="bottom"/>
          </w:tcPr>
          <w:p>
            <w:pPr>
              <w:spacing w:after="0"/>
              <w:rPr>
                <w:sz w:val="21"/>
                <w:szCs w:val="21"/>
                <w:color w:val="auto"/>
              </w:rPr>
            </w:pPr>
          </w:p>
        </w:tc>
        <w:tc>
          <w:tcPr>
            <w:tcW w:w="9280" w:type="dxa"/>
            <w:vAlign w:val="bottom"/>
          </w:tcPr>
          <w:p>
            <w:pPr>
              <w:ind w:left="6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Expanded our domestic wireless subscriber base by more than a million lines for a third consecutive</w:t>
            </w:r>
          </w:p>
        </w:tc>
      </w:tr>
      <w:tr>
        <w:trPr>
          <w:trHeight w:val="239"/>
        </w:trPr>
        <w:tc>
          <w:tcPr>
            <w:tcW w:w="1960" w:type="dxa"/>
            <w:vAlign w:val="bottom"/>
          </w:tcPr>
          <w:p>
            <w:pPr>
              <w:spacing w:after="0"/>
              <w:rPr>
                <w:sz w:val="20"/>
                <w:szCs w:val="20"/>
                <w:color w:val="auto"/>
              </w:rPr>
            </w:pPr>
          </w:p>
        </w:tc>
        <w:tc>
          <w:tcPr>
            <w:tcW w:w="9280" w:type="dxa"/>
            <w:vAlign w:val="bottom"/>
          </w:tcPr>
          <w:p>
            <w:pPr>
              <w:ind w:left="920"/>
              <w:spacing w:after="0"/>
              <w:rPr>
                <w:sz w:val="20"/>
                <w:szCs w:val="20"/>
                <w:color w:val="auto"/>
              </w:rPr>
            </w:pPr>
            <w:r>
              <w:rPr>
                <w:rFonts w:ascii="Arial" w:cs="Arial" w:eastAsia="Arial" w:hAnsi="Arial"/>
                <w:sz w:val="18"/>
                <w:szCs w:val="18"/>
                <w:color w:val="auto"/>
              </w:rPr>
              <w:t>year.</w:t>
            </w:r>
          </w:p>
        </w:tc>
      </w:tr>
      <w:tr>
        <w:trPr>
          <w:trHeight w:val="270"/>
        </w:trPr>
        <w:tc>
          <w:tcPr>
            <w:tcW w:w="1960" w:type="dxa"/>
            <w:vAlign w:val="bottom"/>
          </w:tcPr>
          <w:p>
            <w:pPr>
              <w:spacing w:after="0"/>
              <w:rPr>
                <w:sz w:val="23"/>
                <w:szCs w:val="23"/>
                <w:color w:val="auto"/>
              </w:rPr>
            </w:pPr>
          </w:p>
        </w:tc>
        <w:tc>
          <w:tcPr>
            <w:tcW w:w="9280" w:type="dxa"/>
            <w:vAlign w:val="bottom"/>
          </w:tcPr>
          <w:p>
            <w:pPr>
              <w:ind w:left="6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Drove significant further sequential improvement in Connectivity &amp; Platforms Adjusted EBITDA margin.</w:t>
            </w:r>
          </w:p>
        </w:tc>
      </w:tr>
      <w:tr>
        <w:trPr>
          <w:trHeight w:val="234"/>
        </w:trPr>
        <w:tc>
          <w:tcPr>
            <w:tcW w:w="1960" w:type="dxa"/>
            <w:vAlign w:val="bottom"/>
          </w:tcPr>
          <w:p>
            <w:pPr>
              <w:spacing w:after="0"/>
              <w:rPr>
                <w:sz w:val="20"/>
                <w:szCs w:val="20"/>
                <w:color w:val="auto"/>
              </w:rPr>
            </w:pPr>
          </w:p>
        </w:tc>
        <w:tc>
          <w:tcPr>
            <w:tcW w:w="9280" w:type="dxa"/>
            <w:vAlign w:val="bottom"/>
          </w:tcPr>
          <w:p>
            <w:pPr>
              <w:ind w:left="6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Continued to focus on margin accretive growth drivers such as Business Services Connectivity, which is</w:t>
            </w:r>
          </w:p>
        </w:tc>
      </w:tr>
      <w:tr>
        <w:trPr>
          <w:trHeight w:val="239"/>
        </w:trPr>
        <w:tc>
          <w:tcPr>
            <w:tcW w:w="1960" w:type="dxa"/>
            <w:vAlign w:val="bottom"/>
          </w:tcPr>
          <w:p>
            <w:pPr>
              <w:spacing w:after="0"/>
              <w:rPr>
                <w:sz w:val="20"/>
                <w:szCs w:val="20"/>
                <w:color w:val="auto"/>
              </w:rPr>
            </w:pPr>
          </w:p>
        </w:tc>
        <w:tc>
          <w:tcPr>
            <w:tcW w:w="9280" w:type="dxa"/>
            <w:vAlign w:val="bottom"/>
          </w:tcPr>
          <w:p>
            <w:pPr>
              <w:ind w:left="920"/>
              <w:spacing w:after="0"/>
              <w:rPr>
                <w:sz w:val="20"/>
                <w:szCs w:val="20"/>
                <w:color w:val="auto"/>
              </w:rPr>
            </w:pPr>
            <w:r>
              <w:rPr>
                <w:rFonts w:ascii="Arial" w:cs="Arial" w:eastAsia="Arial" w:hAnsi="Arial"/>
                <w:sz w:val="18"/>
                <w:szCs w:val="18"/>
                <w:color w:val="auto"/>
              </w:rPr>
              <w:t>approaching $10 billion in annual revenue.</w:t>
            </w:r>
          </w:p>
        </w:tc>
      </w:tr>
      <w:tr>
        <w:trPr>
          <w:trHeight w:val="283"/>
        </w:trPr>
        <w:tc>
          <w:tcPr>
            <w:tcW w:w="1960" w:type="dxa"/>
            <w:vAlign w:val="bottom"/>
          </w:tcPr>
          <w:p>
            <w:pPr>
              <w:spacing w:after="0"/>
              <w:rPr>
                <w:sz w:val="24"/>
                <w:szCs w:val="24"/>
                <w:color w:val="auto"/>
              </w:rPr>
            </w:pPr>
          </w:p>
        </w:tc>
        <w:tc>
          <w:tcPr>
            <w:tcW w:w="9280" w:type="dxa"/>
            <w:vAlign w:val="bottom"/>
          </w:tcPr>
          <w:p>
            <w:pPr>
              <w:ind w:left="6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Substantially grew Peacock revenue by rapidly adding paid subscribers.</w:t>
            </w:r>
          </w:p>
        </w:tc>
      </w:tr>
      <w:tr>
        <w:trPr>
          <w:trHeight w:val="234"/>
        </w:trPr>
        <w:tc>
          <w:tcPr>
            <w:tcW w:w="1960" w:type="dxa"/>
            <w:vAlign w:val="bottom"/>
          </w:tcPr>
          <w:p>
            <w:pPr>
              <w:spacing w:after="0"/>
              <w:rPr>
                <w:sz w:val="20"/>
                <w:szCs w:val="20"/>
                <w:color w:val="auto"/>
              </w:rPr>
            </w:pPr>
          </w:p>
        </w:tc>
        <w:tc>
          <w:tcPr>
            <w:tcW w:w="9280" w:type="dxa"/>
            <w:vAlign w:val="bottom"/>
          </w:tcPr>
          <w:p>
            <w:pPr>
              <w:ind w:left="6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Grew Studios revenue through successful Universal Pictures releases. In 2023, Universal Pictures was</w:t>
            </w:r>
          </w:p>
        </w:tc>
      </w:tr>
      <w:tr>
        <w:trPr>
          <w:trHeight w:val="239"/>
        </w:trPr>
        <w:tc>
          <w:tcPr>
            <w:tcW w:w="1960" w:type="dxa"/>
            <w:vAlign w:val="bottom"/>
          </w:tcPr>
          <w:p>
            <w:pPr>
              <w:spacing w:after="0"/>
              <w:rPr>
                <w:sz w:val="20"/>
                <w:szCs w:val="20"/>
                <w:color w:val="auto"/>
              </w:rPr>
            </w:pPr>
          </w:p>
        </w:tc>
        <w:tc>
          <w:tcPr>
            <w:tcW w:w="9280" w:type="dxa"/>
            <w:vAlign w:val="bottom"/>
          </w:tcPr>
          <w:p>
            <w:pPr>
              <w:ind w:left="920"/>
              <w:spacing w:after="0"/>
              <w:rPr>
                <w:sz w:val="20"/>
                <w:szCs w:val="20"/>
                <w:color w:val="auto"/>
              </w:rPr>
            </w:pPr>
            <w:r>
              <w:rPr>
                <w:rFonts w:ascii="Arial" w:cs="Arial" w:eastAsia="Arial" w:hAnsi="Arial"/>
                <w:sz w:val="18"/>
                <w:szCs w:val="18"/>
                <w:color w:val="auto"/>
              </w:rPr>
              <w:t>the highest-grossing studio at the worldwide box office, with three of the top five highest-grossing films.</w:t>
            </w:r>
          </w:p>
        </w:tc>
      </w:tr>
      <w:tr>
        <w:trPr>
          <w:trHeight w:val="234"/>
        </w:trPr>
        <w:tc>
          <w:tcPr>
            <w:tcW w:w="1960" w:type="dxa"/>
            <w:vAlign w:val="bottom"/>
          </w:tcPr>
          <w:p>
            <w:pPr>
              <w:spacing w:after="0"/>
              <w:rPr>
                <w:sz w:val="20"/>
                <w:szCs w:val="20"/>
                <w:color w:val="auto"/>
              </w:rPr>
            </w:pPr>
          </w:p>
        </w:tc>
        <w:tc>
          <w:tcPr>
            <w:tcW w:w="9280" w:type="dxa"/>
            <w:vAlign w:val="bottom"/>
          </w:tcPr>
          <w:p>
            <w:pPr>
              <w:ind w:left="6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Continued to set records with increasing Universal Theme Park attendance, revenue and Adjusted</w:t>
            </w:r>
          </w:p>
        </w:tc>
      </w:tr>
      <w:tr>
        <w:trPr>
          <w:trHeight w:val="239"/>
        </w:trPr>
        <w:tc>
          <w:tcPr>
            <w:tcW w:w="1960" w:type="dxa"/>
            <w:vAlign w:val="bottom"/>
          </w:tcPr>
          <w:p>
            <w:pPr>
              <w:spacing w:after="0"/>
              <w:rPr>
                <w:sz w:val="20"/>
                <w:szCs w:val="20"/>
                <w:color w:val="auto"/>
              </w:rPr>
            </w:pPr>
          </w:p>
        </w:tc>
        <w:tc>
          <w:tcPr>
            <w:tcW w:w="9280" w:type="dxa"/>
            <w:vAlign w:val="bottom"/>
          </w:tcPr>
          <w:p>
            <w:pPr>
              <w:ind w:left="920"/>
              <w:spacing w:after="0"/>
              <w:rPr>
                <w:sz w:val="20"/>
                <w:szCs w:val="20"/>
                <w:color w:val="auto"/>
              </w:rPr>
            </w:pPr>
            <w:r>
              <w:rPr>
                <w:rFonts w:ascii="Arial" w:cs="Arial" w:eastAsia="Arial" w:hAnsi="Arial"/>
                <w:sz w:val="18"/>
                <w:szCs w:val="18"/>
                <w:color w:val="auto"/>
              </w:rPr>
              <w:t>EBITDA.</w:t>
            </w:r>
          </w:p>
        </w:tc>
      </w:tr>
      <w:tr>
        <w:trPr>
          <w:trHeight w:val="23"/>
        </w:trPr>
        <w:tc>
          <w:tcPr>
            <w:tcW w:w="1960" w:type="dxa"/>
            <w:vAlign w:val="bottom"/>
            <w:tcBorders>
              <w:bottom w:val="single" w:sz="8" w:color="DCDDDE"/>
            </w:tcBorders>
          </w:tcPr>
          <w:p>
            <w:pPr>
              <w:spacing w:after="0"/>
              <w:rPr>
                <w:sz w:val="2"/>
                <w:szCs w:val="2"/>
                <w:color w:val="auto"/>
              </w:rPr>
            </w:pPr>
          </w:p>
        </w:tc>
        <w:tc>
          <w:tcPr>
            <w:tcW w:w="9280" w:type="dxa"/>
            <w:vAlign w:val="bottom"/>
            <w:tcBorders>
              <w:bottom w:val="single" w:sz="8" w:color="DCDDDE"/>
            </w:tcBorders>
          </w:tcPr>
          <w:p>
            <w:pPr>
              <w:spacing w:after="0"/>
              <w:rPr>
                <w:sz w:val="2"/>
                <w:szCs w:val="2"/>
                <w:color w:val="auto"/>
              </w:rPr>
            </w:pPr>
          </w:p>
        </w:tc>
      </w:tr>
      <w:tr>
        <w:trPr>
          <w:trHeight w:val="204"/>
        </w:trPr>
        <w:tc>
          <w:tcPr>
            <w:tcW w:w="1960" w:type="dxa"/>
            <w:vAlign w:val="bottom"/>
          </w:tcPr>
          <w:p>
            <w:pPr>
              <w:ind w:left="80"/>
              <w:spacing w:after="0" w:line="204" w:lineRule="exact"/>
              <w:rPr>
                <w:sz w:val="20"/>
                <w:szCs w:val="20"/>
                <w:color w:val="auto"/>
              </w:rPr>
            </w:pPr>
            <w:r>
              <w:rPr>
                <w:rFonts w:ascii="Arial" w:cs="Arial" w:eastAsia="Arial" w:hAnsi="Arial"/>
                <w:sz w:val="18"/>
                <w:szCs w:val="18"/>
                <w:b w:val="1"/>
                <w:bCs w:val="1"/>
                <w:color w:val="auto"/>
              </w:rPr>
              <w:t>Organizational</w:t>
            </w:r>
          </w:p>
        </w:tc>
        <w:tc>
          <w:tcPr>
            <w:tcW w:w="9280" w:type="dxa"/>
            <w:vAlign w:val="bottom"/>
          </w:tcPr>
          <w:p>
            <w:pPr>
              <w:ind w:left="640"/>
              <w:spacing w:after="0" w:line="204" w:lineRule="exact"/>
              <w:rPr>
                <w:sz w:val="20"/>
                <w:szCs w:val="20"/>
                <w:color w:val="auto"/>
              </w:rPr>
            </w:pPr>
            <w:r>
              <w:rPr>
                <w:rFonts w:ascii="Arial" w:cs="Arial" w:eastAsia="Arial" w:hAnsi="Arial"/>
                <w:sz w:val="18"/>
                <w:szCs w:val="18"/>
                <w:color w:val="auto"/>
              </w:rPr>
              <w:t>Our businesses continued their strong collaboration with one another. In 2023, we realigned into two</w:t>
            </w:r>
          </w:p>
        </w:tc>
      </w:tr>
      <w:tr>
        <w:trPr>
          <w:trHeight w:val="203"/>
        </w:trPr>
        <w:tc>
          <w:tcPr>
            <w:tcW w:w="196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Collaboration</w:t>
            </w:r>
          </w:p>
        </w:tc>
        <w:tc>
          <w:tcPr>
            <w:tcW w:w="9280" w:type="dxa"/>
            <w:vAlign w:val="bottom"/>
          </w:tcPr>
          <w:p>
            <w:pPr>
              <w:ind w:left="640"/>
              <w:spacing w:after="0" w:line="202" w:lineRule="exact"/>
              <w:rPr>
                <w:sz w:val="20"/>
                <w:szCs w:val="20"/>
                <w:color w:val="auto"/>
              </w:rPr>
            </w:pPr>
            <w:r>
              <w:rPr>
                <w:rFonts w:ascii="Arial" w:cs="Arial" w:eastAsia="Arial" w:hAnsi="Arial"/>
                <w:sz w:val="18"/>
                <w:szCs w:val="18"/>
                <w:color w:val="auto"/>
              </w:rPr>
              <w:t>business units: Connectivity &amp; Platforms and Content &amp; Experiences. This change further brought together</w:t>
            </w:r>
          </w:p>
        </w:tc>
      </w:tr>
      <w:tr>
        <w:trPr>
          <w:trHeight w:val="203"/>
        </w:trPr>
        <w:tc>
          <w:tcPr>
            <w:tcW w:w="1960" w:type="dxa"/>
            <w:vAlign w:val="bottom"/>
          </w:tcPr>
          <w:p>
            <w:pPr>
              <w:spacing w:after="0"/>
              <w:rPr>
                <w:sz w:val="17"/>
                <w:szCs w:val="17"/>
                <w:color w:val="auto"/>
              </w:rPr>
            </w:pPr>
          </w:p>
        </w:tc>
        <w:tc>
          <w:tcPr>
            <w:tcW w:w="9280" w:type="dxa"/>
            <w:vAlign w:val="bottom"/>
          </w:tcPr>
          <w:p>
            <w:pPr>
              <w:ind w:left="640"/>
              <w:spacing w:after="0" w:line="202" w:lineRule="exact"/>
              <w:rPr>
                <w:sz w:val="20"/>
                <w:szCs w:val="20"/>
                <w:color w:val="auto"/>
              </w:rPr>
            </w:pPr>
            <w:r>
              <w:rPr>
                <w:rFonts w:ascii="Arial" w:cs="Arial" w:eastAsia="Arial" w:hAnsi="Arial"/>
                <w:sz w:val="18"/>
                <w:szCs w:val="18"/>
                <w:color w:val="auto"/>
              </w:rPr>
              <w:t>the U.S. Xfinity business (including Comcast Business Services) and Sky’s direct to customer businesses,</w:t>
            </w:r>
          </w:p>
        </w:tc>
      </w:tr>
      <w:tr>
        <w:trPr>
          <w:trHeight w:val="203"/>
        </w:trPr>
        <w:tc>
          <w:tcPr>
            <w:tcW w:w="1960" w:type="dxa"/>
            <w:vAlign w:val="bottom"/>
          </w:tcPr>
          <w:p>
            <w:pPr>
              <w:spacing w:after="0"/>
              <w:rPr>
                <w:sz w:val="17"/>
                <w:szCs w:val="17"/>
                <w:color w:val="auto"/>
              </w:rPr>
            </w:pPr>
          </w:p>
        </w:tc>
        <w:tc>
          <w:tcPr>
            <w:tcW w:w="9280" w:type="dxa"/>
            <w:vAlign w:val="bottom"/>
          </w:tcPr>
          <w:p>
            <w:pPr>
              <w:ind w:left="640"/>
              <w:spacing w:after="0" w:line="202" w:lineRule="exact"/>
              <w:rPr>
                <w:sz w:val="20"/>
                <w:szCs w:val="20"/>
                <w:color w:val="auto"/>
              </w:rPr>
            </w:pPr>
            <w:r>
              <w:rPr>
                <w:rFonts w:ascii="Arial" w:cs="Arial" w:eastAsia="Arial" w:hAnsi="Arial"/>
                <w:sz w:val="18"/>
                <w:szCs w:val="18"/>
                <w:color w:val="auto"/>
              </w:rPr>
              <w:t>and NBCUniversal with Sky Sports and Sky Studios. This global integration more closely aligns our</w:t>
            </w:r>
          </w:p>
        </w:tc>
      </w:tr>
      <w:tr>
        <w:trPr>
          <w:trHeight w:val="239"/>
        </w:trPr>
        <w:tc>
          <w:tcPr>
            <w:tcW w:w="1960" w:type="dxa"/>
            <w:vAlign w:val="bottom"/>
          </w:tcPr>
          <w:p>
            <w:pPr>
              <w:spacing w:after="0"/>
              <w:rPr>
                <w:sz w:val="20"/>
                <w:szCs w:val="20"/>
                <w:color w:val="auto"/>
              </w:rPr>
            </w:pPr>
          </w:p>
        </w:tc>
        <w:tc>
          <w:tcPr>
            <w:tcW w:w="9280" w:type="dxa"/>
            <w:vAlign w:val="bottom"/>
          </w:tcPr>
          <w:p>
            <w:pPr>
              <w:ind w:left="640"/>
              <w:spacing w:after="0"/>
              <w:rPr>
                <w:sz w:val="20"/>
                <w:szCs w:val="20"/>
                <w:color w:val="auto"/>
              </w:rPr>
            </w:pPr>
            <w:r>
              <w:rPr>
                <w:rFonts w:ascii="Arial" w:cs="Arial" w:eastAsia="Arial" w:hAnsi="Arial"/>
                <w:sz w:val="18"/>
                <w:szCs w:val="18"/>
                <w:color w:val="auto"/>
              </w:rPr>
              <w:t>management and streamlines opportunities for growth.</w:t>
            </w:r>
          </w:p>
        </w:tc>
      </w:tr>
      <w:tr>
        <w:trPr>
          <w:trHeight w:val="382"/>
        </w:trPr>
        <w:tc>
          <w:tcPr>
            <w:tcW w:w="1960" w:type="dxa"/>
            <w:vAlign w:val="bottom"/>
          </w:tcPr>
          <w:p>
            <w:pPr>
              <w:spacing w:after="0"/>
              <w:rPr>
                <w:sz w:val="24"/>
                <w:szCs w:val="24"/>
                <w:color w:val="auto"/>
              </w:rPr>
            </w:pPr>
          </w:p>
        </w:tc>
        <w:tc>
          <w:tcPr>
            <w:tcW w:w="9280" w:type="dxa"/>
            <w:vAlign w:val="bottom"/>
          </w:tcPr>
          <w:p>
            <w:pPr>
              <w:ind w:left="640"/>
              <w:spacing w:after="0"/>
              <w:rPr>
                <w:sz w:val="20"/>
                <w:szCs w:val="20"/>
                <w:color w:val="auto"/>
              </w:rPr>
            </w:pPr>
            <w:r>
              <w:rPr>
                <w:rFonts w:ascii="Arial" w:cs="Arial" w:eastAsia="Arial" w:hAnsi="Arial"/>
                <w:sz w:val="18"/>
                <w:szCs w:val="18"/>
                <w:color w:val="auto"/>
              </w:rPr>
              <w:t>In addition to this company-wide organizational change, our technology teams around the world</w:t>
            </w:r>
          </w:p>
        </w:tc>
      </w:tr>
      <w:tr>
        <w:trPr>
          <w:trHeight w:val="203"/>
        </w:trPr>
        <w:tc>
          <w:tcPr>
            <w:tcW w:w="1960" w:type="dxa"/>
            <w:vAlign w:val="bottom"/>
          </w:tcPr>
          <w:p>
            <w:pPr>
              <w:spacing w:after="0"/>
              <w:rPr>
                <w:sz w:val="17"/>
                <w:szCs w:val="17"/>
                <w:color w:val="auto"/>
              </w:rPr>
            </w:pPr>
          </w:p>
        </w:tc>
        <w:tc>
          <w:tcPr>
            <w:tcW w:w="9280" w:type="dxa"/>
            <w:vAlign w:val="bottom"/>
          </w:tcPr>
          <w:p>
            <w:pPr>
              <w:ind w:left="640"/>
              <w:spacing w:after="0" w:line="202" w:lineRule="exact"/>
              <w:rPr>
                <w:sz w:val="20"/>
                <w:szCs w:val="20"/>
                <w:color w:val="auto"/>
              </w:rPr>
            </w:pPr>
            <w:r>
              <w:rPr>
                <w:rFonts w:ascii="Arial" w:cs="Arial" w:eastAsia="Arial" w:hAnsi="Arial"/>
                <w:sz w:val="18"/>
                <w:szCs w:val="18"/>
                <w:color w:val="auto"/>
              </w:rPr>
              <w:t>collaborated on our global Entertainment OS platform, which includes Xfinity X1 and Xumo domestically</w:t>
            </w:r>
          </w:p>
        </w:tc>
      </w:tr>
      <w:tr>
        <w:trPr>
          <w:trHeight w:val="203"/>
        </w:trPr>
        <w:tc>
          <w:tcPr>
            <w:tcW w:w="1960" w:type="dxa"/>
            <w:vAlign w:val="bottom"/>
          </w:tcPr>
          <w:p>
            <w:pPr>
              <w:spacing w:after="0"/>
              <w:rPr>
                <w:sz w:val="17"/>
                <w:szCs w:val="17"/>
                <w:color w:val="auto"/>
              </w:rPr>
            </w:pPr>
          </w:p>
        </w:tc>
        <w:tc>
          <w:tcPr>
            <w:tcW w:w="9280" w:type="dxa"/>
            <w:vAlign w:val="bottom"/>
          </w:tcPr>
          <w:p>
            <w:pPr>
              <w:ind w:left="640"/>
              <w:spacing w:after="0" w:line="202" w:lineRule="exact"/>
              <w:rPr>
                <w:sz w:val="20"/>
                <w:szCs w:val="20"/>
                <w:color w:val="auto"/>
              </w:rPr>
            </w:pPr>
            <w:r>
              <w:rPr>
                <w:rFonts w:ascii="Arial" w:cs="Arial" w:eastAsia="Arial" w:hAnsi="Arial"/>
                <w:sz w:val="18"/>
                <w:szCs w:val="18"/>
                <w:color w:val="auto"/>
              </w:rPr>
              <w:t>and Sky Glass in the UK, along with partnerships with Multichoice in Africa, SkyShowtime in Europe and</w:t>
            </w:r>
          </w:p>
        </w:tc>
      </w:tr>
      <w:tr>
        <w:trPr>
          <w:trHeight w:val="203"/>
        </w:trPr>
        <w:tc>
          <w:tcPr>
            <w:tcW w:w="1960" w:type="dxa"/>
            <w:vAlign w:val="bottom"/>
          </w:tcPr>
          <w:p>
            <w:pPr>
              <w:spacing w:after="0"/>
              <w:rPr>
                <w:sz w:val="17"/>
                <w:szCs w:val="17"/>
                <w:color w:val="auto"/>
              </w:rPr>
            </w:pPr>
          </w:p>
        </w:tc>
        <w:tc>
          <w:tcPr>
            <w:tcW w:w="9280" w:type="dxa"/>
            <w:vAlign w:val="bottom"/>
          </w:tcPr>
          <w:p>
            <w:pPr>
              <w:ind w:left="640"/>
              <w:spacing w:after="0" w:line="202" w:lineRule="exact"/>
              <w:rPr>
                <w:sz w:val="20"/>
                <w:szCs w:val="20"/>
                <w:color w:val="auto"/>
              </w:rPr>
            </w:pPr>
            <w:r>
              <w:rPr>
                <w:rFonts w:ascii="Arial" w:cs="Arial" w:eastAsia="Arial" w:hAnsi="Arial"/>
                <w:sz w:val="18"/>
                <w:szCs w:val="18"/>
                <w:color w:val="auto"/>
              </w:rPr>
              <w:t>Hubbl in Australia. We also continue to work together across our complementary, high-performing business</w:t>
            </w:r>
          </w:p>
        </w:tc>
      </w:tr>
      <w:tr>
        <w:trPr>
          <w:trHeight w:val="203"/>
        </w:trPr>
        <w:tc>
          <w:tcPr>
            <w:tcW w:w="1960" w:type="dxa"/>
            <w:vAlign w:val="bottom"/>
          </w:tcPr>
          <w:p>
            <w:pPr>
              <w:spacing w:after="0"/>
              <w:rPr>
                <w:sz w:val="17"/>
                <w:szCs w:val="17"/>
                <w:color w:val="auto"/>
              </w:rPr>
            </w:pPr>
          </w:p>
        </w:tc>
        <w:tc>
          <w:tcPr>
            <w:tcW w:w="9280" w:type="dxa"/>
            <w:vAlign w:val="bottom"/>
          </w:tcPr>
          <w:p>
            <w:pPr>
              <w:ind w:left="640"/>
              <w:spacing w:after="0" w:line="202" w:lineRule="exact"/>
              <w:rPr>
                <w:sz w:val="20"/>
                <w:szCs w:val="20"/>
                <w:color w:val="auto"/>
              </w:rPr>
            </w:pPr>
            <w:r>
              <w:rPr>
                <w:rFonts w:ascii="Arial" w:cs="Arial" w:eastAsia="Arial" w:hAnsi="Arial"/>
                <w:sz w:val="18"/>
                <w:szCs w:val="18"/>
                <w:color w:val="auto"/>
              </w:rPr>
              <w:t>units to accelerate convergence in media and technology. For example, in January 2024, we successfully</w:t>
            </w:r>
          </w:p>
        </w:tc>
      </w:tr>
      <w:tr>
        <w:trPr>
          <w:trHeight w:val="202"/>
        </w:trPr>
        <w:tc>
          <w:tcPr>
            <w:tcW w:w="1960" w:type="dxa"/>
            <w:vAlign w:val="bottom"/>
          </w:tcPr>
          <w:p>
            <w:pPr>
              <w:spacing w:after="0"/>
              <w:rPr>
                <w:sz w:val="17"/>
                <w:szCs w:val="17"/>
                <w:color w:val="auto"/>
              </w:rPr>
            </w:pPr>
          </w:p>
        </w:tc>
        <w:tc>
          <w:tcPr>
            <w:tcW w:w="9280" w:type="dxa"/>
            <w:vAlign w:val="bottom"/>
          </w:tcPr>
          <w:p>
            <w:pPr>
              <w:ind w:left="640"/>
              <w:spacing w:after="0" w:line="202" w:lineRule="exact"/>
              <w:rPr>
                <w:sz w:val="20"/>
                <w:szCs w:val="20"/>
                <w:color w:val="auto"/>
              </w:rPr>
            </w:pPr>
            <w:r>
              <w:rPr>
                <w:rFonts w:ascii="Arial" w:cs="Arial" w:eastAsia="Arial" w:hAnsi="Arial"/>
                <w:sz w:val="18"/>
                <w:szCs w:val="18"/>
                <w:color w:val="auto"/>
              </w:rPr>
              <w:t>executed the first exclusively streamed NFL Wild Card game on Peacock, with engineers across NBC</w:t>
            </w:r>
          </w:p>
        </w:tc>
      </w:tr>
      <w:tr>
        <w:trPr>
          <w:trHeight w:val="203"/>
        </w:trPr>
        <w:tc>
          <w:tcPr>
            <w:tcW w:w="1960" w:type="dxa"/>
            <w:vAlign w:val="bottom"/>
          </w:tcPr>
          <w:p>
            <w:pPr>
              <w:spacing w:after="0"/>
              <w:rPr>
                <w:sz w:val="17"/>
                <w:szCs w:val="17"/>
                <w:color w:val="auto"/>
              </w:rPr>
            </w:pPr>
          </w:p>
        </w:tc>
        <w:tc>
          <w:tcPr>
            <w:tcW w:w="9280" w:type="dxa"/>
            <w:vAlign w:val="bottom"/>
          </w:tcPr>
          <w:p>
            <w:pPr>
              <w:ind w:left="640"/>
              <w:spacing w:after="0" w:line="202" w:lineRule="exact"/>
              <w:rPr>
                <w:sz w:val="20"/>
                <w:szCs w:val="20"/>
                <w:color w:val="auto"/>
              </w:rPr>
            </w:pPr>
            <w:r>
              <w:rPr>
                <w:rFonts w:ascii="Arial" w:cs="Arial" w:eastAsia="Arial" w:hAnsi="Arial"/>
                <w:sz w:val="18"/>
                <w:szCs w:val="18"/>
                <w:color w:val="auto"/>
              </w:rPr>
              <w:t>Sports, Peacock and Connectivity &amp; Platforms collaborating to deliver the largest ever viewing event on the</w:t>
            </w:r>
          </w:p>
        </w:tc>
      </w:tr>
      <w:tr>
        <w:trPr>
          <w:trHeight w:val="244"/>
        </w:trPr>
        <w:tc>
          <w:tcPr>
            <w:tcW w:w="1960" w:type="dxa"/>
            <w:vAlign w:val="bottom"/>
            <w:tcBorders>
              <w:bottom w:val="single" w:sz="8" w:color="auto"/>
            </w:tcBorders>
          </w:tcPr>
          <w:p>
            <w:pPr>
              <w:spacing w:after="0"/>
              <w:rPr>
                <w:sz w:val="21"/>
                <w:szCs w:val="21"/>
                <w:color w:val="auto"/>
              </w:rPr>
            </w:pPr>
          </w:p>
        </w:tc>
        <w:tc>
          <w:tcPr>
            <w:tcW w:w="92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internet in the U.S.</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Stakeholder and Sustainability-Related Goals and Results</w:t>
      </w:r>
    </w:p>
    <w:p>
      <w:pPr>
        <w:spacing w:after="0" w:line="212" w:lineRule="exact"/>
        <w:rPr>
          <w:sz w:val="20"/>
          <w:szCs w:val="20"/>
          <w:color w:val="auto"/>
        </w:rPr>
      </w:pPr>
    </w:p>
    <w:p>
      <w:pPr>
        <w:ind w:right="200"/>
        <w:spacing w:after="0" w:line="244" w:lineRule="auto"/>
        <w:rPr>
          <w:sz w:val="20"/>
          <w:szCs w:val="20"/>
          <w:color w:val="auto"/>
        </w:rPr>
      </w:pPr>
      <w:r>
        <w:rPr>
          <w:rFonts w:ascii="Arial" w:cs="Arial" w:eastAsia="Arial" w:hAnsi="Arial"/>
          <w:sz w:val="18"/>
          <w:szCs w:val="18"/>
          <w:color w:val="auto"/>
        </w:rPr>
        <w:t>Stakeholder and sustainability-related goals accounted for 15% of the 2023 target annual bonus, with potential payouts ranging from 0% to 22.5%. The following goals and performance against those goals were considered by the CHC Committee in determining that achievement for 2023 was 15%. Our stakeholder and sustainability goals are not reduced to a specific metric or set of metrics, but rather are primarily based on the CHC Committee’s independent and holistic evaluation of the NEOs’ efforts, collectively and individually, to further progress in key stakeholder and sustainability initiatives as described immediately below and in “2023 NEO Performance.”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32</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38" w:lineRule="exact"/>
        <w:rPr>
          <w:sz w:val="20"/>
          <w:szCs w:val="20"/>
          <w:color w:val="auto"/>
        </w:rPr>
      </w:pPr>
    </w:p>
    <w:p>
      <w:pPr>
        <w:ind w:left="80"/>
        <w:spacing w:after="0"/>
        <w:tabs>
          <w:tab w:leader="none" w:pos="2580" w:val="left"/>
        </w:tabs>
        <w:rPr>
          <w:sz w:val="20"/>
          <w:szCs w:val="20"/>
          <w:color w:val="auto"/>
        </w:rPr>
      </w:pPr>
      <w:r>
        <w:rPr>
          <w:rFonts w:ascii="Arial" w:cs="Arial" w:eastAsia="Arial" w:hAnsi="Arial"/>
          <w:sz w:val="18"/>
          <w:szCs w:val="18"/>
          <w:b w:val="1"/>
          <w:bCs w:val="1"/>
          <w:color w:val="auto"/>
        </w:rPr>
        <w:t>GOALS</w:t>
      </w:r>
      <w:r>
        <w:rPr>
          <w:sz w:val="20"/>
          <w:szCs w:val="20"/>
          <w:color w:val="auto"/>
        </w:rPr>
        <w:tab/>
      </w:r>
      <w:r>
        <w:rPr>
          <w:rFonts w:ascii="Arial" w:cs="Arial" w:eastAsia="Arial" w:hAnsi="Arial"/>
          <w:sz w:val="18"/>
          <w:szCs w:val="18"/>
          <w:b w:val="1"/>
          <w:bCs w:val="1"/>
          <w:color w:val="auto"/>
        </w:rPr>
        <w:t>2023 PERFORMANCE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2040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2040255"/>
                    </a:xfrm>
                    <a:prstGeom prst="rect">
                      <a:avLst/>
                    </a:prstGeom>
                    <a:noFill/>
                  </pic:spPr>
                </pic:pic>
              </a:graphicData>
            </a:graphic>
          </wp:anchor>
        </w:drawing>
      </w:r>
    </w:p>
    <w:p>
      <w:pPr>
        <w:spacing w:after="0" w:line="84" w:lineRule="exact"/>
        <w:rPr>
          <w:sz w:val="20"/>
          <w:szCs w:val="20"/>
          <w:color w:val="auto"/>
        </w:rPr>
      </w:pPr>
    </w:p>
    <w:p>
      <w:pPr>
        <w:ind w:left="2600" w:right="160" w:hanging="2519"/>
        <w:spacing w:after="0" w:line="290" w:lineRule="auto"/>
        <w:tabs>
          <w:tab w:leader="none" w:pos="2580" w:val="left"/>
        </w:tabs>
        <w:rPr>
          <w:sz w:val="20"/>
          <w:szCs w:val="20"/>
          <w:color w:val="auto"/>
        </w:rPr>
      </w:pPr>
      <w:r>
        <w:rPr>
          <w:rFonts w:ascii="Arial" w:cs="Arial" w:eastAsia="Arial" w:hAnsi="Arial"/>
          <w:sz w:val="18"/>
          <w:szCs w:val="18"/>
          <w:b w:val="1"/>
          <w:bCs w:val="1"/>
          <w:color w:val="auto"/>
        </w:rPr>
        <w:t>Advancing Digital Equity</w:t>
      </w:r>
      <w:r>
        <w:rPr>
          <w:sz w:val="20"/>
          <w:szCs w:val="20"/>
          <w:color w:val="auto"/>
        </w:rPr>
        <w:tab/>
      </w:r>
      <w:r>
        <w:rPr>
          <w:rFonts w:ascii="Arial" w:cs="Arial" w:eastAsia="Arial" w:hAnsi="Arial"/>
          <w:sz w:val="17"/>
          <w:szCs w:val="17"/>
          <w:color w:val="auto"/>
        </w:rPr>
        <w:t>We continued our strong leadership in advancing digital equity by actively sponsoring and participating in programs designed to extend our broadband services to unserved and underserved Americans in 2023 by:</w:t>
      </w:r>
    </w:p>
    <w:p>
      <w:pPr>
        <w:ind w:left="2880" w:right="80" w:hanging="271"/>
        <w:spacing w:after="0" w:line="244" w:lineRule="auto"/>
        <w:tabs>
          <w:tab w:leader="none" w:pos="2857" w:val="left"/>
        </w:tabs>
        <w:numPr>
          <w:ilvl w:val="0"/>
          <w:numId w:val="70"/>
        </w:numPr>
        <w:rPr>
          <w:rFonts w:ascii="Arial" w:cs="Arial" w:eastAsia="Arial" w:hAnsi="Arial"/>
          <w:sz w:val="17"/>
          <w:szCs w:val="17"/>
          <w:color w:val="00A0DD"/>
        </w:rPr>
      </w:pPr>
      <w:r>
        <w:rPr>
          <w:rFonts w:ascii="Arial" w:cs="Arial" w:eastAsia="Arial" w:hAnsi="Arial"/>
          <w:sz w:val="18"/>
          <w:szCs w:val="18"/>
          <w:color w:val="auto"/>
        </w:rPr>
        <w:t>Participating responsibly in the federal government’s Affordable Connectivity Program, which enabled qualifying lower-income customers to apply a financial subsidy to our broadband services, allowing them to receive our Internet Essentials or Internet Essentials Plus service effectively for free, and supporting public-private partnerships and non-profit organizations that are spreading the message about the value of broadband connectivity in our digital world.</w:t>
      </w:r>
    </w:p>
    <w:p>
      <w:pPr>
        <w:spacing w:after="0" w:line="41" w:lineRule="exact"/>
        <w:rPr>
          <w:rFonts w:ascii="Arial" w:cs="Arial" w:eastAsia="Arial" w:hAnsi="Arial"/>
          <w:sz w:val="17"/>
          <w:szCs w:val="17"/>
          <w:color w:val="00A0DD"/>
        </w:rPr>
      </w:pPr>
    </w:p>
    <w:p>
      <w:pPr>
        <w:ind w:left="2880" w:right="400" w:hanging="271"/>
        <w:spacing w:after="0" w:line="253" w:lineRule="auto"/>
        <w:tabs>
          <w:tab w:leader="none" w:pos="2857" w:val="left"/>
        </w:tabs>
        <w:numPr>
          <w:ilvl w:val="0"/>
          <w:numId w:val="70"/>
        </w:numPr>
        <w:rPr>
          <w:rFonts w:ascii="Arial" w:cs="Arial" w:eastAsia="Arial" w:hAnsi="Arial"/>
          <w:sz w:val="17"/>
          <w:szCs w:val="17"/>
          <w:color w:val="00A0DD"/>
        </w:rPr>
      </w:pPr>
      <w:r>
        <w:rPr>
          <w:rFonts w:ascii="Arial" w:cs="Arial" w:eastAsia="Arial" w:hAnsi="Arial"/>
          <w:sz w:val="18"/>
          <w:szCs w:val="18"/>
          <w:color w:val="auto"/>
        </w:rPr>
        <w:t>Participating in federal, state and local programs designed to fund the expansion of broadband to unserved and underserved Americans and extending our network to new areas where reliable, high-speed internet services had been unavailable.</w:t>
      </w:r>
    </w:p>
    <w:p>
      <w:pPr>
        <w:spacing w:after="0" w:line="20" w:lineRule="exact"/>
        <w:rPr>
          <w:rFonts w:ascii="Arial" w:cs="Arial" w:eastAsia="Arial" w:hAnsi="Arial"/>
          <w:sz w:val="17"/>
          <w:szCs w:val="17"/>
          <w:color w:val="00A0DD"/>
        </w:rPr>
      </w:pPr>
    </w:p>
    <w:p>
      <w:pPr>
        <w:ind w:left="2880" w:right="120" w:hanging="271"/>
        <w:spacing w:after="0" w:line="247" w:lineRule="auto"/>
        <w:tabs>
          <w:tab w:leader="none" w:pos="2857" w:val="left"/>
        </w:tabs>
        <w:numPr>
          <w:ilvl w:val="0"/>
          <w:numId w:val="70"/>
        </w:numPr>
        <w:rPr>
          <w:rFonts w:ascii="Arial" w:cs="Arial" w:eastAsia="Arial" w:hAnsi="Arial"/>
          <w:sz w:val="17"/>
          <w:szCs w:val="17"/>
          <w:color w:val="00A0DD"/>
        </w:rPr>
      </w:pPr>
      <w:r>
        <w:rPr>
          <w:rFonts w:ascii="Arial" w:cs="Arial" w:eastAsia="Arial" w:hAnsi="Arial"/>
          <w:sz w:val="18"/>
          <w:szCs w:val="18"/>
          <w:color w:val="auto"/>
        </w:rPr>
        <w:t>Investing directly in community-based initiatives and programs to launch, support and scale digital navigator programs across the country. Digital navigators are trusted individuals affiliated with local nonprofits, educational institutions and governmental organizations who are trained to help more people get online, secure a device and build digital skills.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ind w:left="80"/>
              <w:spacing w:after="0"/>
              <w:rPr>
                <w:sz w:val="20"/>
                <w:szCs w:val="20"/>
                <w:color w:val="auto"/>
              </w:rPr>
            </w:pPr>
            <w:r>
              <w:rPr>
                <w:rFonts w:ascii="Arial" w:cs="Arial" w:eastAsia="Arial" w:hAnsi="Arial"/>
                <w:sz w:val="18"/>
                <w:szCs w:val="18"/>
                <w:b w:val="1"/>
                <w:bCs w:val="1"/>
                <w:color w:val="auto"/>
              </w:rPr>
              <w:t>Company Culture</w:t>
            </w:r>
          </w:p>
        </w:tc>
        <w:tc>
          <w:tcPr>
            <w:tcW w:w="8940" w:type="dxa"/>
            <w:vAlign w:val="bottom"/>
          </w:tcPr>
          <w:p>
            <w:pPr>
              <w:ind w:left="300"/>
              <w:spacing w:after="0"/>
              <w:rPr>
                <w:sz w:val="20"/>
                <w:szCs w:val="20"/>
                <w:color w:val="auto"/>
              </w:rPr>
            </w:pPr>
            <w:r>
              <w:rPr>
                <w:rFonts w:ascii="Arial" w:cs="Arial" w:eastAsia="Arial" w:hAnsi="Arial"/>
                <w:sz w:val="18"/>
                <w:szCs w:val="18"/>
                <w:color w:val="auto"/>
              </w:rPr>
              <w:t>In 2023, we continued our efforts to respect diversity of background, culture, skills and experience and to</w:t>
            </w:r>
          </w:p>
        </w:tc>
      </w:tr>
      <w:tr>
        <w:trPr>
          <w:trHeight w:val="203"/>
        </w:trPr>
        <w:tc>
          <w:tcPr>
            <w:tcW w:w="2300" w:type="dxa"/>
            <w:vAlign w:val="bottom"/>
          </w:tcPr>
          <w:p>
            <w:pPr>
              <w:spacing w:after="0"/>
              <w:rPr>
                <w:sz w:val="17"/>
                <w:szCs w:val="17"/>
                <w:color w:val="auto"/>
              </w:rPr>
            </w:pPr>
          </w:p>
        </w:tc>
        <w:tc>
          <w:tcPr>
            <w:tcW w:w="8940" w:type="dxa"/>
            <w:vAlign w:val="bottom"/>
          </w:tcPr>
          <w:p>
            <w:pPr>
              <w:ind w:left="300"/>
              <w:spacing w:after="0" w:line="202" w:lineRule="exact"/>
              <w:rPr>
                <w:sz w:val="20"/>
                <w:szCs w:val="20"/>
                <w:color w:val="auto"/>
              </w:rPr>
            </w:pPr>
            <w:r>
              <w:rPr>
                <w:rFonts w:ascii="Arial" w:cs="Arial" w:eastAsia="Arial" w:hAnsi="Arial"/>
                <w:sz w:val="18"/>
                <w:szCs w:val="18"/>
                <w:color w:val="auto"/>
              </w:rPr>
              <w:t>reinforce a workplace culture that emphasizes respect for others and intolerance of harassment and</w:t>
            </w:r>
          </w:p>
        </w:tc>
      </w:tr>
      <w:tr>
        <w:trPr>
          <w:trHeight w:val="239"/>
        </w:trPr>
        <w:tc>
          <w:tcPr>
            <w:tcW w:w="230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rPr>
              <w:t>discrimination by:</w:t>
            </w:r>
          </w:p>
        </w:tc>
      </w:tr>
      <w:tr>
        <w:trPr>
          <w:trHeight w:val="234"/>
        </w:trPr>
        <w:tc>
          <w:tcPr>
            <w:tcW w:w="230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Reinforcing our commitment to and support of workforce programs such as our nine employee resource</w:t>
            </w:r>
          </w:p>
        </w:tc>
      </w:tr>
      <w:tr>
        <w:trPr>
          <w:trHeight w:val="203"/>
        </w:trPr>
        <w:tc>
          <w:tcPr>
            <w:tcW w:w="2300" w:type="dxa"/>
            <w:vAlign w:val="bottom"/>
          </w:tcPr>
          <w:p>
            <w:pPr>
              <w:spacing w:after="0"/>
              <w:rPr>
                <w:sz w:val="17"/>
                <w:szCs w:val="17"/>
                <w:color w:val="auto"/>
              </w:rPr>
            </w:pPr>
          </w:p>
        </w:tc>
        <w:tc>
          <w:tcPr>
            <w:tcW w:w="8940" w:type="dxa"/>
            <w:vAlign w:val="bottom"/>
          </w:tcPr>
          <w:p>
            <w:pPr>
              <w:ind w:left="580"/>
              <w:spacing w:after="0" w:line="202" w:lineRule="exact"/>
              <w:rPr>
                <w:sz w:val="20"/>
                <w:szCs w:val="20"/>
                <w:color w:val="auto"/>
              </w:rPr>
            </w:pPr>
            <w:r>
              <w:rPr>
                <w:rFonts w:ascii="Arial" w:cs="Arial" w:eastAsia="Arial" w:hAnsi="Arial"/>
                <w:sz w:val="18"/>
                <w:szCs w:val="18"/>
                <w:color w:val="auto"/>
              </w:rPr>
              <w:t>groups with approximately 36,000 members in 250 chapters, that are voluntary, employee-led</w:t>
            </w:r>
          </w:p>
        </w:tc>
      </w:tr>
      <w:tr>
        <w:trPr>
          <w:trHeight w:val="203"/>
        </w:trPr>
        <w:tc>
          <w:tcPr>
            <w:tcW w:w="2300" w:type="dxa"/>
            <w:vAlign w:val="bottom"/>
          </w:tcPr>
          <w:p>
            <w:pPr>
              <w:spacing w:after="0"/>
              <w:rPr>
                <w:sz w:val="17"/>
                <w:szCs w:val="17"/>
                <w:color w:val="auto"/>
              </w:rPr>
            </w:pPr>
          </w:p>
        </w:tc>
        <w:tc>
          <w:tcPr>
            <w:tcW w:w="8940" w:type="dxa"/>
            <w:vAlign w:val="bottom"/>
          </w:tcPr>
          <w:p>
            <w:pPr>
              <w:ind w:left="580"/>
              <w:spacing w:after="0" w:line="202" w:lineRule="exact"/>
              <w:rPr>
                <w:sz w:val="20"/>
                <w:szCs w:val="20"/>
                <w:color w:val="auto"/>
              </w:rPr>
            </w:pPr>
            <w:r>
              <w:rPr>
                <w:rFonts w:ascii="Arial" w:cs="Arial" w:eastAsia="Arial" w:hAnsi="Arial"/>
                <w:sz w:val="18"/>
                <w:szCs w:val="18"/>
                <w:color w:val="auto"/>
              </w:rPr>
              <w:t>organizations open to all across our business dedicated to developing the careers of our employees,</w:t>
            </w:r>
          </w:p>
        </w:tc>
      </w:tr>
      <w:tr>
        <w:trPr>
          <w:trHeight w:val="239"/>
        </w:trPr>
        <w:tc>
          <w:tcPr>
            <w:tcW w:w="2300" w:type="dxa"/>
            <w:vAlign w:val="bottom"/>
          </w:tcPr>
          <w:p>
            <w:pPr>
              <w:spacing w:after="0"/>
              <w:rPr>
                <w:sz w:val="20"/>
                <w:szCs w:val="20"/>
                <w:color w:val="auto"/>
              </w:rPr>
            </w:pPr>
          </w:p>
        </w:tc>
        <w:tc>
          <w:tcPr>
            <w:tcW w:w="8940" w:type="dxa"/>
            <w:vAlign w:val="bottom"/>
          </w:tcPr>
          <w:p>
            <w:pPr>
              <w:ind w:left="580"/>
              <w:spacing w:after="0"/>
              <w:rPr>
                <w:sz w:val="20"/>
                <w:szCs w:val="20"/>
                <w:color w:val="auto"/>
              </w:rPr>
            </w:pPr>
            <w:r>
              <w:rPr>
                <w:rFonts w:ascii="Arial" w:cs="Arial" w:eastAsia="Arial" w:hAnsi="Arial"/>
                <w:sz w:val="18"/>
                <w:szCs w:val="18"/>
                <w:color w:val="auto"/>
              </w:rPr>
              <w:t>contributing to community service and building on an inclusive and collaborative workplace and culture.</w:t>
            </w:r>
          </w:p>
        </w:tc>
      </w:tr>
      <w:tr>
        <w:trPr>
          <w:trHeight w:val="247"/>
        </w:trPr>
        <w:tc>
          <w:tcPr>
            <w:tcW w:w="2300" w:type="dxa"/>
            <w:vAlign w:val="bottom"/>
          </w:tcPr>
          <w:p>
            <w:pPr>
              <w:spacing w:after="0"/>
              <w:rPr>
                <w:sz w:val="21"/>
                <w:szCs w:val="21"/>
                <w:color w:val="auto"/>
              </w:rPr>
            </w:pPr>
          </w:p>
        </w:tc>
        <w:tc>
          <w:tcPr>
            <w:tcW w:w="8940" w:type="dxa"/>
            <w:vAlign w:val="bottom"/>
          </w:tcPr>
          <w:p>
            <w:pPr>
              <w:ind w:left="30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Continuing to reflect a range of diverse voices and cultures through our media platforms, including</w:t>
            </w:r>
          </w:p>
        </w:tc>
      </w:tr>
      <w:tr>
        <w:trPr>
          <w:trHeight w:val="203"/>
        </w:trPr>
        <w:tc>
          <w:tcPr>
            <w:tcW w:w="2300" w:type="dxa"/>
            <w:vAlign w:val="bottom"/>
          </w:tcPr>
          <w:p>
            <w:pPr>
              <w:spacing w:after="0"/>
              <w:rPr>
                <w:sz w:val="17"/>
                <w:szCs w:val="17"/>
                <w:color w:val="auto"/>
              </w:rPr>
            </w:pPr>
          </w:p>
        </w:tc>
        <w:tc>
          <w:tcPr>
            <w:tcW w:w="8940" w:type="dxa"/>
            <w:vAlign w:val="bottom"/>
          </w:tcPr>
          <w:p>
            <w:pPr>
              <w:ind w:left="580"/>
              <w:spacing w:after="0" w:line="202" w:lineRule="exact"/>
              <w:rPr>
                <w:sz w:val="20"/>
                <w:szCs w:val="20"/>
                <w:color w:val="auto"/>
              </w:rPr>
            </w:pPr>
            <w:r>
              <w:rPr>
                <w:rFonts w:ascii="Arial" w:cs="Arial" w:eastAsia="Arial" w:hAnsi="Arial"/>
                <w:sz w:val="18"/>
                <w:szCs w:val="18"/>
                <w:color w:val="auto"/>
              </w:rPr>
              <w:t>Xfinity’s curated On Demand destinations, as well as through NBCUniversal’s ‘The More You Know’</w:t>
            </w:r>
          </w:p>
        </w:tc>
      </w:tr>
      <w:tr>
        <w:trPr>
          <w:trHeight w:val="239"/>
        </w:trPr>
        <w:tc>
          <w:tcPr>
            <w:tcW w:w="2300" w:type="dxa"/>
            <w:vAlign w:val="bottom"/>
          </w:tcPr>
          <w:p>
            <w:pPr>
              <w:spacing w:after="0"/>
              <w:rPr>
                <w:sz w:val="20"/>
                <w:szCs w:val="20"/>
                <w:color w:val="auto"/>
              </w:rPr>
            </w:pPr>
          </w:p>
        </w:tc>
        <w:tc>
          <w:tcPr>
            <w:tcW w:w="8940" w:type="dxa"/>
            <w:vAlign w:val="bottom"/>
          </w:tcPr>
          <w:p>
            <w:pPr>
              <w:ind w:left="580"/>
              <w:spacing w:after="0"/>
              <w:rPr>
                <w:sz w:val="20"/>
                <w:szCs w:val="20"/>
                <w:color w:val="auto"/>
              </w:rPr>
            </w:pPr>
            <w:r>
              <w:rPr>
                <w:rFonts w:ascii="Arial" w:cs="Arial" w:eastAsia="Arial" w:hAnsi="Arial"/>
                <w:sz w:val="18"/>
                <w:szCs w:val="18"/>
                <w:color w:val="auto"/>
              </w:rPr>
              <w:t>series of public service announcements.</w:t>
            </w:r>
          </w:p>
        </w:tc>
      </w:tr>
      <w:tr>
        <w:trPr>
          <w:trHeight w:val="50"/>
        </w:trPr>
        <w:tc>
          <w:tcPr>
            <w:tcW w:w="2300" w:type="dxa"/>
            <w:vAlign w:val="bottom"/>
            <w:tcBorders>
              <w:bottom w:val="single" w:sz="8" w:color="DCDDDE"/>
            </w:tcBorders>
          </w:tcPr>
          <w:p>
            <w:pPr>
              <w:spacing w:after="0"/>
              <w:rPr>
                <w:sz w:val="4"/>
                <w:szCs w:val="4"/>
                <w:color w:val="auto"/>
              </w:rPr>
            </w:pPr>
          </w:p>
        </w:tc>
        <w:tc>
          <w:tcPr>
            <w:tcW w:w="8940" w:type="dxa"/>
            <w:vAlign w:val="bottom"/>
            <w:tcBorders>
              <w:bottom w:val="single" w:sz="8" w:color="DCDDDE"/>
            </w:tcBorders>
          </w:tcPr>
          <w:p>
            <w:pPr>
              <w:spacing w:after="0"/>
              <w:rPr>
                <w:sz w:val="4"/>
                <w:szCs w:val="4"/>
                <w:color w:val="auto"/>
              </w:rPr>
            </w:pPr>
          </w:p>
        </w:tc>
      </w:tr>
      <w:tr>
        <w:trPr>
          <w:trHeight w:val="245"/>
        </w:trPr>
        <w:tc>
          <w:tcPr>
            <w:tcW w:w="2300" w:type="dxa"/>
            <w:vAlign w:val="bottom"/>
            <w:shd w:val="clear" w:color="auto" w:fill="D8ECF7"/>
          </w:tcPr>
          <w:p>
            <w:pPr>
              <w:ind w:left="80"/>
              <w:spacing w:after="0"/>
              <w:rPr>
                <w:sz w:val="20"/>
                <w:szCs w:val="20"/>
                <w:color w:val="auto"/>
              </w:rPr>
            </w:pPr>
            <w:r>
              <w:rPr>
                <w:rFonts w:ascii="Arial" w:cs="Arial" w:eastAsia="Arial" w:hAnsi="Arial"/>
                <w:sz w:val="18"/>
                <w:szCs w:val="18"/>
                <w:b w:val="1"/>
                <w:bCs w:val="1"/>
                <w:color w:val="auto"/>
              </w:rPr>
              <w:t>Environmental</w:t>
            </w:r>
          </w:p>
        </w:tc>
        <w:tc>
          <w:tcPr>
            <w:tcW w:w="8940" w:type="dxa"/>
            <w:vAlign w:val="bottom"/>
            <w:shd w:val="clear" w:color="auto" w:fill="D8ECF7"/>
          </w:tcPr>
          <w:p>
            <w:pPr>
              <w:ind w:left="300"/>
              <w:spacing w:after="0"/>
              <w:rPr>
                <w:sz w:val="20"/>
                <w:szCs w:val="20"/>
                <w:color w:val="auto"/>
              </w:rPr>
            </w:pPr>
            <w:r>
              <w:rPr>
                <w:rFonts w:ascii="Arial" w:cs="Arial" w:eastAsia="Arial" w:hAnsi="Arial"/>
                <w:sz w:val="18"/>
                <w:szCs w:val="18"/>
                <w:color w:val="auto"/>
              </w:rPr>
              <w:t>We continued to take action toward environmental sustainability in 2023 by:</w:t>
            </w:r>
          </w:p>
        </w:tc>
      </w:tr>
      <w:tr>
        <w:trPr>
          <w:trHeight w:val="270"/>
        </w:trPr>
        <w:tc>
          <w:tcPr>
            <w:tcW w:w="2300" w:type="dxa"/>
            <w:vAlign w:val="bottom"/>
            <w:shd w:val="clear" w:color="auto" w:fill="D8ECF7"/>
          </w:tcPr>
          <w:p>
            <w:pPr>
              <w:ind w:left="80"/>
              <w:spacing w:after="0"/>
              <w:rPr>
                <w:sz w:val="20"/>
                <w:szCs w:val="20"/>
                <w:color w:val="auto"/>
              </w:rPr>
            </w:pPr>
            <w:r>
              <w:rPr>
                <w:rFonts w:ascii="Arial" w:cs="Arial" w:eastAsia="Arial" w:hAnsi="Arial"/>
                <w:sz w:val="18"/>
                <w:szCs w:val="18"/>
                <w:b w:val="1"/>
                <w:bCs w:val="1"/>
                <w:color w:val="auto"/>
              </w:rPr>
              <w:t>Sustainability</w:t>
            </w:r>
          </w:p>
        </w:tc>
        <w:tc>
          <w:tcPr>
            <w:tcW w:w="8940" w:type="dxa"/>
            <w:vAlign w:val="bottom"/>
            <w:shd w:val="clear" w:color="auto" w:fill="D8ECF7"/>
          </w:tcPr>
          <w:p>
            <w:pPr>
              <w:ind w:left="30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Continuing to work toward our goal to be carbon neutral by 2035 for Scope 1 and 2 greenhouse gas</w:t>
            </w:r>
          </w:p>
        </w:tc>
      </w:tr>
      <w:tr>
        <w:trPr>
          <w:trHeight w:val="203"/>
        </w:trPr>
        <w:tc>
          <w:tcPr>
            <w:tcW w:w="2300" w:type="dxa"/>
            <w:vAlign w:val="bottom"/>
            <w:shd w:val="clear" w:color="auto" w:fill="D8ECF7"/>
          </w:tcPr>
          <w:p>
            <w:pPr>
              <w:spacing w:after="0"/>
              <w:rPr>
                <w:sz w:val="17"/>
                <w:szCs w:val="17"/>
                <w:color w:val="auto"/>
              </w:rPr>
            </w:pPr>
          </w:p>
        </w:tc>
        <w:tc>
          <w:tcPr>
            <w:tcW w:w="8940" w:type="dxa"/>
            <w:vAlign w:val="bottom"/>
            <w:shd w:val="clear" w:color="auto" w:fill="D8ECF7"/>
          </w:tcPr>
          <w:p>
            <w:pPr>
              <w:ind w:left="580"/>
              <w:spacing w:after="0" w:line="202" w:lineRule="exact"/>
              <w:rPr>
                <w:sz w:val="20"/>
                <w:szCs w:val="20"/>
                <w:color w:val="auto"/>
              </w:rPr>
            </w:pPr>
            <w:r>
              <w:rPr>
                <w:rFonts w:ascii="Arial" w:cs="Arial" w:eastAsia="Arial" w:hAnsi="Arial"/>
                <w:sz w:val="18"/>
                <w:szCs w:val="18"/>
                <w:color w:val="auto"/>
              </w:rPr>
              <w:t>emissions across our global operations, reducing such emissions meaningfully from our 2019 base year</w:t>
            </w:r>
          </w:p>
        </w:tc>
      </w:tr>
      <w:tr>
        <w:trPr>
          <w:trHeight w:val="239"/>
        </w:trPr>
        <w:tc>
          <w:tcPr>
            <w:tcW w:w="2300" w:type="dxa"/>
            <w:vAlign w:val="bottom"/>
            <w:shd w:val="clear" w:color="auto" w:fill="D8ECF7"/>
          </w:tcPr>
          <w:p>
            <w:pPr>
              <w:spacing w:after="0"/>
              <w:rPr>
                <w:sz w:val="20"/>
                <w:szCs w:val="20"/>
                <w:color w:val="auto"/>
              </w:rPr>
            </w:pPr>
          </w:p>
        </w:tc>
        <w:tc>
          <w:tcPr>
            <w:tcW w:w="8940" w:type="dxa"/>
            <w:vAlign w:val="bottom"/>
            <w:shd w:val="clear" w:color="auto" w:fill="D8ECF7"/>
          </w:tcPr>
          <w:p>
            <w:pPr>
              <w:ind w:left="580"/>
              <w:spacing w:after="0"/>
              <w:rPr>
                <w:sz w:val="20"/>
                <w:szCs w:val="20"/>
                <w:color w:val="auto"/>
              </w:rPr>
            </w:pPr>
            <w:r>
              <w:rPr>
                <w:rFonts w:ascii="Arial" w:cs="Arial" w:eastAsia="Arial" w:hAnsi="Arial"/>
                <w:sz w:val="18"/>
                <w:szCs w:val="18"/>
                <w:color w:val="auto"/>
              </w:rPr>
              <w:t>through year-end 2022.</w:t>
            </w:r>
          </w:p>
        </w:tc>
      </w:tr>
      <w:tr>
        <w:trPr>
          <w:trHeight w:val="247"/>
        </w:trPr>
        <w:tc>
          <w:tcPr>
            <w:tcW w:w="2300" w:type="dxa"/>
            <w:vAlign w:val="bottom"/>
            <w:shd w:val="clear" w:color="auto" w:fill="D8ECF7"/>
          </w:tcPr>
          <w:p>
            <w:pPr>
              <w:spacing w:after="0"/>
              <w:rPr>
                <w:sz w:val="21"/>
                <w:szCs w:val="21"/>
                <w:color w:val="auto"/>
              </w:rPr>
            </w:pPr>
          </w:p>
        </w:tc>
        <w:tc>
          <w:tcPr>
            <w:tcW w:w="8940" w:type="dxa"/>
            <w:vAlign w:val="bottom"/>
            <w:shd w:val="clear" w:color="auto" w:fill="D8ECF7"/>
          </w:tcPr>
          <w:p>
            <w:pPr>
              <w:ind w:left="30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Working toward setting near-term science-based greenhouse gas reduction targets with the Science-</w:t>
            </w:r>
          </w:p>
        </w:tc>
      </w:tr>
      <w:tr>
        <w:trPr>
          <w:trHeight w:val="294"/>
        </w:trPr>
        <w:tc>
          <w:tcPr>
            <w:tcW w:w="2300" w:type="dxa"/>
            <w:vAlign w:val="bottom"/>
            <w:tcBorders>
              <w:bottom w:val="single" w:sz="8" w:color="D8ECF7"/>
            </w:tcBorders>
            <w:shd w:val="clear" w:color="auto" w:fill="D8ECF7"/>
          </w:tcPr>
          <w:p>
            <w:pPr>
              <w:spacing w:after="0"/>
              <w:rPr>
                <w:sz w:val="24"/>
                <w:szCs w:val="24"/>
                <w:color w:val="auto"/>
              </w:rPr>
            </w:pPr>
          </w:p>
        </w:tc>
        <w:tc>
          <w:tcPr>
            <w:tcW w:w="8940" w:type="dxa"/>
            <w:vAlign w:val="bottom"/>
            <w:tcBorders>
              <w:bottom w:val="single" w:sz="8" w:color="D8ECF7"/>
            </w:tcBorders>
            <w:shd w:val="clear" w:color="auto" w:fill="D8ECF7"/>
          </w:tcPr>
          <w:p>
            <w:pPr>
              <w:ind w:left="580"/>
              <w:spacing w:after="0"/>
              <w:rPr>
                <w:sz w:val="20"/>
                <w:szCs w:val="20"/>
                <w:color w:val="auto"/>
              </w:rPr>
            </w:pPr>
            <w:r>
              <w:rPr>
                <w:rFonts w:ascii="Arial" w:cs="Arial" w:eastAsia="Arial" w:hAnsi="Arial"/>
                <w:sz w:val="18"/>
                <w:szCs w:val="18"/>
                <w:color w:val="auto"/>
              </w:rPr>
              <w:t>Based Targets initiative.</w:t>
            </w:r>
          </w:p>
        </w:tc>
      </w:tr>
      <w:tr>
        <w:trPr>
          <w:trHeight w:val="438"/>
        </w:trPr>
        <w:tc>
          <w:tcPr>
            <w:tcW w:w="2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00A0DD"/>
              </w:rPr>
              <w:t>2023 NEO Performance</w:t>
            </w:r>
          </w:p>
        </w:tc>
        <w:tc>
          <w:tcPr>
            <w:tcW w:w="8940" w:type="dxa"/>
            <w:vAlign w:val="bottom"/>
            <w:tcBorders>
              <w:top w:val="single" w:sz="8" w:color="auto"/>
            </w:tcBorders>
          </w:tcPr>
          <w:p>
            <w:pPr>
              <w:spacing w:after="0"/>
              <w:rPr>
                <w:sz w:val="24"/>
                <w:szCs w:val="24"/>
                <w:color w:val="auto"/>
              </w:rPr>
            </w:pPr>
          </w:p>
        </w:tc>
      </w:tr>
    </w:tbl>
    <w:p>
      <w:pPr>
        <w:spacing w:after="0" w:line="172"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In evaluating the strategic operating performance goals and stakeholder and sustainability initiatives portions of the annual cash bonus, in February 2024, the CHC Committee also considered the contribution of each NEO toward our company’s overall achievement of, and progress toward, those goals, as well as each NEO’s overall management and leadership of our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040" w:type="dxa"/>
            <w:vAlign w:val="bottom"/>
            <w:tcBorders>
              <w:top w:val="single" w:sz="8" w:color="auto"/>
            </w:tcBorders>
            <w:shd w:val="clear" w:color="auto" w:fill="D8ECF7"/>
          </w:tcPr>
          <w:p>
            <w:pPr>
              <w:ind w:left="80"/>
              <w:spacing w:after="0"/>
              <w:rPr>
                <w:sz w:val="20"/>
                <w:szCs w:val="20"/>
                <w:color w:val="auto"/>
              </w:rPr>
            </w:pPr>
            <w:r>
              <w:rPr>
                <w:rFonts w:ascii="Arial" w:cs="Arial" w:eastAsia="Arial" w:hAnsi="Arial"/>
                <w:sz w:val="18"/>
                <w:szCs w:val="18"/>
                <w:b w:val="1"/>
                <w:bCs w:val="1"/>
                <w:color w:val="auto"/>
              </w:rPr>
              <w:t>Brian L. Roberts</w:t>
            </w:r>
          </w:p>
        </w:tc>
        <w:tc>
          <w:tcPr>
            <w:tcW w:w="9200" w:type="dxa"/>
            <w:vAlign w:val="bottom"/>
            <w:tcBorders>
              <w:top w:val="single" w:sz="8" w:color="auto"/>
            </w:tcBorders>
            <w:shd w:val="clear" w:color="auto" w:fill="D8ECF7"/>
          </w:tcPr>
          <w:p>
            <w:pPr>
              <w:ind w:left="560"/>
              <w:spacing w:after="0"/>
              <w:rPr>
                <w:sz w:val="20"/>
                <w:szCs w:val="20"/>
                <w:color w:val="auto"/>
              </w:rPr>
            </w:pPr>
            <w:r>
              <w:rPr>
                <w:rFonts w:ascii="Arial" w:cs="Arial" w:eastAsia="Arial" w:hAnsi="Arial"/>
                <w:sz w:val="18"/>
                <w:szCs w:val="18"/>
                <w:color w:val="auto"/>
              </w:rPr>
              <w:t>Mr. Roberts provided invaluable long-term vision and stability as he continued to lead the execution of our</w:t>
            </w:r>
          </w:p>
        </w:tc>
      </w:tr>
      <w:tr>
        <w:trPr>
          <w:trHeight w:val="203"/>
        </w:trPr>
        <w:tc>
          <w:tcPr>
            <w:tcW w:w="2040" w:type="dxa"/>
            <w:vAlign w:val="bottom"/>
            <w:shd w:val="clear" w:color="auto" w:fill="D8ECF7"/>
          </w:tcPr>
          <w:p>
            <w:pPr>
              <w:spacing w:after="0"/>
              <w:rPr>
                <w:sz w:val="17"/>
                <w:szCs w:val="17"/>
                <w:color w:val="auto"/>
              </w:rPr>
            </w:pPr>
          </w:p>
        </w:tc>
        <w:tc>
          <w:tcPr>
            <w:tcW w:w="9200" w:type="dxa"/>
            <w:vAlign w:val="bottom"/>
            <w:shd w:val="clear" w:color="auto" w:fill="D8ECF7"/>
          </w:tcPr>
          <w:p>
            <w:pPr>
              <w:ind w:left="560"/>
              <w:spacing w:after="0" w:line="202" w:lineRule="exact"/>
              <w:rPr>
                <w:sz w:val="20"/>
                <w:szCs w:val="20"/>
                <w:color w:val="auto"/>
              </w:rPr>
            </w:pPr>
            <w:r>
              <w:rPr>
                <w:rFonts w:ascii="Arial" w:cs="Arial" w:eastAsia="Arial" w:hAnsi="Arial"/>
                <w:sz w:val="18"/>
                <w:szCs w:val="18"/>
                <w:color w:val="auto"/>
              </w:rPr>
              <w:t>company’s strategy worldwide, especially in light of the headwinds of an uncertain macroeconomic</w:t>
            </w:r>
          </w:p>
        </w:tc>
      </w:tr>
      <w:tr>
        <w:trPr>
          <w:trHeight w:val="203"/>
        </w:trPr>
        <w:tc>
          <w:tcPr>
            <w:tcW w:w="2040" w:type="dxa"/>
            <w:vAlign w:val="bottom"/>
            <w:shd w:val="clear" w:color="auto" w:fill="D8ECF7"/>
          </w:tcPr>
          <w:p>
            <w:pPr>
              <w:spacing w:after="0"/>
              <w:rPr>
                <w:sz w:val="17"/>
                <w:szCs w:val="17"/>
                <w:color w:val="auto"/>
              </w:rPr>
            </w:pPr>
          </w:p>
        </w:tc>
        <w:tc>
          <w:tcPr>
            <w:tcW w:w="9200" w:type="dxa"/>
            <w:vAlign w:val="bottom"/>
            <w:shd w:val="clear" w:color="auto" w:fill="D8ECF7"/>
          </w:tcPr>
          <w:p>
            <w:pPr>
              <w:ind w:left="560"/>
              <w:spacing w:after="0" w:line="202" w:lineRule="exact"/>
              <w:rPr>
                <w:sz w:val="20"/>
                <w:szCs w:val="20"/>
                <w:color w:val="auto"/>
              </w:rPr>
            </w:pPr>
            <w:r>
              <w:rPr>
                <w:rFonts w:ascii="Arial" w:cs="Arial" w:eastAsia="Arial" w:hAnsi="Arial"/>
                <w:sz w:val="18"/>
                <w:szCs w:val="18"/>
                <w:color w:val="auto"/>
              </w:rPr>
              <w:t>environment and regulatory and competitive challenges. Mr. Roberts sets the tone for our businesses to</w:t>
            </w:r>
          </w:p>
        </w:tc>
      </w:tr>
      <w:tr>
        <w:trPr>
          <w:trHeight w:val="203"/>
        </w:trPr>
        <w:tc>
          <w:tcPr>
            <w:tcW w:w="2040" w:type="dxa"/>
            <w:vAlign w:val="bottom"/>
            <w:shd w:val="clear" w:color="auto" w:fill="D8ECF7"/>
          </w:tcPr>
          <w:p>
            <w:pPr>
              <w:spacing w:after="0"/>
              <w:rPr>
                <w:sz w:val="17"/>
                <w:szCs w:val="17"/>
                <w:color w:val="auto"/>
              </w:rPr>
            </w:pPr>
          </w:p>
        </w:tc>
        <w:tc>
          <w:tcPr>
            <w:tcW w:w="9200" w:type="dxa"/>
            <w:vAlign w:val="bottom"/>
            <w:shd w:val="clear" w:color="auto" w:fill="D8ECF7"/>
          </w:tcPr>
          <w:p>
            <w:pPr>
              <w:ind w:left="560"/>
              <w:spacing w:after="0" w:line="202" w:lineRule="exact"/>
              <w:rPr>
                <w:sz w:val="20"/>
                <w:szCs w:val="20"/>
                <w:color w:val="auto"/>
              </w:rPr>
            </w:pPr>
            <w:r>
              <w:rPr>
                <w:rFonts w:ascii="Arial" w:cs="Arial" w:eastAsia="Arial" w:hAnsi="Arial"/>
                <w:sz w:val="18"/>
                <w:szCs w:val="18"/>
                <w:color w:val="auto"/>
              </w:rPr>
              <w:t>execute at the highest level and to continue their strong collaboration. Mr. Roberts has thoughtfully</w:t>
            </w:r>
          </w:p>
        </w:tc>
      </w:tr>
      <w:tr>
        <w:trPr>
          <w:trHeight w:val="203"/>
        </w:trPr>
        <w:tc>
          <w:tcPr>
            <w:tcW w:w="2040" w:type="dxa"/>
            <w:vAlign w:val="bottom"/>
            <w:shd w:val="clear" w:color="auto" w:fill="D8ECF7"/>
          </w:tcPr>
          <w:p>
            <w:pPr>
              <w:spacing w:after="0"/>
              <w:rPr>
                <w:sz w:val="17"/>
                <w:szCs w:val="17"/>
                <w:color w:val="auto"/>
              </w:rPr>
            </w:pPr>
          </w:p>
        </w:tc>
        <w:tc>
          <w:tcPr>
            <w:tcW w:w="9200" w:type="dxa"/>
            <w:vAlign w:val="bottom"/>
            <w:shd w:val="clear" w:color="auto" w:fill="D8ECF7"/>
          </w:tcPr>
          <w:p>
            <w:pPr>
              <w:ind w:left="560"/>
              <w:spacing w:after="0" w:line="202" w:lineRule="exact"/>
              <w:rPr>
                <w:sz w:val="20"/>
                <w:szCs w:val="20"/>
                <w:color w:val="auto"/>
              </w:rPr>
            </w:pPr>
            <w:r>
              <w:rPr>
                <w:rFonts w:ascii="Arial" w:cs="Arial" w:eastAsia="Arial" w:hAnsi="Arial"/>
                <w:sz w:val="18"/>
                <w:szCs w:val="18"/>
                <w:color w:val="auto"/>
              </w:rPr>
              <w:t>developed key senior leadership talent to further take on company leadership roles, such as Mr. Cavanagh</w:t>
            </w:r>
          </w:p>
        </w:tc>
      </w:tr>
      <w:tr>
        <w:trPr>
          <w:trHeight w:val="203"/>
        </w:trPr>
        <w:tc>
          <w:tcPr>
            <w:tcW w:w="2040" w:type="dxa"/>
            <w:vAlign w:val="bottom"/>
            <w:shd w:val="clear" w:color="auto" w:fill="D8ECF7"/>
          </w:tcPr>
          <w:p>
            <w:pPr>
              <w:spacing w:after="0"/>
              <w:rPr>
                <w:sz w:val="17"/>
                <w:szCs w:val="17"/>
                <w:color w:val="auto"/>
              </w:rPr>
            </w:pPr>
          </w:p>
        </w:tc>
        <w:tc>
          <w:tcPr>
            <w:tcW w:w="9200" w:type="dxa"/>
            <w:vAlign w:val="bottom"/>
            <w:shd w:val="clear" w:color="auto" w:fill="D8ECF7"/>
          </w:tcPr>
          <w:p>
            <w:pPr>
              <w:ind w:left="560"/>
              <w:spacing w:after="0" w:line="202" w:lineRule="exact"/>
              <w:rPr>
                <w:sz w:val="20"/>
                <w:szCs w:val="20"/>
                <w:color w:val="auto"/>
              </w:rPr>
            </w:pPr>
            <w:r>
              <w:rPr>
                <w:rFonts w:ascii="Arial" w:cs="Arial" w:eastAsia="Arial" w:hAnsi="Arial"/>
                <w:sz w:val="18"/>
                <w:szCs w:val="18"/>
                <w:color w:val="auto"/>
              </w:rPr>
              <w:t>becoming President and Mr. Armstrong becoming CFO. He also has continued our company’s commitment</w:t>
            </w:r>
          </w:p>
        </w:tc>
      </w:tr>
      <w:tr>
        <w:trPr>
          <w:trHeight w:val="239"/>
        </w:trPr>
        <w:tc>
          <w:tcPr>
            <w:tcW w:w="2040" w:type="dxa"/>
            <w:vAlign w:val="bottom"/>
            <w:shd w:val="clear" w:color="auto" w:fill="D8ECF7"/>
          </w:tcPr>
          <w:p>
            <w:pPr>
              <w:spacing w:after="0"/>
              <w:rPr>
                <w:sz w:val="20"/>
                <w:szCs w:val="20"/>
                <w:color w:val="auto"/>
              </w:rPr>
            </w:pPr>
          </w:p>
        </w:tc>
        <w:tc>
          <w:tcPr>
            <w:tcW w:w="9200" w:type="dxa"/>
            <w:vAlign w:val="bottom"/>
            <w:shd w:val="clear" w:color="auto" w:fill="D8ECF7"/>
          </w:tcPr>
          <w:p>
            <w:pPr>
              <w:ind w:left="560"/>
              <w:spacing w:after="0"/>
              <w:rPr>
                <w:sz w:val="20"/>
                <w:szCs w:val="20"/>
                <w:color w:val="auto"/>
              </w:rPr>
            </w:pPr>
            <w:r>
              <w:rPr>
                <w:rFonts w:ascii="Arial" w:cs="Arial" w:eastAsia="Arial" w:hAnsi="Arial"/>
                <w:sz w:val="18"/>
                <w:szCs w:val="18"/>
                <w:color w:val="auto"/>
              </w:rPr>
              <w:t>to advancing digital equity, a culture of integrity and respect and environmental sustainability.</w:t>
            </w:r>
          </w:p>
        </w:tc>
      </w:tr>
      <w:tr>
        <w:trPr>
          <w:trHeight w:val="63"/>
        </w:trPr>
        <w:tc>
          <w:tcPr>
            <w:tcW w:w="2040" w:type="dxa"/>
            <w:vAlign w:val="bottom"/>
            <w:tcBorders>
              <w:bottom w:val="single" w:sz="8" w:color="DCDDDE"/>
            </w:tcBorders>
            <w:shd w:val="clear" w:color="auto" w:fill="D8ECF7"/>
          </w:tcPr>
          <w:p>
            <w:pPr>
              <w:spacing w:after="0"/>
              <w:rPr>
                <w:sz w:val="5"/>
                <w:szCs w:val="5"/>
                <w:color w:val="auto"/>
              </w:rPr>
            </w:pPr>
          </w:p>
        </w:tc>
        <w:tc>
          <w:tcPr>
            <w:tcW w:w="9200" w:type="dxa"/>
            <w:vAlign w:val="bottom"/>
            <w:tcBorders>
              <w:bottom w:val="single" w:sz="8" w:color="DCDDDE"/>
            </w:tcBorders>
            <w:shd w:val="clear" w:color="auto" w:fill="D8ECF7"/>
          </w:tcPr>
          <w:p>
            <w:pPr>
              <w:spacing w:after="0"/>
              <w:rPr>
                <w:sz w:val="5"/>
                <w:szCs w:val="5"/>
                <w:color w:val="auto"/>
              </w:rPr>
            </w:pPr>
          </w:p>
        </w:tc>
      </w:tr>
    </w:tbl>
    <w:p>
      <w:pPr>
        <w:spacing w:after="0" w:line="228" w:lineRule="exact"/>
        <w:rPr>
          <w:sz w:val="20"/>
          <w:szCs w:val="20"/>
          <w:color w:val="auto"/>
        </w:rPr>
      </w:pPr>
    </w:p>
    <w:p>
      <w:pPr>
        <w:ind w:left="360" w:hanging="352"/>
        <w:spacing w:after="0"/>
        <w:tabs>
          <w:tab w:leader="none" w:pos="360" w:val="left"/>
        </w:tabs>
        <w:numPr>
          <w:ilvl w:val="0"/>
          <w:numId w:val="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98"/>
              </w:rPr>
              <w:t>Table of Contents</w:t>
            </w:r>
          </w:p>
        </w:tc>
        <w:tc>
          <w:tcPr>
            <w:tcW w:w="880" w:type="dxa"/>
            <w:vAlign w:val="bottom"/>
          </w:tcPr>
          <w:p>
            <w:pPr>
              <w:spacing w:after="0"/>
              <w:rPr>
                <w:sz w:val="17"/>
                <w:szCs w:val="17"/>
                <w:color w:val="auto"/>
              </w:rPr>
            </w:pPr>
          </w:p>
        </w:tc>
        <w:tc>
          <w:tcPr>
            <w:tcW w:w="8840" w:type="dxa"/>
            <w:vAlign w:val="bottom"/>
          </w:tcPr>
          <w:p>
            <w:pPr>
              <w:spacing w:after="0"/>
              <w:rPr>
                <w:sz w:val="17"/>
                <w:szCs w:val="17"/>
                <w:color w:val="auto"/>
              </w:rPr>
            </w:pPr>
          </w:p>
        </w:tc>
      </w:tr>
      <w:tr>
        <w:trPr>
          <w:trHeight w:val="474"/>
        </w:trPr>
        <w:tc>
          <w:tcPr>
            <w:tcW w:w="2400" w:type="dxa"/>
            <w:vAlign w:val="bottom"/>
            <w:gridSpan w:val="2"/>
          </w:tcPr>
          <w:p>
            <w:pPr>
              <w:ind w:left="80"/>
              <w:spacing w:after="0"/>
              <w:rPr>
                <w:sz w:val="20"/>
                <w:szCs w:val="20"/>
                <w:color w:val="auto"/>
              </w:rPr>
            </w:pPr>
            <w:r>
              <w:rPr>
                <w:rFonts w:ascii="Arial" w:cs="Arial" w:eastAsia="Arial" w:hAnsi="Arial"/>
                <w:sz w:val="18"/>
                <w:szCs w:val="18"/>
                <w:b w:val="1"/>
                <w:bCs w:val="1"/>
                <w:color w:val="auto"/>
              </w:rPr>
              <w:t>Michael J. Cavanagh</w:t>
            </w:r>
          </w:p>
        </w:tc>
        <w:tc>
          <w:tcPr>
            <w:tcW w:w="8840" w:type="dxa"/>
            <w:vAlign w:val="bottom"/>
          </w:tcPr>
          <w:p>
            <w:pPr>
              <w:ind w:left="200"/>
              <w:spacing w:after="0"/>
              <w:rPr>
                <w:sz w:val="20"/>
                <w:szCs w:val="20"/>
                <w:color w:val="auto"/>
              </w:rPr>
            </w:pPr>
            <w:r>
              <w:rPr>
                <w:rFonts w:ascii="Arial" w:cs="Arial" w:eastAsia="Arial" w:hAnsi="Arial"/>
                <w:sz w:val="18"/>
                <w:szCs w:val="18"/>
                <w:color w:val="auto"/>
              </w:rPr>
              <w:t>Alongside Mr. Roberts, Mr. Cavanagh led the successful execution of key decisions on critical strategic and</w:t>
            </w:r>
          </w:p>
        </w:tc>
      </w:tr>
      <w:tr>
        <w:trPr>
          <w:trHeight w:val="203"/>
        </w:trPr>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operational initiatives across all of our businesses, including our decision to realign our operating</w:t>
            </w:r>
          </w:p>
        </w:tc>
      </w:tr>
      <w:tr>
        <w:trPr>
          <w:trHeight w:val="203"/>
        </w:trPr>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businesses into our Connectivity &amp; Platforms and Content &amp; Experiences businesses, to better reflect our</w:t>
            </w:r>
          </w:p>
        </w:tc>
      </w:tr>
      <w:tr>
        <w:trPr>
          <w:trHeight w:val="203"/>
        </w:trPr>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globally integrated company. He also provided strong leadership to NBCUniversal at a pivotal moment, and</w:t>
            </w:r>
          </w:p>
        </w:tc>
      </w:tr>
      <w:tr>
        <w:trPr>
          <w:trHeight w:val="203"/>
        </w:trPr>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as a result NBCUniversal demonstrated strong results in 2023 despite the Writers Guild of America and</w:t>
            </w:r>
          </w:p>
        </w:tc>
      </w:tr>
      <w:tr>
        <w:trPr>
          <w:trHeight w:val="203"/>
        </w:trPr>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SAG-AFTRA work stoppages. In particular, in 2023 NBCUniversal saw a significant increase in Peacock</w:t>
            </w:r>
          </w:p>
        </w:tc>
      </w:tr>
      <w:tr>
        <w:trPr>
          <w:trHeight w:val="203"/>
        </w:trPr>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paid subscribers and strong theme park performance and released three of the top five grossing films of the</w:t>
            </w:r>
          </w:p>
        </w:tc>
      </w:tr>
      <w:tr>
        <w:trPr>
          <w:trHeight w:val="239"/>
        </w:trPr>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year, with Universal being the #1 film studio at the worldwide box office.</w:t>
            </w:r>
          </w:p>
        </w:tc>
      </w:tr>
      <w:tr>
        <w:trPr>
          <w:trHeight w:val="50"/>
        </w:trPr>
        <w:tc>
          <w:tcPr>
            <w:tcW w:w="1520" w:type="dxa"/>
            <w:vAlign w:val="bottom"/>
            <w:tcBorders>
              <w:bottom w:val="single" w:sz="8" w:color="DCDDDE"/>
            </w:tcBorders>
          </w:tcPr>
          <w:p>
            <w:pPr>
              <w:spacing w:after="0"/>
              <w:rPr>
                <w:sz w:val="4"/>
                <w:szCs w:val="4"/>
                <w:color w:val="auto"/>
              </w:rPr>
            </w:pPr>
          </w:p>
        </w:tc>
        <w:tc>
          <w:tcPr>
            <w:tcW w:w="880" w:type="dxa"/>
            <w:vAlign w:val="bottom"/>
            <w:tcBorders>
              <w:bottom w:val="single" w:sz="8" w:color="DCDDDE"/>
            </w:tcBorders>
          </w:tcPr>
          <w:p>
            <w:pPr>
              <w:spacing w:after="0"/>
              <w:rPr>
                <w:sz w:val="4"/>
                <w:szCs w:val="4"/>
                <w:color w:val="auto"/>
              </w:rPr>
            </w:pPr>
          </w:p>
        </w:tc>
        <w:tc>
          <w:tcPr>
            <w:tcW w:w="8840" w:type="dxa"/>
            <w:vAlign w:val="bottom"/>
            <w:tcBorders>
              <w:bottom w:val="single" w:sz="8" w:color="DCDDDE"/>
            </w:tcBorders>
          </w:tcPr>
          <w:p>
            <w:pPr>
              <w:spacing w:after="0"/>
              <w:rPr>
                <w:sz w:val="4"/>
                <w:szCs w:val="4"/>
                <w:color w:val="auto"/>
              </w:rPr>
            </w:pPr>
          </w:p>
        </w:tc>
      </w:tr>
      <w:tr>
        <w:trPr>
          <w:trHeight w:val="245"/>
        </w:trPr>
        <w:tc>
          <w:tcPr>
            <w:tcW w:w="2400" w:type="dxa"/>
            <w:vAlign w:val="bottom"/>
            <w:gridSpan w:val="2"/>
            <w:shd w:val="clear" w:color="auto" w:fill="D8ECF7"/>
          </w:tcPr>
          <w:p>
            <w:pPr>
              <w:ind w:left="80"/>
              <w:spacing w:after="0"/>
              <w:rPr>
                <w:sz w:val="20"/>
                <w:szCs w:val="20"/>
                <w:color w:val="auto"/>
              </w:rPr>
            </w:pPr>
            <w:r>
              <w:rPr>
                <w:rFonts w:ascii="Arial" w:cs="Arial" w:eastAsia="Arial" w:hAnsi="Arial"/>
                <w:sz w:val="18"/>
                <w:szCs w:val="18"/>
                <w:b w:val="1"/>
                <w:bCs w:val="1"/>
                <w:color w:val="auto"/>
              </w:rPr>
              <w:t>Jason S. Armstrong</w:t>
            </w:r>
          </w:p>
        </w:tc>
        <w:tc>
          <w:tcPr>
            <w:tcW w:w="8840" w:type="dxa"/>
            <w:vAlign w:val="bottom"/>
            <w:shd w:val="clear" w:color="auto" w:fill="D8ECF7"/>
          </w:tcPr>
          <w:p>
            <w:pPr>
              <w:ind w:left="200"/>
              <w:spacing w:after="0"/>
              <w:rPr>
                <w:sz w:val="20"/>
                <w:szCs w:val="20"/>
                <w:color w:val="auto"/>
              </w:rPr>
            </w:pPr>
            <w:r>
              <w:rPr>
                <w:rFonts w:ascii="Arial" w:cs="Arial" w:eastAsia="Arial" w:hAnsi="Arial"/>
                <w:sz w:val="18"/>
                <w:szCs w:val="18"/>
                <w:color w:val="auto"/>
              </w:rPr>
              <w:t>In his first year as CFO, Mr. Armstrong provided strong leadership of our finance, accounting, tax, investor</w:t>
            </w:r>
          </w:p>
        </w:tc>
      </w:tr>
      <w:tr>
        <w:trPr>
          <w:trHeight w:val="203"/>
        </w:trPr>
        <w:tc>
          <w:tcPr>
            <w:tcW w:w="1520" w:type="dxa"/>
            <w:vAlign w:val="bottom"/>
            <w:shd w:val="clear" w:color="auto" w:fill="D8ECF7"/>
          </w:tcPr>
          <w:p>
            <w:pPr>
              <w:spacing w:after="0"/>
              <w:rPr>
                <w:sz w:val="17"/>
                <w:szCs w:val="17"/>
                <w:color w:val="auto"/>
              </w:rPr>
            </w:pPr>
          </w:p>
        </w:tc>
        <w:tc>
          <w:tcPr>
            <w:tcW w:w="880" w:type="dxa"/>
            <w:vAlign w:val="bottom"/>
            <w:shd w:val="clear" w:color="auto" w:fill="D8ECF7"/>
          </w:tcPr>
          <w:p>
            <w:pPr>
              <w:spacing w:after="0"/>
              <w:rPr>
                <w:sz w:val="17"/>
                <w:szCs w:val="17"/>
                <w:color w:val="auto"/>
              </w:rPr>
            </w:pPr>
          </w:p>
        </w:tc>
        <w:tc>
          <w:tcPr>
            <w:tcW w:w="8840" w:type="dxa"/>
            <w:vAlign w:val="bottom"/>
            <w:shd w:val="clear" w:color="auto" w:fill="D8ECF7"/>
          </w:tcPr>
          <w:p>
            <w:pPr>
              <w:ind w:left="200"/>
              <w:spacing w:after="0" w:line="202" w:lineRule="exact"/>
              <w:rPr>
                <w:sz w:val="20"/>
                <w:szCs w:val="20"/>
                <w:color w:val="auto"/>
              </w:rPr>
            </w:pPr>
            <w:r>
              <w:rPr>
                <w:rFonts w:ascii="Arial" w:cs="Arial" w:eastAsia="Arial" w:hAnsi="Arial"/>
                <w:sz w:val="18"/>
                <w:szCs w:val="18"/>
                <w:color w:val="auto"/>
              </w:rPr>
              <w:t>relations and treasury functions. In 2023, he led our overall long-range planning process, helping to ensure</w:t>
            </w:r>
          </w:p>
        </w:tc>
      </w:tr>
      <w:tr>
        <w:trPr>
          <w:trHeight w:val="203"/>
        </w:trPr>
        <w:tc>
          <w:tcPr>
            <w:tcW w:w="1520" w:type="dxa"/>
            <w:vAlign w:val="bottom"/>
            <w:shd w:val="clear" w:color="auto" w:fill="D8ECF7"/>
          </w:tcPr>
          <w:p>
            <w:pPr>
              <w:spacing w:after="0"/>
              <w:rPr>
                <w:sz w:val="17"/>
                <w:szCs w:val="17"/>
                <w:color w:val="auto"/>
              </w:rPr>
            </w:pPr>
          </w:p>
        </w:tc>
        <w:tc>
          <w:tcPr>
            <w:tcW w:w="880" w:type="dxa"/>
            <w:vAlign w:val="bottom"/>
            <w:shd w:val="clear" w:color="auto" w:fill="D8ECF7"/>
          </w:tcPr>
          <w:p>
            <w:pPr>
              <w:spacing w:after="0"/>
              <w:rPr>
                <w:sz w:val="17"/>
                <w:szCs w:val="17"/>
                <w:color w:val="auto"/>
              </w:rPr>
            </w:pPr>
          </w:p>
        </w:tc>
        <w:tc>
          <w:tcPr>
            <w:tcW w:w="8840" w:type="dxa"/>
            <w:vAlign w:val="bottom"/>
            <w:shd w:val="clear" w:color="auto" w:fill="D8ECF7"/>
          </w:tcPr>
          <w:p>
            <w:pPr>
              <w:ind w:left="200"/>
              <w:spacing w:after="0" w:line="202" w:lineRule="exact"/>
              <w:rPr>
                <w:sz w:val="20"/>
                <w:szCs w:val="20"/>
                <w:color w:val="auto"/>
              </w:rPr>
            </w:pPr>
            <w:r>
              <w:rPr>
                <w:rFonts w:ascii="Arial" w:cs="Arial" w:eastAsia="Arial" w:hAnsi="Arial"/>
                <w:sz w:val="18"/>
                <w:szCs w:val="18"/>
                <w:color w:val="auto"/>
              </w:rPr>
              <w:t>it supports our growth initiatives, and continued our company’s longstanding focus on capital allocation</w:t>
            </w:r>
          </w:p>
        </w:tc>
      </w:tr>
      <w:tr>
        <w:trPr>
          <w:trHeight w:val="203"/>
        </w:trPr>
        <w:tc>
          <w:tcPr>
            <w:tcW w:w="1520" w:type="dxa"/>
            <w:vAlign w:val="bottom"/>
            <w:shd w:val="clear" w:color="auto" w:fill="D8ECF7"/>
          </w:tcPr>
          <w:p>
            <w:pPr>
              <w:spacing w:after="0"/>
              <w:rPr>
                <w:sz w:val="17"/>
                <w:szCs w:val="17"/>
                <w:color w:val="auto"/>
              </w:rPr>
            </w:pPr>
          </w:p>
        </w:tc>
        <w:tc>
          <w:tcPr>
            <w:tcW w:w="880" w:type="dxa"/>
            <w:vAlign w:val="bottom"/>
            <w:shd w:val="clear" w:color="auto" w:fill="D8ECF7"/>
          </w:tcPr>
          <w:p>
            <w:pPr>
              <w:spacing w:after="0"/>
              <w:rPr>
                <w:sz w:val="17"/>
                <w:szCs w:val="17"/>
                <w:color w:val="auto"/>
              </w:rPr>
            </w:pPr>
          </w:p>
        </w:tc>
        <w:tc>
          <w:tcPr>
            <w:tcW w:w="8840" w:type="dxa"/>
            <w:vAlign w:val="bottom"/>
            <w:shd w:val="clear" w:color="auto" w:fill="D8ECF7"/>
          </w:tcPr>
          <w:p>
            <w:pPr>
              <w:ind w:left="200"/>
              <w:spacing w:after="0" w:line="202" w:lineRule="exact"/>
              <w:rPr>
                <w:sz w:val="20"/>
                <w:szCs w:val="20"/>
                <w:color w:val="auto"/>
              </w:rPr>
            </w:pPr>
            <w:r>
              <w:rPr>
                <w:rFonts w:ascii="Arial" w:cs="Arial" w:eastAsia="Arial" w:hAnsi="Arial"/>
                <w:sz w:val="18"/>
                <w:szCs w:val="18"/>
                <w:color w:val="auto"/>
              </w:rPr>
              <w:t>strategies, balance sheet strength and liquidity. He was also instrumental in effecting our financial reporting</w:t>
            </w:r>
          </w:p>
        </w:tc>
      </w:tr>
      <w:tr>
        <w:trPr>
          <w:trHeight w:val="203"/>
        </w:trPr>
        <w:tc>
          <w:tcPr>
            <w:tcW w:w="1520" w:type="dxa"/>
            <w:vAlign w:val="bottom"/>
            <w:shd w:val="clear" w:color="auto" w:fill="D8ECF7"/>
          </w:tcPr>
          <w:p>
            <w:pPr>
              <w:spacing w:after="0"/>
              <w:rPr>
                <w:sz w:val="17"/>
                <w:szCs w:val="17"/>
                <w:color w:val="auto"/>
              </w:rPr>
            </w:pPr>
          </w:p>
        </w:tc>
        <w:tc>
          <w:tcPr>
            <w:tcW w:w="880" w:type="dxa"/>
            <w:vAlign w:val="bottom"/>
            <w:shd w:val="clear" w:color="auto" w:fill="D8ECF7"/>
          </w:tcPr>
          <w:p>
            <w:pPr>
              <w:spacing w:after="0"/>
              <w:rPr>
                <w:sz w:val="17"/>
                <w:szCs w:val="17"/>
                <w:color w:val="auto"/>
              </w:rPr>
            </w:pPr>
          </w:p>
        </w:tc>
        <w:tc>
          <w:tcPr>
            <w:tcW w:w="8840" w:type="dxa"/>
            <w:vAlign w:val="bottom"/>
            <w:shd w:val="clear" w:color="auto" w:fill="D8ECF7"/>
          </w:tcPr>
          <w:p>
            <w:pPr>
              <w:ind w:left="200"/>
              <w:spacing w:after="0" w:line="202" w:lineRule="exact"/>
              <w:rPr>
                <w:sz w:val="20"/>
                <w:szCs w:val="20"/>
                <w:color w:val="auto"/>
              </w:rPr>
            </w:pPr>
            <w:r>
              <w:rPr>
                <w:rFonts w:ascii="Arial" w:cs="Arial" w:eastAsia="Arial" w:hAnsi="Arial"/>
                <w:sz w:val="18"/>
                <w:szCs w:val="18"/>
                <w:color w:val="auto"/>
              </w:rPr>
              <w:t>transition to the Connectivity &amp; Platforms and Content &amp; Experiences businesses. Under his leadership, we</w:t>
            </w:r>
          </w:p>
        </w:tc>
      </w:tr>
      <w:tr>
        <w:trPr>
          <w:trHeight w:val="203"/>
        </w:trPr>
        <w:tc>
          <w:tcPr>
            <w:tcW w:w="1520" w:type="dxa"/>
            <w:vAlign w:val="bottom"/>
            <w:shd w:val="clear" w:color="auto" w:fill="D8ECF7"/>
          </w:tcPr>
          <w:p>
            <w:pPr>
              <w:spacing w:after="0"/>
              <w:rPr>
                <w:sz w:val="17"/>
                <w:szCs w:val="17"/>
                <w:color w:val="auto"/>
              </w:rPr>
            </w:pPr>
          </w:p>
        </w:tc>
        <w:tc>
          <w:tcPr>
            <w:tcW w:w="880" w:type="dxa"/>
            <w:vAlign w:val="bottom"/>
            <w:shd w:val="clear" w:color="auto" w:fill="D8ECF7"/>
          </w:tcPr>
          <w:p>
            <w:pPr>
              <w:spacing w:after="0"/>
              <w:rPr>
                <w:sz w:val="17"/>
                <w:szCs w:val="17"/>
                <w:color w:val="auto"/>
              </w:rPr>
            </w:pPr>
          </w:p>
        </w:tc>
        <w:tc>
          <w:tcPr>
            <w:tcW w:w="8840" w:type="dxa"/>
            <w:vAlign w:val="bottom"/>
            <w:shd w:val="clear" w:color="auto" w:fill="D8ECF7"/>
          </w:tcPr>
          <w:p>
            <w:pPr>
              <w:ind w:left="200"/>
              <w:spacing w:after="0" w:line="202" w:lineRule="exact"/>
              <w:rPr>
                <w:sz w:val="20"/>
                <w:szCs w:val="20"/>
                <w:color w:val="auto"/>
              </w:rPr>
            </w:pPr>
            <w:r>
              <w:rPr>
                <w:rFonts w:ascii="Arial" w:cs="Arial" w:eastAsia="Arial" w:hAnsi="Arial"/>
                <w:sz w:val="18"/>
                <w:szCs w:val="18"/>
                <w:color w:val="auto"/>
              </w:rPr>
              <w:t>returned $15.8 billion to shareholders through a combination of dividends and our share repurchase</w:t>
            </w:r>
          </w:p>
        </w:tc>
      </w:tr>
      <w:tr>
        <w:trPr>
          <w:trHeight w:val="294"/>
        </w:trPr>
        <w:tc>
          <w:tcPr>
            <w:tcW w:w="1520" w:type="dxa"/>
            <w:vAlign w:val="bottom"/>
            <w:tcBorders>
              <w:bottom w:val="single" w:sz="8" w:color="D8ECF7"/>
            </w:tcBorders>
            <w:shd w:val="clear" w:color="auto" w:fill="D8ECF7"/>
          </w:tcPr>
          <w:p>
            <w:pPr>
              <w:spacing w:after="0"/>
              <w:rPr>
                <w:sz w:val="24"/>
                <w:szCs w:val="24"/>
                <w:color w:val="auto"/>
              </w:rPr>
            </w:pPr>
          </w:p>
        </w:tc>
        <w:tc>
          <w:tcPr>
            <w:tcW w:w="880" w:type="dxa"/>
            <w:vAlign w:val="bottom"/>
            <w:tcBorders>
              <w:bottom w:val="single" w:sz="8" w:color="D8ECF7"/>
            </w:tcBorders>
            <w:shd w:val="clear" w:color="auto" w:fill="D8ECF7"/>
          </w:tcPr>
          <w:p>
            <w:pPr>
              <w:spacing w:after="0"/>
              <w:rPr>
                <w:sz w:val="24"/>
                <w:szCs w:val="24"/>
                <w:color w:val="auto"/>
              </w:rPr>
            </w:pPr>
          </w:p>
        </w:tc>
        <w:tc>
          <w:tcPr>
            <w:tcW w:w="8840" w:type="dxa"/>
            <w:vAlign w:val="bottom"/>
            <w:tcBorders>
              <w:bottom w:val="single" w:sz="8" w:color="D8ECF7"/>
            </w:tcBorders>
            <w:shd w:val="clear" w:color="auto" w:fill="D8ECF7"/>
          </w:tcPr>
          <w:p>
            <w:pPr>
              <w:ind w:left="200"/>
              <w:spacing w:after="0"/>
              <w:rPr>
                <w:sz w:val="20"/>
                <w:szCs w:val="20"/>
                <w:color w:val="auto"/>
              </w:rPr>
            </w:pPr>
            <w:r>
              <w:rPr>
                <w:rFonts w:ascii="Arial" w:cs="Arial" w:eastAsia="Arial" w:hAnsi="Arial"/>
                <w:sz w:val="18"/>
                <w:szCs w:val="18"/>
                <w:color w:val="auto"/>
              </w:rPr>
              <w:t>program.</w:t>
            </w:r>
          </w:p>
        </w:tc>
      </w:tr>
      <w:tr>
        <w:trPr>
          <w:trHeight w:val="245"/>
        </w:trPr>
        <w:tc>
          <w:tcPr>
            <w:tcW w:w="2400" w:type="dxa"/>
            <w:vAlign w:val="bottom"/>
            <w:tcBorders>
              <w:top w:val="single" w:sz="8" w:color="DCDDDE"/>
            </w:tcBorders>
            <w:gridSpan w:val="2"/>
          </w:tcPr>
          <w:p>
            <w:pPr>
              <w:ind w:left="80"/>
              <w:spacing w:after="0"/>
              <w:rPr>
                <w:sz w:val="20"/>
                <w:szCs w:val="20"/>
                <w:color w:val="auto"/>
              </w:rPr>
            </w:pPr>
            <w:r>
              <w:rPr>
                <w:rFonts w:ascii="Arial" w:cs="Arial" w:eastAsia="Arial" w:hAnsi="Arial"/>
                <w:sz w:val="18"/>
                <w:szCs w:val="18"/>
                <w:b w:val="1"/>
                <w:bCs w:val="1"/>
                <w:color w:val="auto"/>
              </w:rPr>
              <w:t>Thomas J. Reid</w:t>
            </w:r>
          </w:p>
        </w:tc>
        <w:tc>
          <w:tcPr>
            <w:tcW w:w="8840" w:type="dxa"/>
            <w:vAlign w:val="bottom"/>
            <w:tcBorders>
              <w:top w:val="single" w:sz="8" w:color="DCDDDE"/>
            </w:tcBorders>
          </w:tcPr>
          <w:p>
            <w:pPr>
              <w:ind w:left="200"/>
              <w:spacing w:after="0"/>
              <w:rPr>
                <w:sz w:val="20"/>
                <w:szCs w:val="20"/>
                <w:color w:val="auto"/>
              </w:rPr>
            </w:pPr>
            <w:r>
              <w:rPr>
                <w:rFonts w:ascii="Arial" w:cs="Arial" w:eastAsia="Arial" w:hAnsi="Arial"/>
                <w:sz w:val="18"/>
                <w:szCs w:val="18"/>
                <w:color w:val="auto"/>
              </w:rPr>
              <w:t>Mr. Reid demonstrated strong leadership of our company’s global legal, regulatory and compliance</w:t>
            </w:r>
          </w:p>
        </w:tc>
      </w:tr>
      <w:tr>
        <w:trPr>
          <w:trHeight w:val="203"/>
        </w:trPr>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functions, providing expert counsel and sound judgment to our Board and senior management on a wide</w:t>
            </w:r>
          </w:p>
        </w:tc>
      </w:tr>
      <w:tr>
        <w:trPr>
          <w:trHeight w:val="202"/>
        </w:trPr>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variety of complex matters. Mr. Reid also provided valuable strategic leadership of our government and</w:t>
            </w:r>
          </w:p>
        </w:tc>
      </w:tr>
      <w:tr>
        <w:trPr>
          <w:trHeight w:val="203"/>
        </w:trPr>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regulatory affairs and political affairs functions, particularly in light of the increased regulation of business,</w:t>
            </w:r>
          </w:p>
        </w:tc>
      </w:tr>
      <w:tr>
        <w:trPr>
          <w:trHeight w:val="203"/>
        </w:trPr>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particularly the video and broadband industries. Under his leadership, we also undertook various initiatives</w:t>
            </w:r>
          </w:p>
        </w:tc>
      </w:tr>
      <w:tr>
        <w:trPr>
          <w:trHeight w:val="203"/>
        </w:trPr>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in connection with the implementation of the Infrastructure Investment and Jobs Act, which provides federal</w:t>
            </w:r>
          </w:p>
        </w:tc>
      </w:tr>
      <w:tr>
        <w:trPr>
          <w:trHeight w:val="203"/>
        </w:trPr>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subsidies for broadband deployment in unserved and underserved areas and broadband affordability</w:t>
            </w:r>
          </w:p>
        </w:tc>
      </w:tr>
      <w:tr>
        <w:trPr>
          <w:trHeight w:val="203"/>
        </w:trPr>
        <w:tc>
          <w:tcPr>
            <w:tcW w:w="1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40" w:type="dxa"/>
            <w:vAlign w:val="bottom"/>
          </w:tcPr>
          <w:p>
            <w:pPr>
              <w:ind w:left="200"/>
              <w:spacing w:after="0" w:line="202" w:lineRule="exact"/>
              <w:rPr>
                <w:sz w:val="20"/>
                <w:szCs w:val="20"/>
                <w:color w:val="auto"/>
              </w:rPr>
            </w:pPr>
            <w:r>
              <w:rPr>
                <w:rFonts w:ascii="Arial" w:cs="Arial" w:eastAsia="Arial" w:hAnsi="Arial"/>
                <w:sz w:val="18"/>
                <w:szCs w:val="18"/>
                <w:color w:val="auto"/>
              </w:rPr>
              <w:t>programs. He leads with, and continuously reinforces, his commitment to integrity, and he champions our</w:t>
            </w:r>
          </w:p>
        </w:tc>
      </w:tr>
      <w:tr>
        <w:trPr>
          <w:trHeight w:val="239"/>
        </w:trPr>
        <w:tc>
          <w:tcPr>
            <w:tcW w:w="1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digital equity and pro bono initiatives.</w:t>
            </w:r>
          </w:p>
        </w:tc>
      </w:tr>
      <w:tr>
        <w:trPr>
          <w:trHeight w:val="50"/>
        </w:trPr>
        <w:tc>
          <w:tcPr>
            <w:tcW w:w="1520" w:type="dxa"/>
            <w:vAlign w:val="bottom"/>
            <w:tcBorders>
              <w:bottom w:val="single" w:sz="8" w:color="DCDDDE"/>
            </w:tcBorders>
          </w:tcPr>
          <w:p>
            <w:pPr>
              <w:spacing w:after="0"/>
              <w:rPr>
                <w:sz w:val="4"/>
                <w:szCs w:val="4"/>
                <w:color w:val="auto"/>
              </w:rPr>
            </w:pPr>
          </w:p>
        </w:tc>
        <w:tc>
          <w:tcPr>
            <w:tcW w:w="880" w:type="dxa"/>
            <w:vAlign w:val="bottom"/>
            <w:tcBorders>
              <w:bottom w:val="single" w:sz="8" w:color="DCDDDE"/>
            </w:tcBorders>
          </w:tcPr>
          <w:p>
            <w:pPr>
              <w:spacing w:after="0"/>
              <w:rPr>
                <w:sz w:val="4"/>
                <w:szCs w:val="4"/>
                <w:color w:val="auto"/>
              </w:rPr>
            </w:pPr>
          </w:p>
        </w:tc>
        <w:tc>
          <w:tcPr>
            <w:tcW w:w="8840" w:type="dxa"/>
            <w:vAlign w:val="bottom"/>
            <w:tcBorders>
              <w:bottom w:val="single" w:sz="8" w:color="DCDDDE"/>
            </w:tcBorders>
          </w:tcPr>
          <w:p>
            <w:pPr>
              <w:spacing w:after="0"/>
              <w:rPr>
                <w:sz w:val="4"/>
                <w:szCs w:val="4"/>
                <w:color w:val="auto"/>
              </w:rPr>
            </w:pPr>
          </w:p>
        </w:tc>
      </w:tr>
      <w:tr>
        <w:trPr>
          <w:trHeight w:val="245"/>
        </w:trPr>
        <w:tc>
          <w:tcPr>
            <w:tcW w:w="2400" w:type="dxa"/>
            <w:vAlign w:val="bottom"/>
            <w:gridSpan w:val="2"/>
            <w:shd w:val="clear" w:color="auto" w:fill="D8ECF7"/>
          </w:tcPr>
          <w:p>
            <w:pPr>
              <w:ind w:left="80"/>
              <w:spacing w:after="0"/>
              <w:rPr>
                <w:sz w:val="20"/>
                <w:szCs w:val="20"/>
                <w:color w:val="auto"/>
              </w:rPr>
            </w:pPr>
            <w:r>
              <w:rPr>
                <w:rFonts w:ascii="Arial" w:cs="Arial" w:eastAsia="Arial" w:hAnsi="Arial"/>
                <w:sz w:val="18"/>
                <w:szCs w:val="18"/>
                <w:b w:val="1"/>
                <w:bCs w:val="1"/>
                <w:color w:val="auto"/>
              </w:rPr>
              <w:t>Jennifer Khoury</w:t>
            </w:r>
          </w:p>
        </w:tc>
        <w:tc>
          <w:tcPr>
            <w:tcW w:w="8840" w:type="dxa"/>
            <w:vAlign w:val="bottom"/>
            <w:shd w:val="clear" w:color="auto" w:fill="D8ECF7"/>
          </w:tcPr>
          <w:p>
            <w:pPr>
              <w:ind w:left="200"/>
              <w:spacing w:after="0"/>
              <w:rPr>
                <w:sz w:val="20"/>
                <w:szCs w:val="20"/>
                <w:color w:val="auto"/>
              </w:rPr>
            </w:pPr>
            <w:r>
              <w:rPr>
                <w:rFonts w:ascii="Arial" w:cs="Arial" w:eastAsia="Arial" w:hAnsi="Arial"/>
                <w:sz w:val="18"/>
                <w:szCs w:val="18"/>
                <w:color w:val="auto"/>
              </w:rPr>
              <w:t>Ms. Khoury provided critical leadership to our global communications and reputation and successfully</w:t>
            </w:r>
          </w:p>
        </w:tc>
      </w:tr>
      <w:tr>
        <w:trPr>
          <w:trHeight w:val="203"/>
        </w:trPr>
        <w:tc>
          <w:tcPr>
            <w:tcW w:w="1520" w:type="dxa"/>
            <w:vAlign w:val="bottom"/>
            <w:shd w:val="clear" w:color="auto" w:fill="D8ECF7"/>
          </w:tcPr>
          <w:p>
            <w:pPr>
              <w:spacing w:after="0"/>
              <w:rPr>
                <w:sz w:val="17"/>
                <w:szCs w:val="17"/>
                <w:color w:val="auto"/>
              </w:rPr>
            </w:pPr>
          </w:p>
        </w:tc>
        <w:tc>
          <w:tcPr>
            <w:tcW w:w="880" w:type="dxa"/>
            <w:vAlign w:val="bottom"/>
            <w:shd w:val="clear" w:color="auto" w:fill="D8ECF7"/>
          </w:tcPr>
          <w:p>
            <w:pPr>
              <w:spacing w:after="0"/>
              <w:rPr>
                <w:sz w:val="17"/>
                <w:szCs w:val="17"/>
                <w:color w:val="auto"/>
              </w:rPr>
            </w:pPr>
          </w:p>
        </w:tc>
        <w:tc>
          <w:tcPr>
            <w:tcW w:w="8840" w:type="dxa"/>
            <w:vAlign w:val="bottom"/>
            <w:shd w:val="clear" w:color="auto" w:fill="D8ECF7"/>
          </w:tcPr>
          <w:p>
            <w:pPr>
              <w:ind w:left="200"/>
              <w:spacing w:after="0" w:line="202" w:lineRule="exact"/>
              <w:rPr>
                <w:sz w:val="20"/>
                <w:szCs w:val="20"/>
                <w:color w:val="auto"/>
              </w:rPr>
            </w:pPr>
            <w:r>
              <w:rPr>
                <w:rFonts w:ascii="Arial" w:cs="Arial" w:eastAsia="Arial" w:hAnsi="Arial"/>
                <w:sz w:val="18"/>
                <w:szCs w:val="18"/>
                <w:color w:val="auto"/>
              </w:rPr>
              <w:t>oversaw corporate brand marketing and internal, external, financial, government and digital</w:t>
            </w:r>
          </w:p>
        </w:tc>
      </w:tr>
      <w:tr>
        <w:trPr>
          <w:trHeight w:val="203"/>
        </w:trPr>
        <w:tc>
          <w:tcPr>
            <w:tcW w:w="1520" w:type="dxa"/>
            <w:vAlign w:val="bottom"/>
            <w:shd w:val="clear" w:color="auto" w:fill="D8ECF7"/>
          </w:tcPr>
          <w:p>
            <w:pPr>
              <w:spacing w:after="0"/>
              <w:rPr>
                <w:sz w:val="17"/>
                <w:szCs w:val="17"/>
                <w:color w:val="auto"/>
              </w:rPr>
            </w:pPr>
          </w:p>
        </w:tc>
        <w:tc>
          <w:tcPr>
            <w:tcW w:w="880" w:type="dxa"/>
            <w:vAlign w:val="bottom"/>
            <w:shd w:val="clear" w:color="auto" w:fill="D8ECF7"/>
          </w:tcPr>
          <w:p>
            <w:pPr>
              <w:spacing w:after="0"/>
              <w:rPr>
                <w:sz w:val="17"/>
                <w:szCs w:val="17"/>
                <w:color w:val="auto"/>
              </w:rPr>
            </w:pPr>
          </w:p>
        </w:tc>
        <w:tc>
          <w:tcPr>
            <w:tcW w:w="8840" w:type="dxa"/>
            <w:vAlign w:val="bottom"/>
            <w:shd w:val="clear" w:color="auto" w:fill="D8ECF7"/>
          </w:tcPr>
          <w:p>
            <w:pPr>
              <w:ind w:left="200"/>
              <w:spacing w:after="0" w:line="202" w:lineRule="exact"/>
              <w:rPr>
                <w:sz w:val="20"/>
                <w:szCs w:val="20"/>
                <w:color w:val="auto"/>
              </w:rPr>
            </w:pPr>
            <w:r>
              <w:rPr>
                <w:rFonts w:ascii="Arial" w:cs="Arial" w:eastAsia="Arial" w:hAnsi="Arial"/>
                <w:sz w:val="18"/>
                <w:szCs w:val="18"/>
                <w:color w:val="auto"/>
              </w:rPr>
              <w:t>communications strategies for our company. Additionally, as the company navigated a complex and</w:t>
            </w:r>
          </w:p>
        </w:tc>
      </w:tr>
      <w:tr>
        <w:trPr>
          <w:trHeight w:val="203"/>
        </w:trPr>
        <w:tc>
          <w:tcPr>
            <w:tcW w:w="1520" w:type="dxa"/>
            <w:vAlign w:val="bottom"/>
            <w:shd w:val="clear" w:color="auto" w:fill="D8ECF7"/>
          </w:tcPr>
          <w:p>
            <w:pPr>
              <w:spacing w:after="0"/>
              <w:rPr>
                <w:sz w:val="17"/>
                <w:szCs w:val="17"/>
                <w:color w:val="auto"/>
              </w:rPr>
            </w:pPr>
          </w:p>
        </w:tc>
        <w:tc>
          <w:tcPr>
            <w:tcW w:w="880" w:type="dxa"/>
            <w:vAlign w:val="bottom"/>
            <w:shd w:val="clear" w:color="auto" w:fill="D8ECF7"/>
          </w:tcPr>
          <w:p>
            <w:pPr>
              <w:spacing w:after="0"/>
              <w:rPr>
                <w:sz w:val="17"/>
                <w:szCs w:val="17"/>
                <w:color w:val="auto"/>
              </w:rPr>
            </w:pPr>
          </w:p>
        </w:tc>
        <w:tc>
          <w:tcPr>
            <w:tcW w:w="8840" w:type="dxa"/>
            <w:vAlign w:val="bottom"/>
            <w:shd w:val="clear" w:color="auto" w:fill="D8ECF7"/>
          </w:tcPr>
          <w:p>
            <w:pPr>
              <w:ind w:left="200"/>
              <w:spacing w:after="0" w:line="202" w:lineRule="exact"/>
              <w:rPr>
                <w:sz w:val="20"/>
                <w:szCs w:val="20"/>
                <w:color w:val="auto"/>
              </w:rPr>
            </w:pPr>
            <w:r>
              <w:rPr>
                <w:rFonts w:ascii="Arial" w:cs="Arial" w:eastAsia="Arial" w:hAnsi="Arial"/>
                <w:sz w:val="18"/>
                <w:szCs w:val="18"/>
                <w:color w:val="auto"/>
              </w:rPr>
              <w:t>competitive landscape, Ms. Khoury served as a key advisor to our executive leadership team, contributing</w:t>
            </w:r>
          </w:p>
        </w:tc>
      </w:tr>
      <w:tr>
        <w:trPr>
          <w:trHeight w:val="203"/>
        </w:trPr>
        <w:tc>
          <w:tcPr>
            <w:tcW w:w="1520" w:type="dxa"/>
            <w:vAlign w:val="bottom"/>
            <w:shd w:val="clear" w:color="auto" w:fill="D8ECF7"/>
          </w:tcPr>
          <w:p>
            <w:pPr>
              <w:spacing w:after="0"/>
              <w:rPr>
                <w:sz w:val="17"/>
                <w:szCs w:val="17"/>
                <w:color w:val="auto"/>
              </w:rPr>
            </w:pPr>
          </w:p>
        </w:tc>
        <w:tc>
          <w:tcPr>
            <w:tcW w:w="880" w:type="dxa"/>
            <w:vAlign w:val="bottom"/>
            <w:shd w:val="clear" w:color="auto" w:fill="D8ECF7"/>
          </w:tcPr>
          <w:p>
            <w:pPr>
              <w:spacing w:after="0"/>
              <w:rPr>
                <w:sz w:val="17"/>
                <w:szCs w:val="17"/>
                <w:color w:val="auto"/>
              </w:rPr>
            </w:pPr>
          </w:p>
        </w:tc>
        <w:tc>
          <w:tcPr>
            <w:tcW w:w="8840" w:type="dxa"/>
            <w:vAlign w:val="bottom"/>
            <w:shd w:val="clear" w:color="auto" w:fill="D8ECF7"/>
          </w:tcPr>
          <w:p>
            <w:pPr>
              <w:ind w:left="200"/>
              <w:spacing w:after="0" w:line="202" w:lineRule="exact"/>
              <w:rPr>
                <w:sz w:val="20"/>
                <w:szCs w:val="20"/>
                <w:color w:val="auto"/>
              </w:rPr>
            </w:pPr>
            <w:r>
              <w:rPr>
                <w:rFonts w:ascii="Arial" w:cs="Arial" w:eastAsia="Arial" w:hAnsi="Arial"/>
                <w:sz w:val="18"/>
                <w:szCs w:val="18"/>
                <w:color w:val="auto"/>
              </w:rPr>
              <w:t>to the Connectivity &amp; Platforms and Content &amp; Experiences businesses. She was also instrumental in</w:t>
            </w:r>
          </w:p>
        </w:tc>
      </w:tr>
      <w:tr>
        <w:trPr>
          <w:trHeight w:val="203"/>
        </w:trPr>
        <w:tc>
          <w:tcPr>
            <w:tcW w:w="1520" w:type="dxa"/>
            <w:vAlign w:val="bottom"/>
            <w:shd w:val="clear" w:color="auto" w:fill="D8ECF7"/>
          </w:tcPr>
          <w:p>
            <w:pPr>
              <w:spacing w:after="0"/>
              <w:rPr>
                <w:sz w:val="17"/>
                <w:szCs w:val="17"/>
                <w:color w:val="auto"/>
              </w:rPr>
            </w:pPr>
          </w:p>
        </w:tc>
        <w:tc>
          <w:tcPr>
            <w:tcW w:w="880" w:type="dxa"/>
            <w:vAlign w:val="bottom"/>
            <w:shd w:val="clear" w:color="auto" w:fill="D8ECF7"/>
          </w:tcPr>
          <w:p>
            <w:pPr>
              <w:spacing w:after="0"/>
              <w:rPr>
                <w:sz w:val="17"/>
                <w:szCs w:val="17"/>
                <w:color w:val="auto"/>
              </w:rPr>
            </w:pPr>
          </w:p>
        </w:tc>
        <w:tc>
          <w:tcPr>
            <w:tcW w:w="8840" w:type="dxa"/>
            <w:vAlign w:val="bottom"/>
            <w:shd w:val="clear" w:color="auto" w:fill="D8ECF7"/>
          </w:tcPr>
          <w:p>
            <w:pPr>
              <w:ind w:left="200"/>
              <w:spacing w:after="0" w:line="202" w:lineRule="exact"/>
              <w:rPr>
                <w:sz w:val="20"/>
                <w:szCs w:val="20"/>
                <w:color w:val="auto"/>
              </w:rPr>
            </w:pPr>
            <w:r>
              <w:rPr>
                <w:rFonts w:ascii="Arial" w:cs="Arial" w:eastAsia="Arial" w:hAnsi="Arial"/>
                <w:sz w:val="18"/>
                <w:szCs w:val="18"/>
                <w:color w:val="auto"/>
              </w:rPr>
              <w:t>driving communications for our impact initiatives, including digital equity through Project UP and</w:t>
            </w:r>
          </w:p>
        </w:tc>
      </w:tr>
      <w:tr>
        <w:trPr>
          <w:trHeight w:val="294"/>
        </w:trPr>
        <w:tc>
          <w:tcPr>
            <w:tcW w:w="1520" w:type="dxa"/>
            <w:vAlign w:val="bottom"/>
            <w:tcBorders>
              <w:bottom w:val="single" w:sz="8" w:color="D8ECF7"/>
            </w:tcBorders>
            <w:shd w:val="clear" w:color="auto" w:fill="D8ECF7"/>
          </w:tcPr>
          <w:p>
            <w:pPr>
              <w:spacing w:after="0"/>
              <w:rPr>
                <w:sz w:val="24"/>
                <w:szCs w:val="24"/>
                <w:color w:val="auto"/>
              </w:rPr>
            </w:pPr>
          </w:p>
        </w:tc>
        <w:tc>
          <w:tcPr>
            <w:tcW w:w="880" w:type="dxa"/>
            <w:vAlign w:val="bottom"/>
            <w:tcBorders>
              <w:bottom w:val="single" w:sz="8" w:color="D8ECF7"/>
            </w:tcBorders>
            <w:shd w:val="clear" w:color="auto" w:fill="D8ECF7"/>
          </w:tcPr>
          <w:p>
            <w:pPr>
              <w:spacing w:after="0"/>
              <w:rPr>
                <w:sz w:val="24"/>
                <w:szCs w:val="24"/>
                <w:color w:val="auto"/>
              </w:rPr>
            </w:pPr>
          </w:p>
        </w:tc>
        <w:tc>
          <w:tcPr>
            <w:tcW w:w="8840" w:type="dxa"/>
            <w:vAlign w:val="bottom"/>
            <w:tcBorders>
              <w:bottom w:val="single" w:sz="8" w:color="D8ECF7"/>
            </w:tcBorders>
            <w:shd w:val="clear" w:color="auto" w:fill="D8ECF7"/>
          </w:tcPr>
          <w:p>
            <w:pPr>
              <w:ind w:left="200"/>
              <w:spacing w:after="0"/>
              <w:rPr>
                <w:sz w:val="20"/>
                <w:szCs w:val="20"/>
                <w:color w:val="auto"/>
              </w:rPr>
            </w:pPr>
            <w:r>
              <w:rPr>
                <w:rFonts w:ascii="Arial" w:cs="Arial" w:eastAsia="Arial" w:hAnsi="Arial"/>
                <w:sz w:val="18"/>
                <w:szCs w:val="18"/>
                <w:color w:val="auto"/>
              </w:rPr>
              <w:t>environmental sustainability.</w:t>
            </w:r>
          </w:p>
        </w:tc>
      </w:tr>
      <w:tr>
        <w:trPr>
          <w:trHeight w:val="437"/>
        </w:trPr>
        <w:tc>
          <w:tcPr>
            <w:tcW w:w="24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00A0DD"/>
              </w:rPr>
              <w:t>2023 Bonus Achievement</w:t>
            </w:r>
          </w:p>
        </w:tc>
        <w:tc>
          <w:tcPr>
            <w:tcW w:w="8840" w:type="dxa"/>
            <w:vAlign w:val="bottom"/>
            <w:tcBorders>
              <w:top w:val="single" w:sz="8" w:color="auto"/>
            </w:tcBorders>
          </w:tcPr>
          <w:p>
            <w:pPr>
              <w:spacing w:after="0"/>
              <w:rPr>
                <w:sz w:val="24"/>
                <w:szCs w:val="24"/>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Based on our strong 2023 performance, bonus achievements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8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ROBERTS</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CAVANAGH</w:t>
            </w:r>
          </w:p>
        </w:tc>
        <w:tc>
          <w:tcPr>
            <w:tcW w:w="14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ARMSTRONG</w:t>
            </w:r>
            <w:r>
              <w:rPr>
                <w:rFonts w:ascii="Arial" w:cs="Arial" w:eastAsia="Arial" w:hAnsi="Arial"/>
                <w:sz w:val="25"/>
                <w:szCs w:val="25"/>
                <w:b w:val="1"/>
                <w:bCs w:val="1"/>
                <w:color w:val="auto"/>
                <w:vertAlign w:val="superscript"/>
              </w:rPr>
              <w:t>(1)</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REID</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KHOURY</w:t>
            </w:r>
          </w:p>
        </w:tc>
      </w:tr>
      <w:tr>
        <w:trPr>
          <w:trHeight w:val="210"/>
        </w:trPr>
        <w:tc>
          <w:tcPr>
            <w:tcW w:w="38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Total Paid (% of Target)</w:t>
            </w:r>
          </w:p>
        </w:tc>
        <w:tc>
          <w:tcPr>
            <w:tcW w:w="296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114%</w:t>
            </w:r>
          </w:p>
        </w:tc>
        <w:tc>
          <w:tcPr>
            <w:tcW w:w="106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114%</w:t>
            </w:r>
          </w:p>
        </w:tc>
        <w:tc>
          <w:tcPr>
            <w:tcW w:w="142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114%</w:t>
            </w:r>
          </w:p>
        </w:tc>
        <w:tc>
          <w:tcPr>
            <w:tcW w:w="98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114%</w:t>
            </w:r>
          </w:p>
        </w:tc>
        <w:tc>
          <w:tcPr>
            <w:tcW w:w="96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114%</w:t>
            </w:r>
          </w:p>
        </w:tc>
      </w:tr>
      <w:tr>
        <w:trPr>
          <w:trHeight w:val="209"/>
        </w:trPr>
        <w:tc>
          <w:tcPr>
            <w:tcW w:w="38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Total Cash Bonus Paid</w:t>
            </w:r>
          </w:p>
        </w:tc>
        <w:tc>
          <w:tcPr>
            <w:tcW w:w="2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$8,550,000</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$8,426,353</w:t>
            </w:r>
          </w:p>
        </w:tc>
        <w:tc>
          <w:tcPr>
            <w:tcW w:w="14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$4,528,767</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$4,104,182</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$2,555,135</w:t>
            </w:r>
          </w:p>
        </w:tc>
      </w:tr>
    </w:tbl>
    <w:p>
      <w:pPr>
        <w:ind w:left="320" w:hanging="312"/>
        <w:spacing w:after="0" w:line="220" w:lineRule="auto"/>
        <w:tabs>
          <w:tab w:leader="none" w:pos="320" w:val="left"/>
        </w:tabs>
        <w:numPr>
          <w:ilvl w:val="0"/>
          <w:numId w:val="72"/>
        </w:numPr>
        <w:rPr>
          <w:rFonts w:ascii="Arial" w:cs="Arial" w:eastAsia="Arial" w:hAnsi="Arial"/>
          <w:sz w:val="25"/>
          <w:szCs w:val="25"/>
          <w:color w:val="auto"/>
          <w:vertAlign w:val="superscript"/>
        </w:rPr>
      </w:pPr>
      <w:r>
        <w:rPr>
          <w:rFonts w:ascii="Arial" w:cs="Arial" w:eastAsia="Arial" w:hAnsi="Arial"/>
          <w:sz w:val="15"/>
          <w:szCs w:val="15"/>
          <w:color w:val="auto"/>
        </w:rPr>
        <w:t>Bonus was based on an annual base salary of $2 million in effect for 2024.</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00A0DD"/>
        </w:rPr>
        <w:t>Equity-Based Incentive Compensation</w:t>
      </w:r>
    </w:p>
    <w:p>
      <w:pPr>
        <w:spacing w:after="0" w:line="21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CHC Committee believes that the structure of our equity-based compensation program reinforces our performance culture and incents long-term shareholder value creation. Consistent with historical practice, our 2023 equity compensation program for NEOs consisted of a mix of both PSU awards (60%) and stock options (40%). The CHC Committee has determined that our 2024 annual equity compensation program for NEOs will consist of a mix of 75% PSUs and 25% stock options, to better align our equity compensation program with prevailing market practice. The table below reflects the key features of our annual equity compensation program for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34</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98"/>
              </w:rPr>
              <w:t>Table of Contents</w:t>
            </w:r>
          </w:p>
        </w:tc>
        <w:tc>
          <w:tcPr>
            <w:tcW w:w="94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2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KEY FEATURES</w:t>
            </w:r>
          </w:p>
        </w:tc>
        <w:tc>
          <w:tcPr>
            <w:tcW w:w="87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2023 EQUITY COMPENSATION PROGRAM</w:t>
            </w:r>
          </w:p>
        </w:tc>
        <w:tc>
          <w:tcPr>
            <w:tcW w:w="0" w:type="dxa"/>
            <w:vAlign w:val="bottom"/>
          </w:tcPr>
          <w:p>
            <w:pPr>
              <w:spacing w:after="0"/>
              <w:rPr>
                <w:sz w:val="1"/>
                <w:szCs w:val="1"/>
                <w:color w:val="auto"/>
              </w:rPr>
            </w:pPr>
          </w:p>
        </w:tc>
      </w:tr>
      <w:tr>
        <w:trPr>
          <w:trHeight w:val="245"/>
        </w:trPr>
        <w:tc>
          <w:tcPr>
            <w:tcW w:w="2460" w:type="dxa"/>
            <w:vAlign w:val="bottom"/>
            <w:gridSpan w:val="2"/>
          </w:tcPr>
          <w:p>
            <w:pPr>
              <w:ind w:left="80"/>
              <w:spacing w:after="0"/>
              <w:rPr>
                <w:sz w:val="20"/>
                <w:szCs w:val="20"/>
                <w:color w:val="auto"/>
              </w:rPr>
            </w:pPr>
            <w:r>
              <w:rPr>
                <w:rFonts w:ascii="Arial" w:cs="Arial" w:eastAsia="Arial" w:hAnsi="Arial"/>
                <w:sz w:val="18"/>
                <w:szCs w:val="18"/>
                <w:b w:val="1"/>
                <w:bCs w:val="1"/>
                <w:color w:val="auto"/>
              </w:rPr>
              <w:t>PSUs</w:t>
            </w:r>
          </w:p>
        </w:tc>
        <w:tc>
          <w:tcPr>
            <w:tcW w:w="8780" w:type="dxa"/>
            <w:vAlign w:val="bottom"/>
          </w:tcPr>
          <w:p>
            <w:pPr>
              <w:ind w:left="1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Three-year cumulative performance period, with all performance goals measured over the three-</w:t>
            </w:r>
          </w:p>
        </w:tc>
        <w:tc>
          <w:tcPr>
            <w:tcW w:w="0" w:type="dxa"/>
            <w:vAlign w:val="bottom"/>
          </w:tcPr>
          <w:p>
            <w:pPr>
              <w:spacing w:after="0"/>
              <w:rPr>
                <w:sz w:val="1"/>
                <w:szCs w:val="1"/>
                <w:color w:val="auto"/>
              </w:rPr>
            </w:pPr>
          </w:p>
        </w:tc>
      </w:tr>
      <w:tr>
        <w:trPr>
          <w:trHeight w:val="203"/>
        </w:trPr>
        <w:tc>
          <w:tcPr>
            <w:tcW w:w="24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(approximately 60% of long-</w:t>
            </w:r>
          </w:p>
        </w:tc>
        <w:tc>
          <w:tcPr>
            <w:tcW w:w="8780" w:type="dxa"/>
            <w:vAlign w:val="bottom"/>
          </w:tcPr>
          <w:p>
            <w:pPr>
              <w:ind w:left="420"/>
              <w:spacing w:after="0" w:line="202" w:lineRule="exact"/>
              <w:rPr>
                <w:sz w:val="20"/>
                <w:szCs w:val="20"/>
                <w:color w:val="auto"/>
              </w:rPr>
            </w:pPr>
            <w:r>
              <w:rPr>
                <w:rFonts w:ascii="Arial" w:cs="Arial" w:eastAsia="Arial" w:hAnsi="Arial"/>
                <w:sz w:val="18"/>
                <w:szCs w:val="18"/>
                <w:color w:val="auto"/>
              </w:rPr>
              <w:t>year period.</w:t>
            </w:r>
          </w:p>
        </w:tc>
        <w:tc>
          <w:tcPr>
            <w:tcW w:w="0" w:type="dxa"/>
            <w:vAlign w:val="bottom"/>
          </w:tcPr>
          <w:p>
            <w:pPr>
              <w:spacing w:after="0"/>
              <w:rPr>
                <w:sz w:val="1"/>
                <w:szCs w:val="1"/>
                <w:color w:val="auto"/>
              </w:rPr>
            </w:pPr>
          </w:p>
        </w:tc>
      </w:tr>
      <w:tr>
        <w:trPr>
          <w:trHeight w:val="239"/>
        </w:trPr>
        <w:tc>
          <w:tcPr>
            <w:tcW w:w="2460" w:type="dxa"/>
            <w:vAlign w:val="bottom"/>
            <w:gridSpan w:val="2"/>
          </w:tcPr>
          <w:p>
            <w:pPr>
              <w:ind w:left="80"/>
              <w:spacing w:after="0"/>
              <w:rPr>
                <w:sz w:val="20"/>
                <w:szCs w:val="20"/>
                <w:color w:val="auto"/>
              </w:rPr>
            </w:pPr>
            <w:r>
              <w:rPr>
                <w:rFonts w:ascii="Arial" w:cs="Arial" w:eastAsia="Arial" w:hAnsi="Arial"/>
                <w:sz w:val="18"/>
                <w:szCs w:val="18"/>
                <w:color w:val="auto"/>
              </w:rPr>
              <w:t>term equity incentive award)</w:t>
            </w:r>
          </w:p>
        </w:tc>
        <w:tc>
          <w:tcPr>
            <w:tcW w:w="8780" w:type="dxa"/>
            <w:vAlign w:val="bottom"/>
            <w:vMerge w:val="restart"/>
          </w:tcPr>
          <w:p>
            <w:pPr>
              <w:ind w:left="1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Cliff-vests based on payout levels three years following grant.</w:t>
            </w: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1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780" w:type="dxa"/>
            <w:vAlign w:val="bottom"/>
          </w:tcPr>
          <w:p>
            <w:pPr>
              <w:ind w:left="1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PSUs earned based on achievement of two primary performance metrics, each weighted 50%:</w:t>
            </w:r>
          </w:p>
        </w:tc>
        <w:tc>
          <w:tcPr>
            <w:tcW w:w="0" w:type="dxa"/>
            <w:vAlign w:val="bottom"/>
          </w:tcPr>
          <w:p>
            <w:pPr>
              <w:spacing w:after="0"/>
              <w:rPr>
                <w:sz w:val="1"/>
                <w:szCs w:val="1"/>
                <w:color w:val="auto"/>
              </w:rPr>
            </w:pPr>
          </w:p>
        </w:tc>
      </w:tr>
      <w:tr>
        <w:trPr>
          <w:trHeight w:val="239"/>
        </w:trPr>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(1) absolute ROIC and (2) relative Adjusted EPS growth compared to the S&amp;P100.</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1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Attainment of primary performance metrics is subject to a relative TSR modifier compared to the S&amp;P</w:t>
            </w:r>
          </w:p>
        </w:tc>
        <w:tc>
          <w:tcPr>
            <w:tcW w:w="0" w:type="dxa"/>
            <w:vAlign w:val="bottom"/>
          </w:tcPr>
          <w:p>
            <w:pPr>
              <w:spacing w:after="0"/>
              <w:rPr>
                <w:sz w:val="1"/>
                <w:szCs w:val="1"/>
                <w:color w:val="auto"/>
              </w:rPr>
            </w:pPr>
          </w:p>
        </w:tc>
      </w:tr>
      <w:tr>
        <w:trPr>
          <w:trHeight w:val="239"/>
        </w:trPr>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100, with no positive modifier applied if TSR is negative over the performance period.</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1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Potential payout of up to 250% of target, which rewards for outperformance against rigorous goals and</w:t>
            </w:r>
          </w:p>
        </w:tc>
        <w:tc>
          <w:tcPr>
            <w:tcW w:w="0" w:type="dxa"/>
            <w:vAlign w:val="bottom"/>
          </w:tcPr>
          <w:p>
            <w:pPr>
              <w:spacing w:after="0"/>
              <w:rPr>
                <w:sz w:val="1"/>
                <w:szCs w:val="1"/>
                <w:color w:val="auto"/>
              </w:rPr>
            </w:pPr>
          </w:p>
        </w:tc>
      </w:tr>
      <w:tr>
        <w:trPr>
          <w:trHeight w:val="239"/>
        </w:trPr>
        <w:tc>
          <w:tcPr>
            <w:tcW w:w="1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significant returns to our investors.</w:t>
            </w:r>
          </w:p>
        </w:tc>
        <w:tc>
          <w:tcPr>
            <w:tcW w:w="0" w:type="dxa"/>
            <w:vAlign w:val="bottom"/>
          </w:tcPr>
          <w:p>
            <w:pPr>
              <w:spacing w:after="0"/>
              <w:rPr>
                <w:sz w:val="1"/>
                <w:szCs w:val="1"/>
                <w:color w:val="auto"/>
              </w:rPr>
            </w:pPr>
          </w:p>
        </w:tc>
      </w:tr>
      <w:tr>
        <w:trPr>
          <w:trHeight w:val="63"/>
        </w:trPr>
        <w:tc>
          <w:tcPr>
            <w:tcW w:w="1520" w:type="dxa"/>
            <w:vAlign w:val="bottom"/>
            <w:tcBorders>
              <w:bottom w:val="single" w:sz="8" w:color="DCDDDE"/>
            </w:tcBorders>
          </w:tcPr>
          <w:p>
            <w:pPr>
              <w:spacing w:after="0"/>
              <w:rPr>
                <w:sz w:val="5"/>
                <w:szCs w:val="5"/>
                <w:color w:val="auto"/>
              </w:rPr>
            </w:pPr>
          </w:p>
        </w:tc>
        <w:tc>
          <w:tcPr>
            <w:tcW w:w="940" w:type="dxa"/>
            <w:vAlign w:val="bottom"/>
            <w:tcBorders>
              <w:bottom w:val="single" w:sz="8" w:color="DCDDDE"/>
            </w:tcBorders>
          </w:tcPr>
          <w:p>
            <w:pPr>
              <w:spacing w:after="0"/>
              <w:rPr>
                <w:sz w:val="5"/>
                <w:szCs w:val="5"/>
                <w:color w:val="auto"/>
              </w:rPr>
            </w:pPr>
          </w:p>
        </w:tc>
        <w:tc>
          <w:tcPr>
            <w:tcW w:w="8780" w:type="dxa"/>
            <w:vAlign w:val="bottom"/>
            <w:tcBorders>
              <w:bottom w:val="single" w:sz="8" w:color="DCDDDE"/>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460" w:type="dxa"/>
            <w:vAlign w:val="bottom"/>
            <w:gridSpan w:val="2"/>
          </w:tcPr>
          <w:p>
            <w:pPr>
              <w:ind w:left="80"/>
              <w:spacing w:after="0"/>
              <w:rPr>
                <w:sz w:val="20"/>
                <w:szCs w:val="20"/>
                <w:color w:val="auto"/>
              </w:rPr>
            </w:pPr>
            <w:r>
              <w:rPr>
                <w:rFonts w:ascii="Arial" w:cs="Arial" w:eastAsia="Arial" w:hAnsi="Arial"/>
                <w:sz w:val="18"/>
                <w:szCs w:val="18"/>
                <w:b w:val="1"/>
                <w:bCs w:val="1"/>
                <w:color w:val="auto"/>
              </w:rPr>
              <w:t>Stock Options</w:t>
            </w:r>
          </w:p>
        </w:tc>
        <w:tc>
          <w:tcPr>
            <w:tcW w:w="8780" w:type="dxa"/>
            <w:vAlign w:val="bottom"/>
          </w:tcPr>
          <w:p>
            <w:pPr>
              <w:ind w:left="14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Stock options vest ratably over a five-year period to reinforce a long-term focus.</w:t>
            </w:r>
          </w:p>
        </w:tc>
        <w:tc>
          <w:tcPr>
            <w:tcW w:w="0" w:type="dxa"/>
            <w:vAlign w:val="bottom"/>
          </w:tcPr>
          <w:p>
            <w:pPr>
              <w:spacing w:after="0"/>
              <w:rPr>
                <w:sz w:val="1"/>
                <w:szCs w:val="1"/>
                <w:color w:val="auto"/>
              </w:rPr>
            </w:pPr>
          </w:p>
        </w:tc>
      </w:tr>
      <w:tr>
        <w:trPr>
          <w:trHeight w:val="203"/>
        </w:trPr>
        <w:tc>
          <w:tcPr>
            <w:tcW w:w="24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(approximately 40% of long-</w:t>
            </w:r>
          </w:p>
        </w:tc>
        <w:tc>
          <w:tcPr>
            <w:tcW w:w="8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460" w:type="dxa"/>
            <w:vAlign w:val="bottom"/>
            <w:gridSpan w:val="2"/>
          </w:tcPr>
          <w:p>
            <w:pPr>
              <w:ind w:left="80"/>
              <w:spacing w:after="0"/>
              <w:rPr>
                <w:sz w:val="20"/>
                <w:szCs w:val="20"/>
                <w:color w:val="auto"/>
              </w:rPr>
            </w:pPr>
            <w:r>
              <w:rPr>
                <w:rFonts w:ascii="Arial" w:cs="Arial" w:eastAsia="Arial" w:hAnsi="Arial"/>
                <w:sz w:val="18"/>
                <w:szCs w:val="18"/>
                <w:color w:val="auto"/>
              </w:rPr>
              <w:t>term equity incentive award)</w:t>
            </w:r>
          </w:p>
        </w:tc>
        <w:tc>
          <w:tcPr>
            <w:tcW w:w="8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15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We believe that our PSU structure ties a meaningful portion of each NEO’s compensation to our long-term financial performance and closely aligns the interests of our NEOs with shareholders, with the ROIC and relative Adjusted EPS growth metrics serving as meaningful inputs to value creation and the relative TSR modifier providing an output measure of value creation. The combination of these performance metrics, together with the financial metrics (revenue, Adjusted EBITDA and Free Cash Flow), operating performance goals and the evaluation of stakeholder and sustainability initiatives under our annual cash bonus program, provide company-specific performance goals that are directly linked with our NEOs’ management of our company, while also satisfying shareholder return expectations.</w:t>
      </w:r>
    </w:p>
    <w:p>
      <w:pPr>
        <w:spacing w:after="0" w:line="179"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In determining the total value of equity-based compensation, the CHC Committee considers, among other things, the overall performance mix of an NEO’s total direct compensation and the value of awards made to other executives, as well as the value of equity-based compensation awarded to comparable NEOs at our peer companies.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PSUs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2023 PSU Awards</w:t>
      </w:r>
    </w:p>
    <w:p>
      <w:pPr>
        <w:spacing w:after="0" w:line="212" w:lineRule="exact"/>
        <w:rPr>
          <w:sz w:val="20"/>
          <w:szCs w:val="20"/>
          <w:color w:val="auto"/>
        </w:rPr>
      </w:pPr>
    </w:p>
    <w:p>
      <w:pPr>
        <w:ind w:right="700"/>
        <w:spacing w:after="0" w:line="271" w:lineRule="auto"/>
        <w:rPr>
          <w:sz w:val="20"/>
          <w:szCs w:val="20"/>
          <w:color w:val="auto"/>
        </w:rPr>
      </w:pPr>
      <w:r>
        <w:rPr>
          <w:rFonts w:ascii="Arial" w:cs="Arial" w:eastAsia="Arial" w:hAnsi="Arial"/>
          <w:sz w:val="18"/>
          <w:szCs w:val="18"/>
          <w:color w:val="auto"/>
        </w:rPr>
        <w:t>PSUs granted in 2023 have two equally weighted primary performance metrics that are each measured over a cumulative three-year performance period beginning January 1 in the year of grant:</w:t>
      </w:r>
    </w:p>
    <w:p>
      <w:pPr>
        <w:spacing w:after="0" w:line="154" w:lineRule="exact"/>
        <w:rPr>
          <w:sz w:val="20"/>
          <w:szCs w:val="20"/>
          <w:color w:val="auto"/>
        </w:rPr>
      </w:pPr>
    </w:p>
    <w:p>
      <w:pPr>
        <w:ind w:left="260" w:right="760" w:hanging="252"/>
        <w:spacing w:after="0" w:line="271" w:lineRule="auto"/>
        <w:tabs>
          <w:tab w:leader="none" w:pos="260" w:val="left"/>
        </w:tabs>
        <w:numPr>
          <w:ilvl w:val="0"/>
          <w:numId w:val="73"/>
        </w:numPr>
        <w:rPr>
          <w:rFonts w:ascii="Arial" w:cs="Arial" w:eastAsia="Arial" w:hAnsi="Arial"/>
          <w:sz w:val="17"/>
          <w:szCs w:val="17"/>
          <w:color w:val="00A0DD"/>
        </w:rPr>
      </w:pPr>
      <w:r>
        <w:rPr>
          <w:rFonts w:ascii="Arial" w:cs="Arial" w:eastAsia="Arial" w:hAnsi="Arial"/>
          <w:sz w:val="18"/>
          <w:szCs w:val="18"/>
          <w:b w:val="1"/>
          <w:bCs w:val="1"/>
          <w:color w:val="00A0DD"/>
        </w:rPr>
        <w:t xml:space="preserve">ROIC: </w:t>
      </w:r>
      <w:r>
        <w:rPr>
          <w:rFonts w:ascii="Arial" w:cs="Arial" w:eastAsia="Arial" w:hAnsi="Arial"/>
          <w:sz w:val="18"/>
          <w:szCs w:val="18"/>
          <w:color w:val="000000"/>
        </w:rPr>
        <w:t>measured on an absolute basis for each year during the three-year period and averaged to yield an average ROIC for the</w:t>
      </w:r>
      <w:r>
        <w:rPr>
          <w:rFonts w:ascii="Arial" w:cs="Arial" w:eastAsia="Arial" w:hAnsi="Arial"/>
          <w:sz w:val="18"/>
          <w:szCs w:val="18"/>
          <w:b w:val="1"/>
          <w:bCs w:val="1"/>
          <w:color w:val="00A0DD"/>
        </w:rPr>
        <w:t xml:space="preserve"> </w:t>
      </w:r>
      <w:r>
        <w:rPr>
          <w:rFonts w:ascii="Arial" w:cs="Arial" w:eastAsia="Arial" w:hAnsi="Arial"/>
          <w:sz w:val="18"/>
          <w:szCs w:val="18"/>
          <w:color w:val="000000"/>
        </w:rPr>
        <w:t>cumulative three-year period.</w:t>
      </w:r>
    </w:p>
    <w:p>
      <w:pPr>
        <w:spacing w:after="0" w:line="5" w:lineRule="exact"/>
        <w:rPr>
          <w:rFonts w:ascii="Arial" w:cs="Arial" w:eastAsia="Arial" w:hAnsi="Arial"/>
          <w:sz w:val="17"/>
          <w:szCs w:val="17"/>
          <w:color w:val="00A0DD"/>
        </w:rPr>
      </w:pPr>
    </w:p>
    <w:p>
      <w:pPr>
        <w:ind w:left="260" w:right="400" w:hanging="252"/>
        <w:spacing w:after="0" w:line="271" w:lineRule="auto"/>
        <w:tabs>
          <w:tab w:leader="none" w:pos="260" w:val="left"/>
        </w:tabs>
        <w:numPr>
          <w:ilvl w:val="0"/>
          <w:numId w:val="73"/>
        </w:numPr>
        <w:rPr>
          <w:rFonts w:ascii="Arial" w:cs="Arial" w:eastAsia="Arial" w:hAnsi="Arial"/>
          <w:sz w:val="17"/>
          <w:szCs w:val="17"/>
          <w:color w:val="00A0DD"/>
        </w:rPr>
      </w:pPr>
      <w:r>
        <w:rPr>
          <w:rFonts w:ascii="Arial" w:cs="Arial" w:eastAsia="Arial" w:hAnsi="Arial"/>
          <w:sz w:val="18"/>
          <w:szCs w:val="18"/>
          <w:b w:val="1"/>
          <w:bCs w:val="1"/>
          <w:color w:val="00A0DD"/>
        </w:rPr>
        <w:t xml:space="preserve">Relative Adjusted EPS Growth: </w:t>
      </w:r>
      <w:r>
        <w:rPr>
          <w:rFonts w:ascii="Arial" w:cs="Arial" w:eastAsia="Arial" w:hAnsi="Arial"/>
          <w:sz w:val="18"/>
          <w:szCs w:val="18"/>
          <w:color w:val="000000"/>
        </w:rPr>
        <w:t>compound annual growth rate measured on a relative basis at the end of the cumulative three-year</w:t>
      </w:r>
      <w:r>
        <w:rPr>
          <w:rFonts w:ascii="Arial" w:cs="Arial" w:eastAsia="Arial" w:hAnsi="Arial"/>
          <w:sz w:val="18"/>
          <w:szCs w:val="18"/>
          <w:b w:val="1"/>
          <w:bCs w:val="1"/>
          <w:color w:val="00A0DD"/>
        </w:rPr>
        <w:t xml:space="preserve"> </w:t>
      </w:r>
      <w:r>
        <w:rPr>
          <w:rFonts w:ascii="Arial" w:cs="Arial" w:eastAsia="Arial" w:hAnsi="Arial"/>
          <w:sz w:val="18"/>
          <w:szCs w:val="18"/>
          <w:color w:val="000000"/>
        </w:rPr>
        <w:t>performance period against the companies comprising the S&amp;P 100 Index.</w:t>
      </w:r>
    </w:p>
    <w:p>
      <w:pPr>
        <w:spacing w:after="0" w:line="154" w:lineRule="exact"/>
        <w:rPr>
          <w:sz w:val="20"/>
          <w:szCs w:val="20"/>
          <w:color w:val="auto"/>
        </w:rPr>
      </w:pPr>
    </w:p>
    <w:p>
      <w:pPr>
        <w:ind w:right="220"/>
        <w:spacing w:after="0" w:line="218" w:lineRule="auto"/>
        <w:rPr>
          <w:sz w:val="20"/>
          <w:szCs w:val="20"/>
          <w:color w:val="auto"/>
        </w:rPr>
      </w:pPr>
      <w:r>
        <w:rPr>
          <w:rFonts w:ascii="Arial" w:cs="Arial" w:eastAsia="Arial" w:hAnsi="Arial"/>
          <w:sz w:val="18"/>
          <w:szCs w:val="18"/>
          <w:color w:val="auto"/>
        </w:rPr>
        <w:t>The ultimate payout of the PSUs will then be subject to a relative TSR performance modifier of +/- 25% based on the percentile ranking of our TSR over the three-year performance period relative to that of the companies comprising the S&amp;P 100 Index (“Relative TSR Modifier”). The Relative TSR Modifier is -25% if our TSR ranking is at or below the 25th percentile. The Relative TSR Modifier is +25% if our TSR ranking is at or above the 75th percentile. The Relative TSR Modifier applies on an interpolated basis for performance between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w:t>
      </w:r>
    </w:p>
    <w:p>
      <w:pPr>
        <w:spacing w:after="0" w:line="2" w:lineRule="exact"/>
        <w:rPr>
          <w:sz w:val="20"/>
          <w:szCs w:val="20"/>
          <w:color w:val="auto"/>
        </w:rPr>
      </w:pPr>
    </w:p>
    <w:p>
      <w:pPr>
        <w:ind w:right="240"/>
        <w:spacing w:after="0" w:line="218" w:lineRule="auto"/>
        <w:rPr>
          <w:sz w:val="20"/>
          <w:szCs w:val="20"/>
          <w:color w:val="auto"/>
        </w:rPr>
      </w:pPr>
      <w:r>
        <w:rPr>
          <w:rFonts w:ascii="Arial" w:cs="Arial" w:eastAsia="Arial" w:hAnsi="Arial"/>
          <w:sz w:val="18"/>
          <w:szCs w:val="18"/>
          <w:color w:val="auto"/>
        </w:rPr>
        <w:t>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percentiles. We also apply an “absolute TSR cap” such that no positive modifier will be applied if absolute TSR is negative over the performance period (regardless of our relative TSR performance) to better align our NEO’s pay outcomes with shareholders’ returns. We believe this modifier more directly links our equity compensation program to shareholder returns by rewarding our executives for sustained market out performance, as well as regulating payouts for underperformance, even if financial metrics are achieved at or above target.</w:t>
      </w:r>
    </w:p>
    <w:p>
      <w:pPr>
        <w:spacing w:after="0" w:line="18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maximum payout under the PSU awards is 250% of target (inclusive of the TSR modifier), which provides additional incentive for out performance and is in recognition of the fact that a significant portion of our NEOs’ compensation is delivered in the form of at-risk PSU awards, the value of which may only be realized by our NEOs upon achievement of financial and shareholder return performance measures over a three-year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Earned PSUs will cliff-vest on the third anniversary of the date of grant, generally subject to continued employment through such date.</w:t>
      </w:r>
    </w:p>
    <w:p>
      <w:pPr>
        <w:spacing w:after="0" w:line="216" w:lineRule="exact"/>
        <w:rPr>
          <w:sz w:val="20"/>
          <w:szCs w:val="20"/>
          <w:color w:val="auto"/>
        </w:rPr>
      </w:pPr>
    </w:p>
    <w:p>
      <w:pPr>
        <w:ind w:left="360" w:hanging="352"/>
        <w:spacing w:after="0"/>
        <w:tabs>
          <w:tab w:leader="none" w:pos="360" w:val="left"/>
        </w:tabs>
        <w:numPr>
          <w:ilvl w:val="0"/>
          <w:numId w:val="7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Target PSU values that the CHC Committee approved for 2023 PSUs are set forth below. These values are lower than the accounting values required to be set forth in the Summary Compensation Table as a result of certain assumptions and valuation methodologies required under applicable accounting standards.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60" w:type="dxa"/>
            <w:vAlign w:val="bottom"/>
          </w:tcPr>
          <w:p>
            <w:pPr>
              <w:spacing w:after="0"/>
              <w:rPr>
                <w:sz w:val="14"/>
                <w:szCs w:val="14"/>
                <w:color w:val="auto"/>
              </w:rPr>
            </w:pPr>
          </w:p>
        </w:tc>
        <w:tc>
          <w:tcPr>
            <w:tcW w:w="5480" w:type="dxa"/>
            <w:vAlign w:val="bottom"/>
          </w:tcPr>
          <w:p>
            <w:pPr>
              <w:jc w:val="right"/>
              <w:ind w:right="4"/>
              <w:spacing w:after="0"/>
              <w:rPr>
                <w:sz w:val="20"/>
                <w:szCs w:val="20"/>
                <w:color w:val="auto"/>
              </w:rPr>
            </w:pPr>
            <w:r>
              <w:rPr>
                <w:rFonts w:ascii="Arial" w:cs="Arial" w:eastAsia="Arial" w:hAnsi="Arial"/>
                <w:sz w:val="15"/>
                <w:szCs w:val="15"/>
                <w:b w:val="1"/>
                <w:bCs w:val="1"/>
                <w:color w:val="auto"/>
              </w:rPr>
              <w:t>PSUs</w:t>
            </w:r>
          </w:p>
        </w:tc>
      </w:tr>
      <w:tr>
        <w:trPr>
          <w:trHeight w:val="208"/>
        </w:trPr>
        <w:tc>
          <w:tcPr>
            <w:tcW w:w="57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NAME</w:t>
            </w:r>
          </w:p>
        </w:tc>
        <w:tc>
          <w:tcPr>
            <w:tcW w:w="5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r>
      <w:tr>
        <w:trPr>
          <w:trHeight w:val="209"/>
        </w:trPr>
        <w:tc>
          <w:tcPr>
            <w:tcW w:w="57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Mr. Roberts</w:t>
            </w:r>
          </w:p>
        </w:tc>
        <w:tc>
          <w:tcPr>
            <w:tcW w:w="54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13,800,000</w:t>
            </w:r>
          </w:p>
        </w:tc>
      </w:tr>
      <w:tr>
        <w:trPr>
          <w:trHeight w:val="209"/>
        </w:trPr>
        <w:tc>
          <w:tcPr>
            <w:tcW w:w="57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Mr. Cavanagh</w:t>
            </w:r>
          </w:p>
        </w:tc>
        <w:tc>
          <w:tcPr>
            <w:tcW w:w="54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10,500,000</w:t>
            </w:r>
          </w:p>
        </w:tc>
      </w:tr>
      <w:tr>
        <w:trPr>
          <w:trHeight w:val="210"/>
        </w:trPr>
        <w:tc>
          <w:tcPr>
            <w:tcW w:w="57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Mr. Armstrong</w:t>
            </w:r>
          </w:p>
        </w:tc>
        <w:tc>
          <w:tcPr>
            <w:tcW w:w="54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3,000,000</w:t>
            </w:r>
          </w:p>
        </w:tc>
      </w:tr>
      <w:tr>
        <w:trPr>
          <w:trHeight w:val="209"/>
        </w:trPr>
        <w:tc>
          <w:tcPr>
            <w:tcW w:w="576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Mr. Reid</w:t>
            </w:r>
          </w:p>
        </w:tc>
        <w:tc>
          <w:tcPr>
            <w:tcW w:w="548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3,000,000</w:t>
            </w:r>
          </w:p>
        </w:tc>
      </w:tr>
      <w:tr>
        <w:trPr>
          <w:trHeight w:val="210"/>
        </w:trPr>
        <w:tc>
          <w:tcPr>
            <w:tcW w:w="57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Ms. Khoury</w:t>
            </w:r>
          </w:p>
        </w:tc>
        <w:tc>
          <w:tcPr>
            <w:tcW w:w="54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900,000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PSUs granted in 2023, see “Grants of Plan-Based Awards” table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Prior PSU Award Vestings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three-year performance period for PSUs granted to Messrs. Roberts, Cavanagh and Reid in 2021 concluded on December 31, 2023.</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achieved resulted in a total payout of 131% of the target number of PSUs.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80" w:type="dxa"/>
            <w:vAlign w:val="bottom"/>
          </w:tcPr>
          <w:p>
            <w:pPr>
              <w:ind w:left="960"/>
              <w:spacing w:after="0"/>
              <w:rPr>
                <w:sz w:val="20"/>
                <w:szCs w:val="20"/>
                <w:color w:val="auto"/>
              </w:rPr>
            </w:pPr>
            <w:r>
              <w:rPr>
                <w:rFonts w:ascii="Arial" w:cs="Arial" w:eastAsia="Arial" w:hAnsi="Arial"/>
                <w:sz w:val="15"/>
                <w:szCs w:val="15"/>
                <w:b w:val="1"/>
                <w:bCs w:val="1"/>
                <w:color w:val="auto"/>
              </w:rPr>
              <w:t>PERFORMANCE METRIC</w:t>
            </w:r>
          </w:p>
        </w:tc>
        <w:tc>
          <w:tcPr>
            <w:tcW w:w="7560" w:type="dxa"/>
            <w:vAlign w:val="bottom"/>
            <w:tcBorders>
              <w:bottom w:val="single" w:sz="8" w:color="auto"/>
            </w:tcBorders>
            <w:gridSpan w:val="2"/>
          </w:tcPr>
          <w:p>
            <w:pPr>
              <w:ind w:left="2460"/>
              <w:spacing w:after="0"/>
              <w:rPr>
                <w:sz w:val="20"/>
                <w:szCs w:val="20"/>
                <w:color w:val="auto"/>
              </w:rPr>
            </w:pPr>
            <w:r>
              <w:rPr>
                <w:rFonts w:ascii="Arial" w:cs="Arial" w:eastAsia="Arial" w:hAnsi="Arial"/>
                <w:sz w:val="15"/>
                <w:szCs w:val="15"/>
                <w:b w:val="1"/>
                <w:bCs w:val="1"/>
                <w:color w:val="auto"/>
              </w:rPr>
              <w:t>PERFORMANCE PERIOD: 2021-2023</w:t>
            </w:r>
          </w:p>
        </w:tc>
      </w:tr>
      <w:tr>
        <w:trPr>
          <w:trHeight w:val="209"/>
        </w:trPr>
        <w:tc>
          <w:tcPr>
            <w:tcW w:w="36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rPr>
              <w:t>Actual Achievement</w:t>
            </w:r>
          </w:p>
        </w:tc>
        <w:tc>
          <w:tcPr>
            <w:tcW w:w="378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b w:val="1"/>
                <w:bCs w:val="1"/>
                <w:color w:val="auto"/>
              </w:rPr>
              <w:t>Payout (% of Target)</w:t>
            </w:r>
          </w:p>
        </w:tc>
      </w:tr>
      <w:tr>
        <w:trPr>
          <w:trHeight w:val="209"/>
        </w:trPr>
        <w:tc>
          <w:tcPr>
            <w:tcW w:w="368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ROIC (50%)</w:t>
            </w:r>
          </w:p>
        </w:tc>
        <w:tc>
          <w:tcPr>
            <w:tcW w:w="3780" w:type="dxa"/>
            <w:vAlign w:val="bottom"/>
            <w:tcBorders>
              <w:bottom w:val="single" w:sz="8" w:color="DCDDDE"/>
            </w:tcBorders>
          </w:tcPr>
          <w:p>
            <w:pPr>
              <w:jc w:val="center"/>
              <w:ind w:right="24"/>
              <w:spacing w:after="0"/>
              <w:rPr>
                <w:sz w:val="20"/>
                <w:szCs w:val="20"/>
                <w:color w:val="auto"/>
              </w:rPr>
            </w:pPr>
            <w:r>
              <w:rPr>
                <w:rFonts w:ascii="Arial" w:cs="Arial" w:eastAsia="Arial" w:hAnsi="Arial"/>
                <w:sz w:val="15"/>
                <w:szCs w:val="15"/>
                <w:color w:val="auto"/>
              </w:rPr>
              <w:t>10.7%</w:t>
            </w:r>
          </w:p>
        </w:tc>
        <w:tc>
          <w:tcPr>
            <w:tcW w:w="3780" w:type="dxa"/>
            <w:vAlign w:val="bottom"/>
            <w:tcBorders>
              <w:bottom w:val="single" w:sz="8" w:color="DCDDDE"/>
            </w:tcBorders>
          </w:tcPr>
          <w:p>
            <w:pPr>
              <w:jc w:val="center"/>
              <w:ind w:left="24"/>
              <w:spacing w:after="0"/>
              <w:rPr>
                <w:sz w:val="20"/>
                <w:szCs w:val="20"/>
                <w:color w:val="auto"/>
              </w:rPr>
            </w:pPr>
            <w:r>
              <w:rPr>
                <w:rFonts w:ascii="Arial" w:cs="Arial" w:eastAsia="Arial" w:hAnsi="Arial"/>
                <w:sz w:val="15"/>
                <w:szCs w:val="15"/>
                <w:color w:val="auto"/>
              </w:rPr>
              <w:t>200%</w:t>
            </w:r>
          </w:p>
        </w:tc>
      </w:tr>
      <w:tr>
        <w:trPr>
          <w:trHeight w:val="210"/>
        </w:trPr>
        <w:tc>
          <w:tcPr>
            <w:tcW w:w="368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Relative Adjusted EPS Growth (50%)</w:t>
            </w:r>
          </w:p>
        </w:tc>
        <w:tc>
          <w:tcPr>
            <w:tcW w:w="378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rPr>
              <w:t>62nd percentile</w:t>
            </w:r>
          </w:p>
        </w:tc>
        <w:tc>
          <w:tcPr>
            <w:tcW w:w="3780" w:type="dxa"/>
            <w:vAlign w:val="bottom"/>
            <w:tcBorders>
              <w:bottom w:val="single" w:sz="8" w:color="auto"/>
            </w:tcBorders>
          </w:tcPr>
          <w:p>
            <w:pPr>
              <w:jc w:val="center"/>
              <w:ind w:left="24"/>
              <w:spacing w:after="0"/>
              <w:rPr>
                <w:sz w:val="20"/>
                <w:szCs w:val="20"/>
                <w:color w:val="auto"/>
              </w:rPr>
            </w:pPr>
            <w:r>
              <w:rPr>
                <w:rFonts w:ascii="Arial" w:cs="Arial" w:eastAsia="Arial" w:hAnsi="Arial"/>
                <w:sz w:val="15"/>
                <w:szCs w:val="15"/>
                <w:color w:val="auto"/>
              </w:rPr>
              <w:t>148%</w:t>
            </w:r>
          </w:p>
        </w:tc>
      </w:tr>
    </w:tbl>
    <w:p>
      <w:pPr>
        <w:spacing w:after="0" w:line="19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The combined PSU payout percentage was 174% based on the above levels of ROIC and Relative EPS Growth achievement. The Relative TSR Modifier, which was -25%, was then applied based on the percentile ranking of our TSR of 15th percentile during the three-year performance period relative to that of the S&amp;P 100 Index. Details about the ROIC potential payout ranges are not disclosed due to competitive concerns.</w:t>
      </w:r>
    </w:p>
    <w:p>
      <w:pPr>
        <w:spacing w:after="0" w:line="17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Mr. Armstrong and Ms. Khoury were not awarded PSUs in prior years when they were not NEOs, and as such, only had time-based vesting of previously granted RSUs in 2023. We do not grant any time-based RSUs to our current NEOs.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Stock Options</w:t>
      </w:r>
    </w:p>
    <w:p>
      <w:pPr>
        <w:spacing w:after="0" w:line="205"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Approximately 40% of the target value of our NEOs’ 2023 equity awards was in the form of stock options, which vest 20% on each of the first five anniversaries of the grant date. While the stock options granted to our NEOs do not have any express performance conditions, the value ultimately realized for such awards is dependent on the appreciation of our stock price from the date of grant, which further aligns our NEOs’ interests with those of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25"/>
          <w:szCs w:val="25"/>
          <w:color w:val="auto"/>
        </w:rPr>
        <w:t>Procedures for Determining Compensation</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A0DD"/>
        </w:rPr>
        <w:t>CHC Committee’s Role, Process and Assessments</w:t>
      </w:r>
    </w:p>
    <w:p>
      <w:pPr>
        <w:spacing w:after="0" w:line="21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CHC Committee approves the nature and amount of compensation paid to, and the employment and related agreements entered into with, our executive officers, and oversees broad-based cash bonus and equity-based plans, approving guidelines for grants of awards under these plans and determining and overseeing our compensation and benefits policies generally.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 2023, the CHC Committee reviewed for our NEOs:</w:t>
      </w:r>
    </w:p>
    <w:p>
      <w:pPr>
        <w:spacing w:after="0" w:line="212"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7"/>
          <w:szCs w:val="17"/>
          <w:color w:val="00A0DD"/>
        </w:rPr>
      </w:pPr>
      <w:r>
        <w:rPr>
          <w:rFonts w:ascii="Arial" w:cs="Arial" w:eastAsia="Arial" w:hAnsi="Arial"/>
          <w:sz w:val="18"/>
          <w:szCs w:val="18"/>
          <w:color w:val="auto"/>
        </w:rPr>
        <w:t>Each element of our NEOs’ compensation for internal consistency.</w:t>
      </w:r>
    </w:p>
    <w:p>
      <w:pPr>
        <w:spacing w:after="0" w:line="63" w:lineRule="exact"/>
        <w:rPr>
          <w:rFonts w:ascii="Arial" w:cs="Arial" w:eastAsia="Arial" w:hAnsi="Arial"/>
          <w:sz w:val="17"/>
          <w:szCs w:val="17"/>
          <w:color w:val="00A0DD"/>
        </w:rPr>
      </w:pPr>
    </w:p>
    <w:p>
      <w:pPr>
        <w:ind w:left="260" w:hanging="252"/>
        <w:spacing w:after="0"/>
        <w:tabs>
          <w:tab w:leader="none" w:pos="260" w:val="left"/>
        </w:tabs>
        <w:numPr>
          <w:ilvl w:val="0"/>
          <w:numId w:val="75"/>
        </w:numPr>
        <w:rPr>
          <w:rFonts w:ascii="Arial" w:cs="Arial" w:eastAsia="Arial" w:hAnsi="Arial"/>
          <w:sz w:val="17"/>
          <w:szCs w:val="17"/>
          <w:color w:val="00A0DD"/>
        </w:rPr>
      </w:pPr>
      <w:r>
        <w:rPr>
          <w:rFonts w:ascii="Arial" w:cs="Arial" w:eastAsia="Arial" w:hAnsi="Arial"/>
          <w:sz w:val="18"/>
          <w:szCs w:val="18"/>
          <w:color w:val="auto"/>
        </w:rPr>
        <w:t>Various analyses provided by its independent compensation consultant, including:</w:t>
      </w:r>
    </w:p>
    <w:p>
      <w:pPr>
        <w:spacing w:after="0" w:line="63" w:lineRule="exact"/>
        <w:rPr>
          <w:rFonts w:ascii="Arial" w:cs="Arial" w:eastAsia="Arial" w:hAnsi="Arial"/>
          <w:sz w:val="17"/>
          <w:szCs w:val="17"/>
          <w:color w:val="00A0DD"/>
        </w:rPr>
      </w:pPr>
    </w:p>
    <w:p>
      <w:pPr>
        <w:ind w:left="520" w:hanging="256"/>
        <w:spacing w:after="0"/>
        <w:tabs>
          <w:tab w:leader="none" w:pos="520" w:val="left"/>
        </w:tabs>
        <w:numPr>
          <w:ilvl w:val="1"/>
          <w:numId w:val="75"/>
        </w:numPr>
        <w:rPr>
          <w:rFonts w:ascii="Arial" w:cs="Arial" w:eastAsia="Arial" w:hAnsi="Arial"/>
          <w:sz w:val="17"/>
          <w:szCs w:val="17"/>
          <w:color w:val="00A0DD"/>
        </w:rPr>
      </w:pPr>
      <w:r>
        <w:rPr>
          <w:rFonts w:ascii="Arial" w:cs="Arial" w:eastAsia="Arial" w:hAnsi="Arial"/>
          <w:sz w:val="18"/>
          <w:szCs w:val="18"/>
          <w:color w:val="auto"/>
        </w:rPr>
        <w:t>an assessment of the composition of our peer groups;</w:t>
      </w:r>
    </w:p>
    <w:p>
      <w:pPr>
        <w:spacing w:after="0" w:line="63" w:lineRule="exact"/>
        <w:rPr>
          <w:rFonts w:ascii="Arial" w:cs="Arial" w:eastAsia="Arial" w:hAnsi="Arial"/>
          <w:sz w:val="17"/>
          <w:szCs w:val="17"/>
          <w:color w:val="00A0DD"/>
        </w:rPr>
      </w:pPr>
    </w:p>
    <w:p>
      <w:pPr>
        <w:jc w:val="both"/>
        <w:ind w:left="520" w:right="280" w:hanging="256"/>
        <w:spacing w:after="0" w:line="253" w:lineRule="auto"/>
        <w:tabs>
          <w:tab w:leader="none" w:pos="520" w:val="left"/>
        </w:tabs>
        <w:numPr>
          <w:ilvl w:val="1"/>
          <w:numId w:val="75"/>
        </w:numPr>
        <w:rPr>
          <w:rFonts w:ascii="Arial" w:cs="Arial" w:eastAsia="Arial" w:hAnsi="Arial"/>
          <w:sz w:val="17"/>
          <w:szCs w:val="17"/>
          <w:color w:val="00A0DD"/>
        </w:rPr>
      </w:pPr>
      <w:r>
        <w:rPr>
          <w:rFonts w:ascii="Arial" w:cs="Arial" w:eastAsia="Arial" w:hAnsi="Arial"/>
          <w:sz w:val="18"/>
          <w:szCs w:val="18"/>
          <w:color w:val="auto"/>
        </w:rPr>
        <w:t>a competitive pay assessment (comparing NEO compensation to that of executives holding comparable positions at our peer group companies as disclosed in proxy statements and to broad groups of companies in published surveys, and analyzing components of pay compared to those of our peer group companies (e.g., target pay levels, fixed vs. variable, components of long-term equity));</w:t>
      </w:r>
    </w:p>
    <w:p>
      <w:pPr>
        <w:spacing w:after="0" w:line="20" w:lineRule="exact"/>
        <w:rPr>
          <w:rFonts w:ascii="Arial" w:cs="Arial" w:eastAsia="Arial" w:hAnsi="Arial"/>
          <w:sz w:val="17"/>
          <w:szCs w:val="17"/>
          <w:color w:val="00A0DD"/>
        </w:rPr>
      </w:pPr>
    </w:p>
    <w:p>
      <w:pPr>
        <w:ind w:left="520" w:right="240" w:hanging="256"/>
        <w:spacing w:after="0" w:line="271" w:lineRule="auto"/>
        <w:tabs>
          <w:tab w:leader="none" w:pos="520" w:val="left"/>
        </w:tabs>
        <w:numPr>
          <w:ilvl w:val="1"/>
          <w:numId w:val="75"/>
        </w:numPr>
        <w:rPr>
          <w:rFonts w:ascii="Arial" w:cs="Arial" w:eastAsia="Arial" w:hAnsi="Arial"/>
          <w:sz w:val="17"/>
          <w:szCs w:val="17"/>
          <w:color w:val="00A0DD"/>
        </w:rPr>
      </w:pPr>
      <w:r>
        <w:rPr>
          <w:rFonts w:ascii="Arial" w:cs="Arial" w:eastAsia="Arial" w:hAnsi="Arial"/>
          <w:sz w:val="18"/>
          <w:szCs w:val="18"/>
          <w:color w:val="auto"/>
        </w:rPr>
        <w:t>a financial performance review (comparing our performance relative to our peer group companies with respect to growth in Adjusted EBITDA, Free Cash Flow, revenue and TSR, based on financial data from a third-party source);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36</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ind w:left="500" w:right="180" w:hanging="249"/>
        <w:spacing w:after="0" w:line="271" w:lineRule="auto"/>
        <w:tabs>
          <w:tab w:leader="none" w:pos="500" w:val="left"/>
        </w:tabs>
        <w:numPr>
          <w:ilvl w:val="0"/>
          <w:numId w:val="76"/>
        </w:numPr>
        <w:rPr>
          <w:rFonts w:ascii="Arial" w:cs="Arial" w:eastAsia="Arial" w:hAnsi="Arial"/>
          <w:sz w:val="17"/>
          <w:szCs w:val="17"/>
          <w:color w:val="00A0DD"/>
        </w:rPr>
      </w:pPr>
      <w:r>
        <w:rPr>
          <w:rFonts w:ascii="Arial" w:cs="Arial" w:eastAsia="Arial" w:hAnsi="Arial"/>
          <w:sz w:val="18"/>
          <w:szCs w:val="18"/>
          <w:color w:val="auto"/>
        </w:rPr>
        <w:t>a compensation sharing analysis (analyzing the actual pay delivered to our NEOs as a percentage of our Adjusted EBITDA and Free Cash Flow as compared to our peer group companies);</w:t>
      </w:r>
    </w:p>
    <w:p>
      <w:pPr>
        <w:spacing w:after="0" w:line="5" w:lineRule="exact"/>
        <w:rPr>
          <w:rFonts w:ascii="Arial" w:cs="Arial" w:eastAsia="Arial" w:hAnsi="Arial"/>
          <w:sz w:val="17"/>
          <w:szCs w:val="17"/>
          <w:color w:val="00A0DD"/>
        </w:rPr>
      </w:pPr>
    </w:p>
    <w:p>
      <w:pPr>
        <w:ind w:left="500" w:hanging="249"/>
        <w:spacing w:after="0"/>
        <w:tabs>
          <w:tab w:leader="none" w:pos="500" w:val="left"/>
        </w:tabs>
        <w:numPr>
          <w:ilvl w:val="0"/>
          <w:numId w:val="76"/>
        </w:numPr>
        <w:rPr>
          <w:rFonts w:ascii="Arial" w:cs="Arial" w:eastAsia="Arial" w:hAnsi="Arial"/>
          <w:sz w:val="17"/>
          <w:szCs w:val="17"/>
          <w:color w:val="00A0DD"/>
        </w:rPr>
      </w:pPr>
      <w:r>
        <w:rPr>
          <w:rFonts w:ascii="Arial" w:cs="Arial" w:eastAsia="Arial" w:hAnsi="Arial"/>
          <w:sz w:val="18"/>
          <w:szCs w:val="18"/>
          <w:color w:val="auto"/>
        </w:rPr>
        <w:t>an incentive compensation design analysis (analyzing various annual bonus and long-term incentive design elements); and</w:t>
      </w:r>
    </w:p>
    <w:p>
      <w:pPr>
        <w:spacing w:after="0" w:line="63" w:lineRule="exact"/>
        <w:rPr>
          <w:rFonts w:ascii="Arial" w:cs="Arial" w:eastAsia="Arial" w:hAnsi="Arial"/>
          <w:sz w:val="17"/>
          <w:szCs w:val="17"/>
          <w:color w:val="00A0DD"/>
        </w:rPr>
      </w:pPr>
    </w:p>
    <w:p>
      <w:pPr>
        <w:ind w:left="500" w:right="60" w:hanging="249"/>
        <w:spacing w:after="0" w:line="271" w:lineRule="auto"/>
        <w:tabs>
          <w:tab w:leader="none" w:pos="500" w:val="left"/>
        </w:tabs>
        <w:numPr>
          <w:ilvl w:val="0"/>
          <w:numId w:val="76"/>
        </w:numPr>
        <w:rPr>
          <w:rFonts w:ascii="Arial" w:cs="Arial" w:eastAsia="Arial" w:hAnsi="Arial"/>
          <w:sz w:val="17"/>
          <w:szCs w:val="17"/>
          <w:color w:val="00A0DD"/>
        </w:rPr>
      </w:pPr>
      <w:r>
        <w:rPr>
          <w:rFonts w:ascii="Arial" w:cs="Arial" w:eastAsia="Arial" w:hAnsi="Arial"/>
          <w:sz w:val="18"/>
          <w:szCs w:val="18"/>
          <w:color w:val="auto"/>
        </w:rPr>
        <w:t>an analysis of equity dilution resulting from, and annual usage rates in, our equity-based compensation plans as compared to our peer group companies (i.e., overhang and burn rates).</w:t>
      </w:r>
    </w:p>
    <w:p>
      <w:pPr>
        <w:spacing w:after="0" w:line="15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After taking into account the analyses above, the CHC Committee evaluated our financial performance, as compared to our peers over time, as it related to our strongly competitive compensation philosophy.</w:t>
      </w:r>
    </w:p>
    <w:p>
      <w:pPr>
        <w:spacing w:after="0" w:line="154" w:lineRule="exact"/>
        <w:rPr>
          <w:sz w:val="20"/>
          <w:szCs w:val="20"/>
          <w:color w:val="auto"/>
        </w:rPr>
      </w:pPr>
    </w:p>
    <w:p>
      <w:pPr>
        <w:ind w:left="260" w:right="280" w:hanging="252"/>
        <w:spacing w:after="0" w:line="247" w:lineRule="auto"/>
        <w:tabs>
          <w:tab w:leader="none" w:pos="260" w:val="left"/>
        </w:tabs>
        <w:numPr>
          <w:ilvl w:val="0"/>
          <w:numId w:val="77"/>
        </w:numPr>
        <w:rPr>
          <w:rFonts w:ascii="Arial" w:cs="Arial" w:eastAsia="Arial" w:hAnsi="Arial"/>
          <w:sz w:val="17"/>
          <w:szCs w:val="17"/>
          <w:color w:val="00A0DD"/>
        </w:rPr>
      </w:pPr>
      <w:r>
        <w:rPr>
          <w:rFonts w:ascii="Arial" w:cs="Arial" w:eastAsia="Arial" w:hAnsi="Arial"/>
          <w:sz w:val="18"/>
          <w:szCs w:val="18"/>
          <w:color w:val="auto"/>
        </w:rPr>
        <w:t>In addition, the CHC Committee annually reviews the nature and mix of compensation elements, as well as compensation plan design and award terms, to ensure that our compensation program does not include inadvertent incentives for our NEOs to take inappropriate business risks by making decisions that may not be in the best interests of our shareholders. In conducting this review, the CHC Committee also considers specific business risks identified through our ERM process.</w:t>
      </w:r>
    </w:p>
    <w:p>
      <w:pPr>
        <w:spacing w:after="0" w:line="25" w:lineRule="exact"/>
        <w:rPr>
          <w:rFonts w:ascii="Arial" w:cs="Arial" w:eastAsia="Arial" w:hAnsi="Arial"/>
          <w:sz w:val="17"/>
          <w:szCs w:val="17"/>
          <w:color w:val="00A0DD"/>
        </w:rPr>
      </w:pPr>
    </w:p>
    <w:p>
      <w:pPr>
        <w:ind w:left="260" w:right="40" w:hanging="252"/>
        <w:spacing w:after="0"/>
        <w:tabs>
          <w:tab w:leader="none" w:pos="260" w:val="left"/>
        </w:tabs>
        <w:numPr>
          <w:ilvl w:val="0"/>
          <w:numId w:val="77"/>
        </w:numPr>
        <w:rPr>
          <w:rFonts w:ascii="Arial" w:cs="Arial" w:eastAsia="Arial" w:hAnsi="Arial"/>
          <w:sz w:val="17"/>
          <w:szCs w:val="17"/>
          <w:color w:val="00A0DD"/>
        </w:rPr>
      </w:pPr>
      <w:r>
        <w:rPr>
          <w:rFonts w:ascii="Arial" w:cs="Arial" w:eastAsia="Arial" w:hAnsi="Arial"/>
          <w:sz w:val="18"/>
          <w:szCs w:val="18"/>
          <w:color w:val="auto"/>
        </w:rPr>
        <w:t>In determining individual compensation, the CHC Committee annually evaluates Mr. Roberts’ performance, and Mr. Roberts discusses with the CHC Committee the performance of our other NEOs. The CHC Committee, among other things, assesses each NEO’s responsibilities and roles with respect to corporate policy-making, management and contribution to our overall performance, both in terms of financial results and progress on key initiatives, as well as the importance of retaining the NEO. This process helps inform compensation decisions and allows our CHC Committee to employ a holistic evaluation that may include factors both within and outside of management’s control, balanced with individual and company performance and shareholder outcomes. See “Compensation Decisions” above for information on NEO performance and decisions made in respect of 2023.</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A0DD"/>
        </w:rPr>
        <w:t>Role of Compensation Consultants</w:t>
      </w:r>
    </w:p>
    <w:p>
      <w:pPr>
        <w:spacing w:after="0" w:line="21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CHC Committee has directly engaged Korn Ferry as its own independent compensation consultant. Korn Ferry provides research, analysis and input as to the form and amount of executive and director compensation, which generally includes market research utilizing information derived from proxy statements, surveys and its own consulting experience and insight, as well as the provision of other methodological standards and policies in accordance with its established procedures. This research, analysis and input has been provided to both our CHC Committee and to management. The CHC Committee collaborated with Korn Ferry to determine and approve the parameters used to conduct the assessment work, including items such as the composition of peer groups, the relevant market statistical reference points within the data (e.g., median) and the elements of compensation. Korn Ferry did not determine or recommend the form or amount of compensation of our NEOs for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2023, we paid Korn Ferry approximately $518,000 for services related to executive and director compensation and approximately</w:t>
      </w:r>
    </w:p>
    <w:p>
      <w:pPr>
        <w:spacing w:after="0" w:line="1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$342,000 for leadership, succession, organizational strategy and talent consulting services and executive search services. As part of their job responsibilities, certain of our executive officers participate both in gathering and presenting facts related to compensation and benefits matters as requested by the CHC Committee and in formulating and making recommendations to the CHC Committee in these areas. These executives, together with our employees who work in the compensation area, also conduct research and consult with compensation consultants, legal counsel and other expert sources to keep abreast of developments in these areas. All decisions, however, regarding the compensation of our NEOs are made by the CHC Committee and are reviewed by the Board, following reviews and discussions held in executive sessions. The CHC Committee assessed Korn Ferry’s work as required under SEC rules and concluded that its work for the CHC Committee in 2023 did not raise any conflicts of interest. The CHC Committee reached this determination by reviewing the fees paid to Korn Ferry and evaluating its work under applicable SEC and Nasdaq rules on conflicts of interest.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00A0DD"/>
        </w:rPr>
        <w:t>Use of Competitive Data</w:t>
      </w:r>
    </w:p>
    <w:p>
      <w:pPr>
        <w:spacing w:after="0" w:line="21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While peer group and various compensation survey analyses are considered important and valuable by the CHC Committee, the CHC Committee does not make any determination of, or change to, compensation in reaction to market data alone. Rather, it uses this information as one of several considerations to inform its decisions and put it in context in determining compensation levels (and when to change compensation levels).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Peer Group</w:t>
      </w:r>
    </w:p>
    <w:p>
      <w:pPr>
        <w:spacing w:after="0" w:line="20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CHC Committee, advised by Korn Ferry, reviewed the criteria for selecting members of our peer groups. The composition of our core peer group for 2023 is unchanged from our 2022 core peer group.</w:t>
      </w:r>
    </w:p>
    <w:p>
      <w:pPr>
        <w:spacing w:after="0" w:line="158" w:lineRule="exact"/>
        <w:rPr>
          <w:sz w:val="20"/>
          <w:szCs w:val="20"/>
          <w:color w:val="auto"/>
        </w:rPr>
      </w:pPr>
    </w:p>
    <w:p>
      <w:pPr>
        <w:ind w:left="360" w:hanging="352"/>
        <w:spacing w:after="0"/>
        <w:tabs>
          <w:tab w:leader="none" w:pos="360" w:val="left"/>
        </w:tabs>
        <w:numPr>
          <w:ilvl w:val="0"/>
          <w:numId w:val="7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Below are the companies in our core peer group for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436"/>
        </w:trPr>
        <w:tc>
          <w:tcPr>
            <w:tcW w:w="400" w:type="dxa"/>
            <w:vAlign w:val="bottom"/>
            <w:shd w:val="clear" w:color="auto" w:fill="E0F0FB"/>
          </w:tcPr>
          <w:p>
            <w:pPr>
              <w:ind w:left="220"/>
              <w:spacing w:after="0"/>
              <w:rPr>
                <w:sz w:val="20"/>
                <w:szCs w:val="20"/>
                <w:color w:val="auto"/>
              </w:rPr>
            </w:pPr>
            <w:r>
              <w:rPr>
                <w:rFonts w:ascii="Arial" w:cs="Arial" w:eastAsia="Arial" w:hAnsi="Arial"/>
                <w:sz w:val="17"/>
                <w:szCs w:val="17"/>
                <w:color w:val="00A0DD"/>
              </w:rPr>
              <w:t>●</w:t>
            </w:r>
          </w:p>
        </w:tc>
        <w:tc>
          <w:tcPr>
            <w:tcW w:w="3960" w:type="dxa"/>
            <w:vAlign w:val="bottom"/>
            <w:shd w:val="clear" w:color="auto" w:fill="E0F0FB"/>
          </w:tcPr>
          <w:p>
            <w:pPr>
              <w:ind w:left="80"/>
              <w:spacing w:after="0"/>
              <w:rPr>
                <w:sz w:val="20"/>
                <w:szCs w:val="20"/>
                <w:color w:val="auto"/>
              </w:rPr>
            </w:pPr>
            <w:r>
              <w:rPr>
                <w:rFonts w:ascii="Arial" w:cs="Arial" w:eastAsia="Arial" w:hAnsi="Arial"/>
                <w:sz w:val="18"/>
                <w:szCs w:val="18"/>
                <w:color w:val="auto"/>
              </w:rPr>
              <w:t>Alphabet Inc.</w:t>
            </w:r>
          </w:p>
        </w:tc>
        <w:tc>
          <w:tcPr>
            <w:tcW w:w="1660" w:type="dxa"/>
            <w:vAlign w:val="bottom"/>
            <w:shd w:val="clear" w:color="auto" w:fill="E0F0FB"/>
          </w:tcPr>
          <w:p>
            <w:pPr>
              <w:ind w:left="1480"/>
              <w:spacing w:after="0"/>
              <w:rPr>
                <w:sz w:val="20"/>
                <w:szCs w:val="20"/>
                <w:color w:val="auto"/>
              </w:rPr>
            </w:pPr>
            <w:r>
              <w:rPr>
                <w:rFonts w:ascii="Arial" w:cs="Arial" w:eastAsia="Arial" w:hAnsi="Arial"/>
                <w:sz w:val="17"/>
                <w:szCs w:val="17"/>
                <w:color w:val="00A0DD"/>
              </w:rPr>
              <w:t>●</w:t>
            </w:r>
          </w:p>
        </w:tc>
        <w:tc>
          <w:tcPr>
            <w:tcW w:w="5220" w:type="dxa"/>
            <w:vAlign w:val="bottom"/>
            <w:shd w:val="clear" w:color="auto" w:fill="E0F0FB"/>
          </w:tcPr>
          <w:p>
            <w:pPr>
              <w:ind w:left="80"/>
              <w:spacing w:after="0"/>
              <w:rPr>
                <w:sz w:val="20"/>
                <w:szCs w:val="20"/>
                <w:color w:val="auto"/>
              </w:rPr>
            </w:pPr>
            <w:r>
              <w:rPr>
                <w:rFonts w:ascii="Arial" w:cs="Arial" w:eastAsia="Arial" w:hAnsi="Arial"/>
                <w:sz w:val="18"/>
                <w:szCs w:val="18"/>
                <w:color w:val="auto"/>
              </w:rPr>
              <w:t>Meta Platforms, Inc.</w:t>
            </w:r>
          </w:p>
        </w:tc>
      </w:tr>
      <w:tr>
        <w:trPr>
          <w:trHeight w:val="270"/>
        </w:trPr>
        <w:tc>
          <w:tcPr>
            <w:tcW w:w="400" w:type="dxa"/>
            <w:vAlign w:val="bottom"/>
            <w:shd w:val="clear" w:color="auto" w:fill="E0F0FB"/>
          </w:tcPr>
          <w:p>
            <w:pPr>
              <w:ind w:left="220"/>
              <w:spacing w:after="0"/>
              <w:rPr>
                <w:sz w:val="20"/>
                <w:szCs w:val="20"/>
                <w:color w:val="auto"/>
              </w:rPr>
            </w:pPr>
            <w:r>
              <w:rPr>
                <w:rFonts w:ascii="Arial" w:cs="Arial" w:eastAsia="Arial" w:hAnsi="Arial"/>
                <w:sz w:val="17"/>
                <w:szCs w:val="17"/>
                <w:color w:val="00A0DD"/>
              </w:rPr>
              <w:t>●</w:t>
            </w:r>
          </w:p>
        </w:tc>
        <w:tc>
          <w:tcPr>
            <w:tcW w:w="3960" w:type="dxa"/>
            <w:vAlign w:val="bottom"/>
            <w:shd w:val="clear" w:color="auto" w:fill="E0F0FB"/>
          </w:tcPr>
          <w:p>
            <w:pPr>
              <w:ind w:left="80"/>
              <w:spacing w:after="0"/>
              <w:rPr>
                <w:sz w:val="20"/>
                <w:szCs w:val="20"/>
                <w:color w:val="auto"/>
              </w:rPr>
            </w:pPr>
            <w:r>
              <w:rPr>
                <w:rFonts w:ascii="Arial" w:cs="Arial" w:eastAsia="Arial" w:hAnsi="Arial"/>
                <w:sz w:val="18"/>
                <w:szCs w:val="18"/>
                <w:color w:val="auto"/>
              </w:rPr>
              <w:t>AT&amp;T Inc.</w:t>
            </w:r>
          </w:p>
        </w:tc>
        <w:tc>
          <w:tcPr>
            <w:tcW w:w="1660" w:type="dxa"/>
            <w:vAlign w:val="bottom"/>
            <w:shd w:val="clear" w:color="auto" w:fill="E0F0FB"/>
          </w:tcPr>
          <w:p>
            <w:pPr>
              <w:ind w:left="1480"/>
              <w:spacing w:after="0"/>
              <w:rPr>
                <w:sz w:val="20"/>
                <w:szCs w:val="20"/>
                <w:color w:val="auto"/>
              </w:rPr>
            </w:pPr>
            <w:r>
              <w:rPr>
                <w:rFonts w:ascii="Arial" w:cs="Arial" w:eastAsia="Arial" w:hAnsi="Arial"/>
                <w:sz w:val="17"/>
                <w:szCs w:val="17"/>
                <w:color w:val="00A0DD"/>
              </w:rPr>
              <w:t>●</w:t>
            </w:r>
          </w:p>
        </w:tc>
        <w:tc>
          <w:tcPr>
            <w:tcW w:w="5220" w:type="dxa"/>
            <w:vAlign w:val="bottom"/>
            <w:shd w:val="clear" w:color="auto" w:fill="E0F0FB"/>
          </w:tcPr>
          <w:p>
            <w:pPr>
              <w:ind w:left="80"/>
              <w:spacing w:after="0"/>
              <w:rPr>
                <w:sz w:val="20"/>
                <w:szCs w:val="20"/>
                <w:color w:val="auto"/>
              </w:rPr>
            </w:pPr>
            <w:r>
              <w:rPr>
                <w:rFonts w:ascii="Arial" w:cs="Arial" w:eastAsia="Arial" w:hAnsi="Arial"/>
                <w:sz w:val="18"/>
                <w:szCs w:val="18"/>
                <w:color w:val="auto"/>
              </w:rPr>
              <w:t>Netflix, Inc.</w:t>
            </w:r>
          </w:p>
        </w:tc>
      </w:tr>
      <w:tr>
        <w:trPr>
          <w:trHeight w:val="270"/>
        </w:trPr>
        <w:tc>
          <w:tcPr>
            <w:tcW w:w="400" w:type="dxa"/>
            <w:vAlign w:val="bottom"/>
            <w:shd w:val="clear" w:color="auto" w:fill="E0F0FB"/>
          </w:tcPr>
          <w:p>
            <w:pPr>
              <w:ind w:left="220"/>
              <w:spacing w:after="0"/>
              <w:rPr>
                <w:sz w:val="20"/>
                <w:szCs w:val="20"/>
                <w:color w:val="auto"/>
              </w:rPr>
            </w:pPr>
            <w:r>
              <w:rPr>
                <w:rFonts w:ascii="Arial" w:cs="Arial" w:eastAsia="Arial" w:hAnsi="Arial"/>
                <w:sz w:val="17"/>
                <w:szCs w:val="17"/>
                <w:color w:val="00A0DD"/>
              </w:rPr>
              <w:t>●</w:t>
            </w:r>
          </w:p>
        </w:tc>
        <w:tc>
          <w:tcPr>
            <w:tcW w:w="3960" w:type="dxa"/>
            <w:vAlign w:val="bottom"/>
            <w:shd w:val="clear" w:color="auto" w:fill="E0F0FB"/>
          </w:tcPr>
          <w:p>
            <w:pPr>
              <w:ind w:left="80"/>
              <w:spacing w:after="0"/>
              <w:rPr>
                <w:sz w:val="20"/>
                <w:szCs w:val="20"/>
                <w:color w:val="auto"/>
              </w:rPr>
            </w:pPr>
            <w:r>
              <w:rPr>
                <w:rFonts w:ascii="Arial" w:cs="Arial" w:eastAsia="Arial" w:hAnsi="Arial"/>
                <w:sz w:val="18"/>
                <w:szCs w:val="18"/>
                <w:color w:val="auto"/>
              </w:rPr>
              <w:t>Charter Communications, Inc.</w:t>
            </w:r>
          </w:p>
        </w:tc>
        <w:tc>
          <w:tcPr>
            <w:tcW w:w="1660" w:type="dxa"/>
            <w:vAlign w:val="bottom"/>
            <w:shd w:val="clear" w:color="auto" w:fill="E0F0FB"/>
          </w:tcPr>
          <w:p>
            <w:pPr>
              <w:ind w:left="1480"/>
              <w:spacing w:after="0"/>
              <w:rPr>
                <w:sz w:val="20"/>
                <w:szCs w:val="20"/>
                <w:color w:val="auto"/>
              </w:rPr>
            </w:pPr>
            <w:r>
              <w:rPr>
                <w:rFonts w:ascii="Arial" w:cs="Arial" w:eastAsia="Arial" w:hAnsi="Arial"/>
                <w:sz w:val="17"/>
                <w:szCs w:val="17"/>
                <w:color w:val="00A0DD"/>
              </w:rPr>
              <w:t>●</w:t>
            </w:r>
          </w:p>
        </w:tc>
        <w:tc>
          <w:tcPr>
            <w:tcW w:w="5220" w:type="dxa"/>
            <w:vAlign w:val="bottom"/>
            <w:shd w:val="clear" w:color="auto" w:fill="E0F0FB"/>
          </w:tcPr>
          <w:p>
            <w:pPr>
              <w:ind w:left="80"/>
              <w:spacing w:after="0"/>
              <w:rPr>
                <w:sz w:val="20"/>
                <w:szCs w:val="20"/>
                <w:color w:val="auto"/>
              </w:rPr>
            </w:pPr>
            <w:r>
              <w:rPr>
                <w:rFonts w:ascii="Arial" w:cs="Arial" w:eastAsia="Arial" w:hAnsi="Arial"/>
                <w:sz w:val="18"/>
                <w:szCs w:val="18"/>
                <w:color w:val="auto"/>
              </w:rPr>
              <w:t>Paramount Global</w:t>
            </w:r>
          </w:p>
        </w:tc>
      </w:tr>
      <w:tr>
        <w:trPr>
          <w:trHeight w:val="270"/>
        </w:trPr>
        <w:tc>
          <w:tcPr>
            <w:tcW w:w="4360" w:type="dxa"/>
            <w:vAlign w:val="bottom"/>
            <w:gridSpan w:val="2"/>
            <w:shd w:val="clear" w:color="auto" w:fill="E0F0FB"/>
          </w:tcPr>
          <w:p>
            <w:pPr>
              <w:ind w:left="22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Warner Bros. Discovery, Inc.</w:t>
            </w:r>
          </w:p>
        </w:tc>
        <w:tc>
          <w:tcPr>
            <w:tcW w:w="1660" w:type="dxa"/>
            <w:vAlign w:val="bottom"/>
            <w:shd w:val="clear" w:color="auto" w:fill="E0F0FB"/>
          </w:tcPr>
          <w:p>
            <w:pPr>
              <w:ind w:left="1480"/>
              <w:spacing w:after="0"/>
              <w:rPr>
                <w:sz w:val="20"/>
                <w:szCs w:val="20"/>
                <w:color w:val="auto"/>
              </w:rPr>
            </w:pPr>
            <w:r>
              <w:rPr>
                <w:rFonts w:ascii="Arial" w:cs="Arial" w:eastAsia="Arial" w:hAnsi="Arial"/>
                <w:sz w:val="17"/>
                <w:szCs w:val="17"/>
                <w:color w:val="00A0DD"/>
              </w:rPr>
              <w:t>●</w:t>
            </w:r>
          </w:p>
        </w:tc>
        <w:tc>
          <w:tcPr>
            <w:tcW w:w="5220" w:type="dxa"/>
            <w:vAlign w:val="bottom"/>
            <w:shd w:val="clear" w:color="auto" w:fill="E0F0FB"/>
          </w:tcPr>
          <w:p>
            <w:pPr>
              <w:ind w:left="80"/>
              <w:spacing w:after="0"/>
              <w:rPr>
                <w:sz w:val="20"/>
                <w:szCs w:val="20"/>
                <w:color w:val="auto"/>
              </w:rPr>
            </w:pPr>
            <w:r>
              <w:rPr>
                <w:rFonts w:ascii="Arial" w:cs="Arial" w:eastAsia="Arial" w:hAnsi="Arial"/>
                <w:sz w:val="18"/>
                <w:szCs w:val="18"/>
                <w:color w:val="auto"/>
              </w:rPr>
              <w:t>T-Mobile US, Inc.</w:t>
            </w:r>
          </w:p>
        </w:tc>
      </w:tr>
      <w:tr>
        <w:trPr>
          <w:trHeight w:val="270"/>
        </w:trPr>
        <w:tc>
          <w:tcPr>
            <w:tcW w:w="400" w:type="dxa"/>
            <w:vAlign w:val="bottom"/>
            <w:shd w:val="clear" w:color="auto" w:fill="E0F0FB"/>
          </w:tcPr>
          <w:p>
            <w:pPr>
              <w:ind w:left="220"/>
              <w:spacing w:after="0"/>
              <w:rPr>
                <w:sz w:val="20"/>
                <w:szCs w:val="20"/>
                <w:color w:val="auto"/>
              </w:rPr>
            </w:pPr>
            <w:r>
              <w:rPr>
                <w:rFonts w:ascii="Arial" w:cs="Arial" w:eastAsia="Arial" w:hAnsi="Arial"/>
                <w:sz w:val="17"/>
                <w:szCs w:val="17"/>
                <w:color w:val="00A0DD"/>
              </w:rPr>
              <w:t>●</w:t>
            </w:r>
          </w:p>
        </w:tc>
        <w:tc>
          <w:tcPr>
            <w:tcW w:w="3960" w:type="dxa"/>
            <w:vAlign w:val="bottom"/>
            <w:shd w:val="clear" w:color="auto" w:fill="E0F0FB"/>
          </w:tcPr>
          <w:p>
            <w:pPr>
              <w:ind w:left="80"/>
              <w:spacing w:after="0"/>
              <w:rPr>
                <w:sz w:val="20"/>
                <w:szCs w:val="20"/>
                <w:color w:val="auto"/>
              </w:rPr>
            </w:pPr>
            <w:r>
              <w:rPr>
                <w:rFonts w:ascii="Arial" w:cs="Arial" w:eastAsia="Arial" w:hAnsi="Arial"/>
                <w:sz w:val="18"/>
                <w:szCs w:val="18"/>
                <w:color w:val="auto"/>
              </w:rPr>
              <w:t>Fox Corporation</w:t>
            </w:r>
          </w:p>
        </w:tc>
        <w:tc>
          <w:tcPr>
            <w:tcW w:w="6880" w:type="dxa"/>
            <w:vAlign w:val="bottom"/>
            <w:gridSpan w:val="2"/>
            <w:shd w:val="clear" w:color="auto" w:fill="E0F0FB"/>
          </w:tcPr>
          <w:p>
            <w:pPr>
              <w:ind w:left="1480"/>
              <w:spacing w:after="0"/>
              <w:rPr>
                <w:sz w:val="20"/>
                <w:szCs w:val="20"/>
                <w:color w:val="auto"/>
              </w:rPr>
            </w:pPr>
            <w:r>
              <w:rPr>
                <w:rFonts w:ascii="Arial" w:cs="Arial" w:eastAsia="Arial" w:hAnsi="Arial"/>
                <w:sz w:val="17"/>
                <w:szCs w:val="17"/>
                <w:color w:val="00A0DD"/>
              </w:rPr>
              <w:t xml:space="preserve">●  </w:t>
            </w:r>
            <w:r>
              <w:rPr>
                <w:rFonts w:ascii="Arial" w:cs="Arial" w:eastAsia="Arial" w:hAnsi="Arial"/>
                <w:sz w:val="17"/>
                <w:szCs w:val="17"/>
                <w:color w:val="000000"/>
              </w:rPr>
              <w:t>The Walt Disney Company</w:t>
            </w:r>
          </w:p>
        </w:tc>
      </w:tr>
      <w:tr>
        <w:trPr>
          <w:trHeight w:val="270"/>
        </w:trPr>
        <w:tc>
          <w:tcPr>
            <w:tcW w:w="400" w:type="dxa"/>
            <w:vAlign w:val="bottom"/>
            <w:shd w:val="clear" w:color="auto" w:fill="E0F0FB"/>
          </w:tcPr>
          <w:p>
            <w:pPr>
              <w:ind w:left="220"/>
              <w:spacing w:after="0"/>
              <w:rPr>
                <w:sz w:val="20"/>
                <w:szCs w:val="20"/>
                <w:color w:val="auto"/>
              </w:rPr>
            </w:pPr>
            <w:r>
              <w:rPr>
                <w:rFonts w:ascii="Arial" w:cs="Arial" w:eastAsia="Arial" w:hAnsi="Arial"/>
                <w:sz w:val="17"/>
                <w:szCs w:val="17"/>
                <w:color w:val="00A0DD"/>
              </w:rPr>
              <w:t>●</w:t>
            </w:r>
          </w:p>
        </w:tc>
        <w:tc>
          <w:tcPr>
            <w:tcW w:w="3960" w:type="dxa"/>
            <w:vAlign w:val="bottom"/>
            <w:shd w:val="clear" w:color="auto" w:fill="E0F0FB"/>
          </w:tcPr>
          <w:p>
            <w:pPr>
              <w:ind w:left="80"/>
              <w:spacing w:after="0"/>
              <w:rPr>
                <w:sz w:val="20"/>
                <w:szCs w:val="20"/>
                <w:color w:val="auto"/>
              </w:rPr>
            </w:pPr>
            <w:r>
              <w:rPr>
                <w:rFonts w:ascii="Arial" w:cs="Arial" w:eastAsia="Arial" w:hAnsi="Arial"/>
                <w:sz w:val="18"/>
                <w:szCs w:val="18"/>
                <w:color w:val="auto"/>
              </w:rPr>
              <w:t>Lumen Technologies, Inc.</w:t>
            </w:r>
          </w:p>
        </w:tc>
        <w:tc>
          <w:tcPr>
            <w:tcW w:w="1660" w:type="dxa"/>
            <w:vAlign w:val="bottom"/>
            <w:shd w:val="clear" w:color="auto" w:fill="E0F0FB"/>
          </w:tcPr>
          <w:p>
            <w:pPr>
              <w:ind w:left="1480"/>
              <w:spacing w:after="0"/>
              <w:rPr>
                <w:sz w:val="20"/>
                <w:szCs w:val="20"/>
                <w:color w:val="auto"/>
              </w:rPr>
            </w:pPr>
            <w:r>
              <w:rPr>
                <w:rFonts w:ascii="Arial" w:cs="Arial" w:eastAsia="Arial" w:hAnsi="Arial"/>
                <w:sz w:val="17"/>
                <w:szCs w:val="17"/>
                <w:color w:val="00A0DD"/>
              </w:rPr>
              <w:t>●</w:t>
            </w:r>
          </w:p>
        </w:tc>
        <w:tc>
          <w:tcPr>
            <w:tcW w:w="5220" w:type="dxa"/>
            <w:vAlign w:val="bottom"/>
            <w:shd w:val="clear" w:color="auto" w:fill="E0F0FB"/>
          </w:tcPr>
          <w:p>
            <w:pPr>
              <w:ind w:left="80"/>
              <w:spacing w:after="0"/>
              <w:rPr>
                <w:sz w:val="20"/>
                <w:szCs w:val="20"/>
                <w:color w:val="auto"/>
              </w:rPr>
            </w:pPr>
            <w:r>
              <w:rPr>
                <w:rFonts w:ascii="Arial" w:cs="Arial" w:eastAsia="Arial" w:hAnsi="Arial"/>
                <w:sz w:val="18"/>
                <w:szCs w:val="18"/>
                <w:color w:val="auto"/>
              </w:rPr>
              <w:t>Verizon Communications Inc.</w:t>
            </w:r>
          </w:p>
        </w:tc>
      </w:tr>
      <w:tr>
        <w:trPr>
          <w:trHeight w:val="198"/>
        </w:trPr>
        <w:tc>
          <w:tcPr>
            <w:tcW w:w="400" w:type="dxa"/>
            <w:vAlign w:val="bottom"/>
            <w:shd w:val="clear" w:color="auto" w:fill="E0F0FB"/>
          </w:tcPr>
          <w:p>
            <w:pPr>
              <w:spacing w:after="0"/>
              <w:rPr>
                <w:sz w:val="17"/>
                <w:szCs w:val="17"/>
                <w:color w:val="auto"/>
              </w:rPr>
            </w:pPr>
          </w:p>
        </w:tc>
        <w:tc>
          <w:tcPr>
            <w:tcW w:w="3960" w:type="dxa"/>
            <w:vAlign w:val="bottom"/>
            <w:shd w:val="clear" w:color="auto" w:fill="E0F0FB"/>
          </w:tcPr>
          <w:p>
            <w:pPr>
              <w:spacing w:after="0"/>
              <w:rPr>
                <w:sz w:val="17"/>
                <w:szCs w:val="17"/>
                <w:color w:val="auto"/>
              </w:rPr>
            </w:pPr>
          </w:p>
        </w:tc>
        <w:tc>
          <w:tcPr>
            <w:tcW w:w="1660" w:type="dxa"/>
            <w:vAlign w:val="bottom"/>
            <w:shd w:val="clear" w:color="auto" w:fill="E0F0FB"/>
          </w:tcPr>
          <w:p>
            <w:pPr>
              <w:spacing w:after="0"/>
              <w:rPr>
                <w:sz w:val="17"/>
                <w:szCs w:val="17"/>
                <w:color w:val="auto"/>
              </w:rPr>
            </w:pPr>
          </w:p>
        </w:tc>
        <w:tc>
          <w:tcPr>
            <w:tcW w:w="5220" w:type="dxa"/>
            <w:vAlign w:val="bottom"/>
            <w:shd w:val="clear" w:color="auto" w:fill="E0F0FB"/>
          </w:tcPr>
          <w:p>
            <w:pPr>
              <w:spacing w:after="0"/>
              <w:rPr>
                <w:sz w:val="17"/>
                <w:szCs w:val="17"/>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peer group analyses indicate that overall, our “pay at risk” practices are generally aligned with peer group practices.</w:t>
      </w:r>
    </w:p>
    <w:p>
      <w:pPr>
        <w:spacing w:after="0" w:line="212" w:lineRule="exact"/>
        <w:rPr>
          <w:sz w:val="20"/>
          <w:szCs w:val="20"/>
          <w:color w:val="auto"/>
        </w:rPr>
      </w:pPr>
    </w:p>
    <w:p>
      <w:pPr>
        <w:ind w:left="260" w:right="40" w:hanging="252"/>
        <w:spacing w:after="0" w:line="247" w:lineRule="auto"/>
        <w:tabs>
          <w:tab w:leader="none" w:pos="260" w:val="left"/>
        </w:tabs>
        <w:numPr>
          <w:ilvl w:val="0"/>
          <w:numId w:val="79"/>
        </w:numPr>
        <w:rPr>
          <w:rFonts w:ascii="Arial" w:cs="Arial" w:eastAsia="Arial" w:hAnsi="Arial"/>
          <w:sz w:val="17"/>
          <w:szCs w:val="17"/>
          <w:color w:val="00A0DD"/>
        </w:rPr>
      </w:pPr>
      <w:r>
        <w:rPr>
          <w:rFonts w:ascii="Arial" w:cs="Arial" w:eastAsia="Arial" w:hAnsi="Arial"/>
          <w:sz w:val="18"/>
          <w:szCs w:val="18"/>
          <w:color w:val="auto"/>
        </w:rPr>
        <w:t>Comparisons for (i) Mr. Roberts were made to peer chief executive officers for the peer group, (ii) Mr. Cavanagh were made by ordinal rank (i.e., the position in the Summary Compensation Table) and to Chief Executive Officers for the media companies in the peer group, (iii) Mr. Armstrong were made to peer chief financial officers, (iv) Mr. Reid were made to peer chief legal officers and heads of government affairs, and (v) Ms. Khoury were made by ordinal rank and to top communications officers based on survey data.</w:t>
      </w:r>
    </w:p>
    <w:p>
      <w:pPr>
        <w:spacing w:after="0" w:line="25" w:lineRule="exact"/>
        <w:rPr>
          <w:rFonts w:ascii="Arial" w:cs="Arial" w:eastAsia="Arial" w:hAnsi="Arial"/>
          <w:sz w:val="17"/>
          <w:szCs w:val="17"/>
          <w:color w:val="00A0DD"/>
        </w:rPr>
      </w:pPr>
    </w:p>
    <w:p>
      <w:pPr>
        <w:ind w:left="260" w:right="300" w:hanging="252"/>
        <w:spacing w:after="0" w:line="271" w:lineRule="auto"/>
        <w:tabs>
          <w:tab w:leader="none" w:pos="260" w:val="left"/>
        </w:tabs>
        <w:numPr>
          <w:ilvl w:val="0"/>
          <w:numId w:val="79"/>
        </w:numPr>
        <w:rPr>
          <w:rFonts w:ascii="Arial" w:cs="Arial" w:eastAsia="Arial" w:hAnsi="Arial"/>
          <w:sz w:val="17"/>
          <w:szCs w:val="17"/>
          <w:color w:val="00A0DD"/>
        </w:rPr>
      </w:pPr>
      <w:r>
        <w:rPr>
          <w:rFonts w:ascii="Arial" w:cs="Arial" w:eastAsia="Arial" w:hAnsi="Arial"/>
          <w:sz w:val="18"/>
          <w:szCs w:val="18"/>
          <w:color w:val="auto"/>
        </w:rPr>
        <w:t>As a supplemental reference point to further inform the CHC Committee, comparisons were made to general industry peer groups with revenues similar in size to our business as a whole and our business units.</w:t>
      </w:r>
    </w:p>
    <w:p>
      <w:pPr>
        <w:spacing w:after="0" w:line="5" w:lineRule="exact"/>
        <w:rPr>
          <w:rFonts w:ascii="Arial" w:cs="Arial" w:eastAsia="Arial" w:hAnsi="Arial"/>
          <w:sz w:val="17"/>
          <w:szCs w:val="17"/>
          <w:color w:val="00A0DD"/>
        </w:rPr>
      </w:pPr>
    </w:p>
    <w:p>
      <w:pPr>
        <w:ind w:left="260" w:right="80" w:hanging="252"/>
        <w:spacing w:after="0" w:line="253" w:lineRule="auto"/>
        <w:tabs>
          <w:tab w:leader="none" w:pos="260" w:val="left"/>
        </w:tabs>
        <w:numPr>
          <w:ilvl w:val="0"/>
          <w:numId w:val="79"/>
        </w:numPr>
        <w:rPr>
          <w:rFonts w:ascii="Arial" w:cs="Arial" w:eastAsia="Arial" w:hAnsi="Arial"/>
          <w:sz w:val="17"/>
          <w:szCs w:val="17"/>
          <w:color w:val="00A0DD"/>
        </w:rPr>
      </w:pPr>
      <w:r>
        <w:rPr>
          <w:rFonts w:ascii="Arial" w:cs="Arial" w:eastAsia="Arial" w:hAnsi="Arial"/>
          <w:sz w:val="18"/>
          <w:szCs w:val="18"/>
          <w:color w:val="auto"/>
        </w:rPr>
        <w:t>The CHC Committee does not determine an NEO’s target compensation solely based on a specific reference point within our peer group; instead, it reviews our peer group analyses, as well as the other analyses discussed in “CHC Committee’s Role, Process and Assessments,” both to validate our compensation program design and to inform its judgment in determining target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color w:val="auto"/>
        </w:rPr>
        <w:t>Other Compensation Policies and Considerations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00A0DD"/>
        </w:rPr>
        <w:t>Executive Stock Ownership Policy</w:t>
      </w:r>
    </w:p>
    <w:p>
      <w:pPr>
        <w:spacing w:after="0" w:line="21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have a stock ownership policy for members of our senior management, including our NEOs, that is designed to increase our executives’ ownership stake in our company and align their interests with those of our shareholders.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00" w:type="dxa"/>
            <w:vAlign w:val="bottom"/>
          </w:tcPr>
          <w:p>
            <w:pPr>
              <w:spacing w:after="0"/>
              <w:rPr>
                <w:sz w:val="15"/>
                <w:szCs w:val="15"/>
                <w:color w:val="auto"/>
              </w:rPr>
            </w:pPr>
          </w:p>
        </w:tc>
        <w:tc>
          <w:tcPr>
            <w:tcW w:w="4700" w:type="dxa"/>
            <w:vAlign w:val="bottom"/>
          </w:tcPr>
          <w:p>
            <w:pPr>
              <w:jc w:val="right"/>
              <w:ind w:right="44"/>
              <w:spacing w:after="0"/>
              <w:rPr>
                <w:sz w:val="20"/>
                <w:szCs w:val="20"/>
                <w:color w:val="auto"/>
              </w:rPr>
            </w:pPr>
            <w:r>
              <w:rPr>
                <w:rFonts w:ascii="Arial" w:cs="Arial" w:eastAsia="Arial" w:hAnsi="Arial"/>
                <w:sz w:val="15"/>
                <w:szCs w:val="15"/>
                <w:b w:val="1"/>
                <w:bCs w:val="1"/>
                <w:color w:val="auto"/>
              </w:rPr>
              <w:t>MULTIPLE OF BASE</w:t>
            </w:r>
          </w:p>
        </w:tc>
        <w:tc>
          <w:tcPr>
            <w:tcW w:w="18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COMPLIANCE STATUS</w:t>
            </w:r>
          </w:p>
        </w:tc>
        <w:tc>
          <w:tcPr>
            <w:tcW w:w="0" w:type="dxa"/>
            <w:vAlign w:val="bottom"/>
          </w:tcPr>
          <w:p>
            <w:pPr>
              <w:spacing w:after="0"/>
              <w:rPr>
                <w:sz w:val="1"/>
                <w:szCs w:val="1"/>
                <w:color w:val="auto"/>
              </w:rPr>
            </w:pPr>
          </w:p>
        </w:tc>
      </w:tr>
      <w:tr>
        <w:trPr>
          <w:trHeight w:val="208"/>
        </w:trPr>
        <w:tc>
          <w:tcPr>
            <w:tcW w:w="470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SALARY REQUIRED</w:t>
            </w:r>
          </w:p>
        </w:tc>
        <w:tc>
          <w:tcPr>
            <w:tcW w:w="1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Brian L. Roberts</w:t>
            </w:r>
          </w:p>
        </w:tc>
        <w:tc>
          <w:tcPr>
            <w:tcW w:w="470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10x</w:t>
            </w:r>
          </w:p>
        </w:tc>
        <w:tc>
          <w:tcPr>
            <w:tcW w:w="18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In compliance</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Michael J. Cavanagh</w:t>
            </w:r>
          </w:p>
        </w:tc>
        <w:tc>
          <w:tcPr>
            <w:tcW w:w="470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5x</w:t>
            </w:r>
          </w:p>
        </w:tc>
        <w:tc>
          <w:tcPr>
            <w:tcW w:w="18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In compliance</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Jason S. Armstrong</w:t>
            </w:r>
          </w:p>
        </w:tc>
        <w:tc>
          <w:tcPr>
            <w:tcW w:w="470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3x</w:t>
            </w:r>
          </w:p>
        </w:tc>
        <w:tc>
          <w:tcPr>
            <w:tcW w:w="18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In compliance</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Thomas J. Reid</w:t>
            </w:r>
          </w:p>
        </w:tc>
        <w:tc>
          <w:tcPr>
            <w:tcW w:w="470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3x</w:t>
            </w:r>
          </w:p>
        </w:tc>
        <w:tc>
          <w:tcPr>
            <w:tcW w:w="18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In compliance</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Jennifer Khoury</w:t>
            </w:r>
          </w:p>
        </w:tc>
        <w:tc>
          <w:tcPr>
            <w:tcW w:w="4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3x</w:t>
            </w:r>
          </w:p>
        </w:tc>
        <w:tc>
          <w:tcPr>
            <w:tcW w:w="18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In compliance</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“Ownership” includes (i) stock owned directly or indirectly, (ii) shares credited under our employee stock purchase plan, which must be held for one year from the date credited, and (iii) 60% of deferred vested shares, shares deemed invested in Comcast’s stock fund under our deferred compensation plans and the pre-tax net number of shares deliverable upon the exercise of vested stock options. There is a phase-in period of six years after the year in which an executive first becomes subject to the policy (or to a higher base salary multiple) to allow the executive to meet the full stock ownership requirement. If an executive is subject to a phase-in period, we consider them to be in compliance with the policy if they meet the reduced stock ownership requirements under such phase-in. In determining compliance, the CHC Committee may consider any noncompliance that occurs solely or primarily from a decline in the market price of our stock. If an executive is not in compliance, he or she is prohibited from selling our stock (unless a hardship exemption is granted).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00A0DD"/>
        </w:rPr>
        <w:t>Policies Regarding Trading Activities and Prohibitions on Hedging and Pledging</w:t>
      </w:r>
    </w:p>
    <w:p>
      <w:pPr>
        <w:spacing w:after="0" w:line="21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Our trading policy prohibits our executive officers, certain other high-level employees and directors from buying or selling any of our securities during specified blackout periods, and, when outside of those blackout periods, they may only buy or sell our securities with prior approval in accordance with internal procedures. This helps ensure that our executive officers and directors will not trade in our securities at a time when they are aware of material, nonpublic information.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38</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policies prohibit our executive officers and directors from (i) using any strategies or products (including derivative securities, such as put or call options, or short-selling techniques) to hedge against potential changes in the value of our stock and (ii) holding our stock in margin accounts or pledging our stock as collateral for a loan.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00A0DD"/>
        </w:rPr>
        <w:t>No Automatic Payments in Connection with a Change in Control</w:t>
      </w:r>
    </w:p>
    <w:p>
      <w:pPr>
        <w:spacing w:after="0" w:line="214" w:lineRule="exact"/>
        <w:rPr>
          <w:sz w:val="20"/>
          <w:szCs w:val="20"/>
          <w:color w:val="auto"/>
        </w:rPr>
      </w:pPr>
    </w:p>
    <w:p>
      <w:pPr>
        <w:ind w:right="300"/>
        <w:spacing w:after="0" w:line="242" w:lineRule="auto"/>
        <w:rPr>
          <w:sz w:val="20"/>
          <w:szCs w:val="20"/>
          <w:color w:val="auto"/>
        </w:rPr>
      </w:pPr>
      <w:r>
        <w:rPr>
          <w:rFonts w:ascii="Arial" w:cs="Arial" w:eastAsia="Arial" w:hAnsi="Arial"/>
          <w:sz w:val="18"/>
          <w:szCs w:val="18"/>
          <w:color w:val="auto"/>
        </w:rPr>
        <w:t>We generally do not have any benefits, such as accelerated vesting of equity awards, that are “triggered” automatically as a result of a “change in control” (a “single trigger”) or the occurrence of one or more specified events (a “double trigger”) that may follow a change in control, such as termination of employment without cause. Instead, we believe it is in the best interests of our company for our Board and CHC Committee, who are subject to fiduciary obligations to act in a manner they believe to be in the best interests of our company and shareholders, to retain the discretion to determine whether it is appropriate to accelerate the vesting of stock options and/or stock units or provide other benefits in connection with a particular change in control transaction.</w:t>
      </w:r>
    </w:p>
    <w:p>
      <w:pPr>
        <w:spacing w:after="0" w:line="17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Mr. Roberts’ employment agreement provides that if his employment is terminated following a change in control, that termination will be treated as a termination without cause for the purpose of determining his benefits in those circumstances under his employment agreement. The CHC Committee approved this provision as a fair and reasonable protection for our Chief Executive Officer in the event of a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00A0DD"/>
        </w:rPr>
        <w:t>Payments in Connection with a Termination of Employment</w:t>
      </w:r>
    </w:p>
    <w:p>
      <w:pPr>
        <w:spacing w:after="0" w:line="21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Payments to our NEOs upon a termination of employment are described under the “Potential Payments upon Termination or Change in Control” table below. These compensation arrangements are contained in each NEO’s employment or other agreements and are not a factor in the CHC Committee’s determination of current year compensation elements. These arrangements were arrived at as a result of arm’s-length negotiations in connection with entering into each such agreement.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00A0DD"/>
        </w:rPr>
        <w:t>Recoupment (or “Clawback”) Policy</w:t>
      </w:r>
    </w:p>
    <w:p>
      <w:pPr>
        <w:spacing w:after="0" w:line="214"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We have an incentive compensation recoupment (or “clawback”) policy that was adopted in accordance with applicable SEC and Nasdaq rules, which replaces in its entirety our former clawback policy. Under this policy, the CHC Committee will seek to recover incentive compensation paid to our executive officers in the event of an accounting restatement as defined, and to the extent required, under such rules.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00A0DD"/>
        </w:rPr>
        <w:t>Award Timing</w:t>
      </w:r>
    </w:p>
    <w:p>
      <w:pPr>
        <w:spacing w:after="0" w:line="21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Our current practice is to grant annual equity incentive awards each year on the first business day in March. The value of these annual awards is approved by the CHC Committee at a meeting prior to the grant date. Our off-cycle awards (for new hires, mid-year promotions, etc.) are granted in accordance with pre-established grant date schedules.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00A0DD"/>
        </w:rPr>
        <w:t>Tax and Accounting Considerations</w:t>
      </w:r>
    </w:p>
    <w:p>
      <w:pPr>
        <w:spacing w:after="0" w:line="21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CHC Committee considers accounting and tax implications of our compensation and benefit programs, including with respect to the tax deductibility of our executive compensation. Section 162(m) of the Internal Revenue Code generally limits the tax deductibility of compensation paid by public companies to certain executive officers to $1 million. In the exercise of its business judgment and in accordance with its compensation philosophy, the CHC Committee has previously awarded, and continues to have the flexibility to award, compensation that is not tax deductible if it determines that such award is in our shareholders’ best interests.</w:t>
      </w:r>
    </w:p>
    <w:p>
      <w:pPr>
        <w:spacing w:after="0" w:line="17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the Internal Revenue Code limits the amount that companies can deduct for the personal use of company-provided aircraft to the amount recognized as income by the executives who used the aircraft. In 2023, the total amount of our disallowed tax deduction resulting from the personal use of Company-provided aircraft by our NEOs and any guests was approximately $5.8 million.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00A0DD"/>
        </w:rPr>
        <w:t>Other Considerations</w:t>
      </w:r>
    </w:p>
    <w:p>
      <w:pPr>
        <w:spacing w:after="0" w:line="21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The CHC Committee is aware that Mr. Roberts is our shareholder with the greatest beneficial voting power. The CHC Committee maintains an objective stance toward Mr. Roberts’ compensation. The CHC Committee uses the same methods, tools and processes to determine Mr. Roberts’ compensation as it does for our other NEOs.</w:t>
      </w:r>
    </w:p>
    <w:p>
      <w:pPr>
        <w:spacing w:after="0" w:line="173" w:lineRule="exact"/>
        <w:rPr>
          <w:sz w:val="20"/>
          <w:szCs w:val="20"/>
          <w:color w:val="auto"/>
        </w:rPr>
      </w:pPr>
    </w:p>
    <w:p>
      <w:pPr>
        <w:ind w:left="360" w:hanging="352"/>
        <w:spacing w:after="0"/>
        <w:tabs>
          <w:tab w:leader="none" w:pos="360" w:val="left"/>
        </w:tabs>
        <w:numPr>
          <w:ilvl w:val="0"/>
          <w:numId w:val="8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Compensation and Human Capital Committee Report</w:t>
      </w:r>
    </w:p>
    <w:p>
      <w:pPr>
        <w:spacing w:after="0" w:line="235" w:lineRule="exact"/>
        <w:rPr>
          <w:sz w:val="20"/>
          <w:szCs w:val="20"/>
          <w:color w:val="auto"/>
        </w:rPr>
      </w:pPr>
    </w:p>
    <w:p>
      <w:pPr>
        <w:jc w:val="both"/>
        <w:ind w:right="460"/>
        <w:spacing w:after="0" w:line="253" w:lineRule="auto"/>
        <w:rPr>
          <w:sz w:val="20"/>
          <w:szCs w:val="20"/>
          <w:color w:val="auto"/>
        </w:rPr>
      </w:pPr>
      <w:r>
        <w:rPr>
          <w:rFonts w:ascii="Arial" w:cs="Arial" w:eastAsia="Arial" w:hAnsi="Arial"/>
          <w:sz w:val="18"/>
          <w:szCs w:val="18"/>
          <w:color w:val="auto"/>
        </w:rPr>
        <w:t>We, the members of the CHC Committee of the Board of Directors, have reviewed and discussed with management the Compensation Discussion and Analysis. Based on this review and discussion, we have recommended to the Board of Directors that the Compensation Discussion and Analysis be included in this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00A0E0"/>
        </w:rPr>
        <w:t>Members of the Compensation and Human Capital Committee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Edward D. Breen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Gerald L. Hassell*</w:t>
      </w:r>
    </w:p>
    <w:p>
      <w:pPr>
        <w:spacing w:after="0"/>
        <w:rPr>
          <w:sz w:val="20"/>
          <w:szCs w:val="20"/>
          <w:color w:val="auto"/>
        </w:rPr>
      </w:pPr>
      <w:r>
        <w:rPr>
          <w:rFonts w:ascii="Arial" w:cs="Arial" w:eastAsia="Arial" w:hAnsi="Arial"/>
          <w:sz w:val="18"/>
          <w:szCs w:val="18"/>
          <w:color w:val="auto"/>
        </w:rPr>
        <w:t>David C. Novak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Mr. Hassell is not a nominee for director at our 2024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Executive Compensation Tables</w:t>
      </w: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color w:val="auto"/>
        </w:rPr>
        <w:t>Summary Compensation Table</w:t>
      </w:r>
    </w:p>
    <w:p>
      <w:pPr>
        <w:spacing w:after="0" w:line="229"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Our NEOs for 2023 are: Mr. Brian L. Roberts, Chairman of the Board and Chief Executive Officer, Mr. Jason S. Armstrong, our Chief Financial Officer, and our next three most highly compensated executive officers as of December 31, 2023 (Mr. Michael J. Cavanagh, Mr. Thomas J. Reid, and Ms. Jennifer Khoury).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CHANGE IN</w:t>
            </w:r>
          </w:p>
        </w:tc>
        <w:tc>
          <w:tcPr>
            <w:tcW w:w="1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PENSION VALUE</w:t>
            </w: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NON-EQUITY</w:t>
            </w: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AND EARNINGS</w:t>
            </w: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STOCK</w:t>
            </w: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OPTION</w:t>
            </w:r>
          </w:p>
        </w:tc>
        <w:tc>
          <w:tcPr>
            <w:tcW w:w="1340" w:type="dxa"/>
            <w:vAlign w:val="bottom"/>
            <w:vMerge w:val="continue"/>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ON NONQUALIFIED</w:t>
            </w:r>
          </w:p>
        </w:tc>
        <w:tc>
          <w:tcPr>
            <w:tcW w:w="13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ALL OTHER</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1380" w:type="dxa"/>
            <w:vAlign w:val="bottom"/>
          </w:tcPr>
          <w:p>
            <w:pPr>
              <w:jc w:val="right"/>
              <w:spacing w:after="0"/>
              <w:rPr>
                <w:sz w:val="20"/>
                <w:szCs w:val="20"/>
                <w:color w:val="auto"/>
              </w:rPr>
            </w:pPr>
            <w:r>
              <w:rPr>
                <w:rFonts w:ascii="Arial" w:cs="Arial" w:eastAsia="Arial" w:hAnsi="Arial"/>
                <w:sz w:val="13"/>
                <w:szCs w:val="13"/>
                <w:b w:val="1"/>
                <w:bCs w:val="1"/>
                <w:color w:val="auto"/>
              </w:rPr>
              <w:t>DEFERRED</w:t>
            </w:r>
          </w:p>
        </w:tc>
        <w:tc>
          <w:tcPr>
            <w:tcW w:w="136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420" w:type="dxa"/>
            <w:vAlign w:val="bottom"/>
          </w:tcPr>
          <w:p>
            <w:pPr>
              <w:ind w:left="80"/>
              <w:spacing w:after="0"/>
              <w:rPr>
                <w:sz w:val="20"/>
                <w:szCs w:val="20"/>
                <w:color w:val="auto"/>
              </w:rPr>
            </w:pPr>
            <w:r>
              <w:rPr>
                <w:rFonts w:ascii="Arial" w:cs="Arial" w:eastAsia="Arial" w:hAnsi="Arial"/>
                <w:sz w:val="13"/>
                <w:szCs w:val="13"/>
                <w:b w:val="1"/>
                <w:bCs w:val="1"/>
                <w:color w:val="auto"/>
              </w:rPr>
              <w:t>NAME AND</w:t>
            </w: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9"/>
              </w:rPr>
              <w:t>YEAR</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SALARY</w:t>
            </w:r>
          </w:p>
        </w:tc>
        <w:tc>
          <w:tcPr>
            <w:tcW w:w="840" w:type="dxa"/>
            <w:vAlign w:val="bottom"/>
          </w:tcPr>
          <w:p>
            <w:pPr>
              <w:jc w:val="right"/>
              <w:spacing w:after="0" w:line="178"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20"/>
                <w:szCs w:val="20"/>
                <w:b w:val="1"/>
                <w:bCs w:val="1"/>
                <w:color w:val="auto"/>
                <w:vertAlign w:val="superscript"/>
              </w:rPr>
              <w:t>(1)</w:t>
            </w:r>
          </w:p>
        </w:tc>
        <w:tc>
          <w:tcPr>
            <w:tcW w:w="860" w:type="dxa"/>
            <w:vAlign w:val="bottom"/>
          </w:tcPr>
          <w:p>
            <w:pPr>
              <w:jc w:val="right"/>
              <w:spacing w:after="0" w:line="178"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20"/>
                <w:szCs w:val="20"/>
                <w:b w:val="1"/>
                <w:bCs w:val="1"/>
                <w:color w:val="auto"/>
                <w:vertAlign w:val="superscript"/>
              </w:rPr>
              <w:t>(2)</w:t>
            </w:r>
          </w:p>
        </w:tc>
        <w:tc>
          <w:tcPr>
            <w:tcW w:w="1340" w:type="dxa"/>
            <w:vAlign w:val="bottom"/>
          </w:tcPr>
          <w:p>
            <w:pPr>
              <w:jc w:val="right"/>
              <w:spacing w:after="0" w:line="178"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20"/>
                <w:szCs w:val="20"/>
                <w:b w:val="1"/>
                <w:bCs w:val="1"/>
                <w:color w:val="auto"/>
                <w:vertAlign w:val="superscript"/>
              </w:rPr>
              <w:t>(3)</w:t>
            </w:r>
          </w:p>
        </w:tc>
        <w:tc>
          <w:tcPr>
            <w:tcW w:w="1380" w:type="dxa"/>
            <w:vAlign w:val="bottom"/>
          </w:tcPr>
          <w:p>
            <w:pPr>
              <w:jc w:val="right"/>
              <w:spacing w:after="0" w:line="178"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20"/>
                <w:szCs w:val="20"/>
                <w:b w:val="1"/>
                <w:bCs w:val="1"/>
                <w:color w:val="auto"/>
                <w:vertAlign w:val="superscript"/>
              </w:rPr>
              <w:t>(4)</w:t>
            </w:r>
          </w:p>
        </w:tc>
        <w:tc>
          <w:tcPr>
            <w:tcW w:w="1360" w:type="dxa"/>
            <w:vAlign w:val="bottom"/>
          </w:tcPr>
          <w:p>
            <w:pPr>
              <w:jc w:val="right"/>
              <w:spacing w:after="0" w:line="178"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20"/>
                <w:szCs w:val="20"/>
                <w:b w:val="1"/>
                <w:bCs w:val="1"/>
                <w:color w:val="auto"/>
                <w:vertAlign w:val="superscript"/>
              </w:rPr>
              <w:t>(5)</w:t>
            </w:r>
          </w:p>
        </w:tc>
        <w:tc>
          <w:tcPr>
            <w:tcW w:w="840" w:type="dxa"/>
            <w:vAlign w:val="bottom"/>
          </w:tcPr>
          <w:p>
            <w:pPr>
              <w:jc w:val="right"/>
              <w:ind w:right="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8"/>
        </w:trPr>
        <w:tc>
          <w:tcPr>
            <w:tcW w:w="34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PRINCIPAL POSITION</w:t>
            </w:r>
          </w:p>
        </w:tc>
        <w:tc>
          <w:tcPr>
            <w:tcW w:w="4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5"/>
        </w:trPr>
        <w:tc>
          <w:tcPr>
            <w:tcW w:w="3420" w:type="dxa"/>
            <w:vAlign w:val="bottom"/>
          </w:tcPr>
          <w:p>
            <w:pPr>
              <w:ind w:left="80"/>
              <w:spacing w:after="0"/>
              <w:rPr>
                <w:sz w:val="20"/>
                <w:szCs w:val="20"/>
                <w:color w:val="auto"/>
              </w:rPr>
            </w:pPr>
            <w:r>
              <w:rPr>
                <w:rFonts w:ascii="Arial" w:cs="Arial" w:eastAsia="Arial" w:hAnsi="Arial"/>
                <w:sz w:val="14"/>
                <w:szCs w:val="14"/>
                <w:b w:val="1"/>
                <w:bCs w:val="1"/>
                <w:color w:val="auto"/>
              </w:rPr>
              <w:t>Brian L. Roberts</w:t>
            </w:r>
          </w:p>
        </w:tc>
        <w:tc>
          <w:tcPr>
            <w:tcW w:w="440" w:type="dxa"/>
            <w:vAlign w:val="bottom"/>
          </w:tcPr>
          <w:p>
            <w:pPr>
              <w:jc w:val="right"/>
              <w:spacing w:after="0"/>
              <w:rPr>
                <w:sz w:val="20"/>
                <w:szCs w:val="20"/>
                <w:color w:val="auto"/>
              </w:rPr>
            </w:pPr>
            <w:r>
              <w:rPr>
                <w:rFonts w:ascii="Arial" w:cs="Arial" w:eastAsia="Arial" w:hAnsi="Arial"/>
                <w:sz w:val="14"/>
                <w:szCs w:val="14"/>
                <w:color w:val="auto"/>
              </w:rPr>
              <w:t>2023</w:t>
            </w:r>
          </w:p>
        </w:tc>
        <w:tc>
          <w:tcPr>
            <w:tcW w:w="760" w:type="dxa"/>
            <w:vAlign w:val="bottom"/>
          </w:tcPr>
          <w:p>
            <w:pPr>
              <w:jc w:val="right"/>
              <w:spacing w:after="0"/>
              <w:rPr>
                <w:sz w:val="20"/>
                <w:szCs w:val="20"/>
                <w:color w:val="auto"/>
              </w:rPr>
            </w:pPr>
            <w:r>
              <w:rPr>
                <w:rFonts w:ascii="Arial" w:cs="Arial" w:eastAsia="Arial" w:hAnsi="Arial"/>
                <w:sz w:val="14"/>
                <w:szCs w:val="14"/>
                <w:color w:val="auto"/>
              </w:rPr>
              <w:t>2,500,000</w:t>
            </w:r>
          </w:p>
        </w:tc>
        <w:tc>
          <w:tcPr>
            <w:tcW w:w="840" w:type="dxa"/>
            <w:vAlign w:val="bottom"/>
          </w:tcPr>
          <w:p>
            <w:pPr>
              <w:jc w:val="right"/>
              <w:spacing w:after="0"/>
              <w:rPr>
                <w:sz w:val="20"/>
                <w:szCs w:val="20"/>
                <w:color w:val="auto"/>
              </w:rPr>
            </w:pPr>
            <w:r>
              <w:rPr>
                <w:rFonts w:ascii="Arial" w:cs="Arial" w:eastAsia="Arial" w:hAnsi="Arial"/>
                <w:sz w:val="14"/>
                <w:szCs w:val="14"/>
                <w:color w:val="auto"/>
              </w:rPr>
              <w:t>15,024,591</w:t>
            </w:r>
          </w:p>
        </w:tc>
        <w:tc>
          <w:tcPr>
            <w:tcW w:w="860" w:type="dxa"/>
            <w:vAlign w:val="bottom"/>
          </w:tcPr>
          <w:p>
            <w:pPr>
              <w:jc w:val="right"/>
              <w:spacing w:after="0"/>
              <w:rPr>
                <w:sz w:val="20"/>
                <w:szCs w:val="20"/>
                <w:color w:val="auto"/>
              </w:rPr>
            </w:pPr>
            <w:r>
              <w:rPr>
                <w:rFonts w:ascii="Arial" w:cs="Arial" w:eastAsia="Arial" w:hAnsi="Arial"/>
                <w:sz w:val="14"/>
                <w:szCs w:val="14"/>
                <w:color w:val="auto"/>
              </w:rPr>
              <w:t>9,200,027</w:t>
            </w:r>
          </w:p>
        </w:tc>
        <w:tc>
          <w:tcPr>
            <w:tcW w:w="1340" w:type="dxa"/>
            <w:vAlign w:val="bottom"/>
          </w:tcPr>
          <w:p>
            <w:pPr>
              <w:jc w:val="right"/>
              <w:spacing w:after="0"/>
              <w:rPr>
                <w:sz w:val="20"/>
                <w:szCs w:val="20"/>
                <w:color w:val="auto"/>
              </w:rPr>
            </w:pPr>
            <w:r>
              <w:rPr>
                <w:rFonts w:ascii="Arial" w:cs="Arial" w:eastAsia="Arial" w:hAnsi="Arial"/>
                <w:sz w:val="14"/>
                <w:szCs w:val="14"/>
                <w:color w:val="auto"/>
              </w:rPr>
              <w:t>8,550,000</w:t>
            </w:r>
          </w:p>
        </w:tc>
        <w:tc>
          <w:tcPr>
            <w:tcW w:w="1380" w:type="dxa"/>
            <w:vAlign w:val="bottom"/>
          </w:tcPr>
          <w:p>
            <w:pPr>
              <w:jc w:val="right"/>
              <w:spacing w:after="0"/>
              <w:rPr>
                <w:sz w:val="20"/>
                <w:szCs w:val="20"/>
                <w:color w:val="auto"/>
              </w:rPr>
            </w:pPr>
            <w:r>
              <w:rPr>
                <w:rFonts w:ascii="Arial" w:cs="Arial" w:eastAsia="Arial" w:hAnsi="Arial"/>
                <w:sz w:val="14"/>
                <w:szCs w:val="14"/>
                <w:color w:val="auto"/>
              </w:rPr>
              <w:t>0</w:t>
            </w:r>
          </w:p>
        </w:tc>
        <w:tc>
          <w:tcPr>
            <w:tcW w:w="1360" w:type="dxa"/>
            <w:vAlign w:val="bottom"/>
          </w:tcPr>
          <w:p>
            <w:pPr>
              <w:jc w:val="right"/>
              <w:spacing w:after="0"/>
              <w:rPr>
                <w:sz w:val="20"/>
                <w:szCs w:val="20"/>
                <w:color w:val="auto"/>
              </w:rPr>
            </w:pPr>
            <w:r>
              <w:rPr>
                <w:rFonts w:ascii="Arial" w:cs="Arial" w:eastAsia="Arial" w:hAnsi="Arial"/>
                <w:sz w:val="14"/>
                <w:szCs w:val="14"/>
                <w:color w:val="auto"/>
              </w:rPr>
              <w:t>199,049</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35,473,666</w:t>
            </w:r>
          </w:p>
        </w:tc>
        <w:tc>
          <w:tcPr>
            <w:tcW w:w="0" w:type="dxa"/>
            <w:vAlign w:val="bottom"/>
          </w:tcPr>
          <w:p>
            <w:pPr>
              <w:spacing w:after="0"/>
              <w:rPr>
                <w:sz w:val="1"/>
                <w:szCs w:val="1"/>
                <w:color w:val="auto"/>
              </w:rPr>
            </w:pPr>
          </w:p>
        </w:tc>
      </w:tr>
      <w:tr>
        <w:trPr>
          <w:trHeight w:val="63"/>
        </w:trPr>
        <w:tc>
          <w:tcPr>
            <w:tcW w:w="3420" w:type="dxa"/>
            <w:vAlign w:val="bottom"/>
            <w:vMerge w:val="restart"/>
          </w:tcPr>
          <w:p>
            <w:pPr>
              <w:ind w:left="80"/>
              <w:spacing w:after="0"/>
              <w:rPr>
                <w:sz w:val="20"/>
                <w:szCs w:val="20"/>
                <w:color w:val="auto"/>
              </w:rPr>
            </w:pPr>
            <w:r>
              <w:rPr>
                <w:rFonts w:ascii="Arial" w:cs="Arial" w:eastAsia="Arial" w:hAnsi="Arial"/>
                <w:sz w:val="14"/>
                <w:szCs w:val="14"/>
                <w:color w:val="auto"/>
              </w:rPr>
              <w:t>Chairman of the Board &amp; Chief Executive Officer</w:t>
            </w:r>
          </w:p>
        </w:tc>
        <w:tc>
          <w:tcPr>
            <w:tcW w:w="440" w:type="dxa"/>
            <w:vAlign w:val="bottom"/>
            <w:tcBorders>
              <w:bottom w:val="single" w:sz="8" w:color="DCDDDE"/>
            </w:tcBorders>
          </w:tcPr>
          <w:p>
            <w:pPr>
              <w:spacing w:after="0"/>
              <w:rPr>
                <w:sz w:val="5"/>
                <w:szCs w:val="5"/>
                <w:color w:val="auto"/>
              </w:rPr>
            </w:pPr>
          </w:p>
        </w:tc>
        <w:tc>
          <w:tcPr>
            <w:tcW w:w="760" w:type="dxa"/>
            <w:vAlign w:val="bottom"/>
            <w:tcBorders>
              <w:bottom w:val="single" w:sz="8" w:color="DCDDDE"/>
            </w:tcBorders>
          </w:tcPr>
          <w:p>
            <w:pPr>
              <w:spacing w:after="0"/>
              <w:rPr>
                <w:sz w:val="5"/>
                <w:szCs w:val="5"/>
                <w:color w:val="auto"/>
              </w:rPr>
            </w:pPr>
          </w:p>
        </w:tc>
        <w:tc>
          <w:tcPr>
            <w:tcW w:w="840" w:type="dxa"/>
            <w:vAlign w:val="bottom"/>
            <w:tcBorders>
              <w:bottom w:val="single" w:sz="8" w:color="DCDDDE"/>
            </w:tcBorders>
          </w:tcPr>
          <w:p>
            <w:pPr>
              <w:spacing w:after="0"/>
              <w:rPr>
                <w:sz w:val="5"/>
                <w:szCs w:val="5"/>
                <w:color w:val="auto"/>
              </w:rPr>
            </w:pPr>
          </w:p>
        </w:tc>
        <w:tc>
          <w:tcPr>
            <w:tcW w:w="860" w:type="dxa"/>
            <w:vAlign w:val="bottom"/>
            <w:tcBorders>
              <w:bottom w:val="single" w:sz="8" w:color="DCDDDE"/>
            </w:tcBorders>
          </w:tcPr>
          <w:p>
            <w:pPr>
              <w:spacing w:after="0"/>
              <w:rPr>
                <w:sz w:val="5"/>
                <w:szCs w:val="5"/>
                <w:color w:val="auto"/>
              </w:rPr>
            </w:pPr>
          </w:p>
        </w:tc>
        <w:tc>
          <w:tcPr>
            <w:tcW w:w="1340" w:type="dxa"/>
            <w:vAlign w:val="bottom"/>
            <w:tcBorders>
              <w:bottom w:val="single" w:sz="8" w:color="DCDDDE"/>
            </w:tcBorders>
          </w:tcPr>
          <w:p>
            <w:pPr>
              <w:spacing w:after="0"/>
              <w:rPr>
                <w:sz w:val="5"/>
                <w:szCs w:val="5"/>
                <w:color w:val="auto"/>
              </w:rPr>
            </w:pPr>
          </w:p>
        </w:tc>
        <w:tc>
          <w:tcPr>
            <w:tcW w:w="1380" w:type="dxa"/>
            <w:vAlign w:val="bottom"/>
            <w:tcBorders>
              <w:bottom w:val="single" w:sz="8" w:color="DCDDDE"/>
            </w:tcBorders>
          </w:tcPr>
          <w:p>
            <w:pPr>
              <w:spacing w:after="0"/>
              <w:rPr>
                <w:sz w:val="5"/>
                <w:szCs w:val="5"/>
                <w:color w:val="auto"/>
              </w:rPr>
            </w:pPr>
          </w:p>
        </w:tc>
        <w:tc>
          <w:tcPr>
            <w:tcW w:w="1360" w:type="dxa"/>
            <w:vAlign w:val="bottom"/>
            <w:tcBorders>
              <w:bottom w:val="single" w:sz="8" w:color="DCDDDE"/>
            </w:tcBorders>
          </w:tcPr>
          <w:p>
            <w:pPr>
              <w:spacing w:after="0"/>
              <w:rPr>
                <w:sz w:val="5"/>
                <w:szCs w:val="5"/>
                <w:color w:val="auto"/>
              </w:rPr>
            </w:pPr>
          </w:p>
        </w:tc>
        <w:tc>
          <w:tcPr>
            <w:tcW w:w="840" w:type="dxa"/>
            <w:vAlign w:val="bottom"/>
            <w:tcBorders>
              <w:bottom w:val="single" w:sz="8" w:color="DCDDDE"/>
            </w:tcBorders>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420" w:type="dxa"/>
            <w:vAlign w:val="bottom"/>
            <w:vMerge w:val="continue"/>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2,500,000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13,383,702</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8,480,021</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7,500,000</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206,127</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32,069,850</w:t>
            </w:r>
          </w:p>
        </w:tc>
        <w:tc>
          <w:tcPr>
            <w:tcW w:w="0" w:type="dxa"/>
            <w:vAlign w:val="bottom"/>
          </w:tcPr>
          <w:p>
            <w:pPr>
              <w:spacing w:after="0"/>
              <w:rPr>
                <w:sz w:val="1"/>
                <w:szCs w:val="1"/>
                <w:color w:val="auto"/>
              </w:rPr>
            </w:pPr>
          </w:p>
        </w:tc>
      </w:tr>
      <w:tr>
        <w:trPr>
          <w:trHeight w:val="104"/>
        </w:trPr>
        <w:tc>
          <w:tcPr>
            <w:tcW w:w="3420" w:type="dxa"/>
            <w:vAlign w:val="bottom"/>
          </w:tcPr>
          <w:p>
            <w:pPr>
              <w:spacing w:after="0"/>
              <w:rPr>
                <w:sz w:val="8"/>
                <w:szCs w:val="8"/>
                <w:color w:val="auto"/>
              </w:rPr>
            </w:pPr>
          </w:p>
        </w:tc>
        <w:tc>
          <w:tcPr>
            <w:tcW w:w="440" w:type="dxa"/>
            <w:vAlign w:val="bottom"/>
            <w:tcBorders>
              <w:bottom w:val="single" w:sz="8" w:color="DCDDDE"/>
            </w:tcBorders>
            <w:vMerge w:val="continue"/>
          </w:tcPr>
          <w:p>
            <w:pPr>
              <w:spacing w:after="0"/>
              <w:rPr>
                <w:sz w:val="8"/>
                <w:szCs w:val="8"/>
                <w:color w:val="auto"/>
              </w:rPr>
            </w:pPr>
          </w:p>
        </w:tc>
        <w:tc>
          <w:tcPr>
            <w:tcW w:w="760" w:type="dxa"/>
            <w:vAlign w:val="bottom"/>
            <w:tcBorders>
              <w:bottom w:val="single" w:sz="8" w:color="DCDDDE"/>
            </w:tcBorders>
            <w:vMerge w:val="continue"/>
          </w:tcPr>
          <w:p>
            <w:pPr>
              <w:spacing w:after="0"/>
              <w:rPr>
                <w:sz w:val="8"/>
                <w:szCs w:val="8"/>
                <w:color w:val="auto"/>
              </w:rPr>
            </w:pPr>
          </w:p>
        </w:tc>
        <w:tc>
          <w:tcPr>
            <w:tcW w:w="840" w:type="dxa"/>
            <w:vAlign w:val="bottom"/>
            <w:tcBorders>
              <w:bottom w:val="single" w:sz="8" w:color="DCDDDE"/>
            </w:tcBorders>
            <w:vMerge w:val="continue"/>
          </w:tcPr>
          <w:p>
            <w:pPr>
              <w:spacing w:after="0"/>
              <w:rPr>
                <w:sz w:val="8"/>
                <w:szCs w:val="8"/>
                <w:color w:val="auto"/>
              </w:rPr>
            </w:pPr>
          </w:p>
        </w:tc>
        <w:tc>
          <w:tcPr>
            <w:tcW w:w="860" w:type="dxa"/>
            <w:vAlign w:val="bottom"/>
            <w:tcBorders>
              <w:bottom w:val="single" w:sz="8" w:color="DCDDDE"/>
            </w:tcBorders>
            <w:vMerge w:val="continue"/>
          </w:tcPr>
          <w:p>
            <w:pPr>
              <w:spacing w:after="0"/>
              <w:rPr>
                <w:sz w:val="8"/>
                <w:szCs w:val="8"/>
                <w:color w:val="auto"/>
              </w:rPr>
            </w:pPr>
          </w:p>
        </w:tc>
        <w:tc>
          <w:tcPr>
            <w:tcW w:w="1340" w:type="dxa"/>
            <w:vAlign w:val="bottom"/>
            <w:tcBorders>
              <w:bottom w:val="single" w:sz="8" w:color="DCDDDE"/>
            </w:tcBorders>
            <w:vMerge w:val="continue"/>
          </w:tcPr>
          <w:p>
            <w:pPr>
              <w:spacing w:after="0"/>
              <w:rPr>
                <w:sz w:val="8"/>
                <w:szCs w:val="8"/>
                <w:color w:val="auto"/>
              </w:rPr>
            </w:pPr>
          </w:p>
        </w:tc>
        <w:tc>
          <w:tcPr>
            <w:tcW w:w="1380" w:type="dxa"/>
            <w:vAlign w:val="bottom"/>
            <w:tcBorders>
              <w:bottom w:val="single" w:sz="8" w:color="DCDDDE"/>
            </w:tcBorders>
            <w:vMerge w:val="continue"/>
          </w:tcPr>
          <w:p>
            <w:pPr>
              <w:spacing w:after="0"/>
              <w:rPr>
                <w:sz w:val="8"/>
                <w:szCs w:val="8"/>
                <w:color w:val="auto"/>
              </w:rPr>
            </w:pPr>
          </w:p>
        </w:tc>
        <w:tc>
          <w:tcPr>
            <w:tcW w:w="1360" w:type="dxa"/>
            <w:vAlign w:val="bottom"/>
            <w:tcBorders>
              <w:bottom w:val="single" w:sz="8" w:color="DCDDDE"/>
            </w:tcBorders>
            <w:vMerge w:val="continue"/>
          </w:tcPr>
          <w:p>
            <w:pPr>
              <w:spacing w:after="0"/>
              <w:rPr>
                <w:sz w:val="8"/>
                <w:szCs w:val="8"/>
                <w:color w:val="auto"/>
              </w:rPr>
            </w:pPr>
          </w:p>
        </w:tc>
        <w:tc>
          <w:tcPr>
            <w:tcW w:w="840" w:type="dxa"/>
            <w:vAlign w:val="bottom"/>
            <w:tcBorders>
              <w:bottom w:val="single" w:sz="8" w:color="DCDDDE"/>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3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3,249,415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13,512,534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8,475,488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8,625,586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113,726</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33,978,581</w:t>
            </w:r>
          </w:p>
        </w:tc>
        <w:tc>
          <w:tcPr>
            <w:tcW w:w="0" w:type="dxa"/>
            <w:vAlign w:val="bottom"/>
          </w:tcPr>
          <w:p>
            <w:pPr>
              <w:spacing w:after="0"/>
              <w:rPr>
                <w:sz w:val="1"/>
                <w:szCs w:val="1"/>
                <w:color w:val="auto"/>
              </w:rPr>
            </w:pPr>
          </w:p>
        </w:tc>
      </w:tr>
      <w:tr>
        <w:trPr>
          <w:trHeight w:val="177"/>
        </w:trPr>
        <w:tc>
          <w:tcPr>
            <w:tcW w:w="3420" w:type="dxa"/>
            <w:vAlign w:val="bottom"/>
          </w:tcPr>
          <w:p>
            <w:pPr>
              <w:ind w:left="80"/>
              <w:spacing w:after="0"/>
              <w:rPr>
                <w:sz w:val="20"/>
                <w:szCs w:val="20"/>
                <w:color w:val="auto"/>
              </w:rPr>
            </w:pPr>
            <w:r>
              <w:rPr>
                <w:rFonts w:ascii="Arial" w:cs="Arial" w:eastAsia="Arial" w:hAnsi="Arial"/>
                <w:sz w:val="14"/>
                <w:szCs w:val="14"/>
                <w:b w:val="1"/>
                <w:bCs w:val="1"/>
                <w:color w:val="auto"/>
              </w:rPr>
              <w:t>Michael J. Cavanagh</w:t>
            </w:r>
          </w:p>
        </w:tc>
        <w:tc>
          <w:tcPr>
            <w:tcW w:w="440" w:type="dxa"/>
            <w:vAlign w:val="bottom"/>
          </w:tcPr>
          <w:p>
            <w:pPr>
              <w:jc w:val="right"/>
              <w:spacing w:after="0"/>
              <w:rPr>
                <w:sz w:val="20"/>
                <w:szCs w:val="20"/>
                <w:color w:val="auto"/>
              </w:rPr>
            </w:pPr>
            <w:r>
              <w:rPr>
                <w:rFonts w:ascii="Arial" w:cs="Arial" w:eastAsia="Arial" w:hAnsi="Arial"/>
                <w:sz w:val="14"/>
                <w:szCs w:val="14"/>
                <w:color w:val="auto"/>
              </w:rPr>
              <w:t>2023</w:t>
            </w:r>
          </w:p>
        </w:tc>
        <w:tc>
          <w:tcPr>
            <w:tcW w:w="760" w:type="dxa"/>
            <w:vAlign w:val="bottom"/>
          </w:tcPr>
          <w:p>
            <w:pPr>
              <w:jc w:val="right"/>
              <w:spacing w:after="0"/>
              <w:rPr>
                <w:sz w:val="20"/>
                <w:szCs w:val="20"/>
                <w:color w:val="auto"/>
              </w:rPr>
            </w:pPr>
            <w:r>
              <w:rPr>
                <w:rFonts w:ascii="Arial" w:cs="Arial" w:eastAsia="Arial" w:hAnsi="Arial"/>
                <w:sz w:val="14"/>
                <w:szCs w:val="14"/>
                <w:color w:val="auto"/>
              </w:rPr>
              <w:t>2,463,846</w:t>
            </w:r>
          </w:p>
        </w:tc>
        <w:tc>
          <w:tcPr>
            <w:tcW w:w="840" w:type="dxa"/>
            <w:vAlign w:val="bottom"/>
          </w:tcPr>
          <w:p>
            <w:pPr>
              <w:jc w:val="right"/>
              <w:spacing w:after="0"/>
              <w:rPr>
                <w:sz w:val="20"/>
                <w:szCs w:val="20"/>
                <w:color w:val="auto"/>
              </w:rPr>
            </w:pPr>
            <w:r>
              <w:rPr>
                <w:rFonts w:ascii="Arial" w:cs="Arial" w:eastAsia="Arial" w:hAnsi="Arial"/>
                <w:sz w:val="14"/>
                <w:szCs w:val="14"/>
                <w:color w:val="auto"/>
              </w:rPr>
              <w:t>11,431,801</w:t>
            </w:r>
          </w:p>
        </w:tc>
        <w:tc>
          <w:tcPr>
            <w:tcW w:w="860" w:type="dxa"/>
            <w:vAlign w:val="bottom"/>
          </w:tcPr>
          <w:p>
            <w:pPr>
              <w:jc w:val="right"/>
              <w:spacing w:after="0"/>
              <w:rPr>
                <w:sz w:val="20"/>
                <w:szCs w:val="20"/>
                <w:color w:val="auto"/>
              </w:rPr>
            </w:pPr>
            <w:r>
              <w:rPr>
                <w:rFonts w:ascii="Arial" w:cs="Arial" w:eastAsia="Arial" w:hAnsi="Arial"/>
                <w:sz w:val="14"/>
                <w:szCs w:val="14"/>
                <w:color w:val="auto"/>
              </w:rPr>
              <w:t>7,000,032</w:t>
            </w:r>
          </w:p>
        </w:tc>
        <w:tc>
          <w:tcPr>
            <w:tcW w:w="1340" w:type="dxa"/>
            <w:vAlign w:val="bottom"/>
          </w:tcPr>
          <w:p>
            <w:pPr>
              <w:jc w:val="right"/>
              <w:spacing w:after="0"/>
              <w:rPr>
                <w:sz w:val="20"/>
                <w:szCs w:val="20"/>
                <w:color w:val="auto"/>
              </w:rPr>
            </w:pPr>
            <w:r>
              <w:rPr>
                <w:rFonts w:ascii="Arial" w:cs="Arial" w:eastAsia="Arial" w:hAnsi="Arial"/>
                <w:sz w:val="14"/>
                <w:szCs w:val="14"/>
                <w:color w:val="auto"/>
              </w:rPr>
              <w:t>8,426,353</w:t>
            </w:r>
          </w:p>
        </w:tc>
        <w:tc>
          <w:tcPr>
            <w:tcW w:w="1380" w:type="dxa"/>
            <w:vAlign w:val="bottom"/>
          </w:tcPr>
          <w:p>
            <w:pPr>
              <w:jc w:val="right"/>
              <w:spacing w:after="0"/>
              <w:rPr>
                <w:sz w:val="20"/>
                <w:szCs w:val="20"/>
                <w:color w:val="auto"/>
              </w:rPr>
            </w:pPr>
            <w:r>
              <w:rPr>
                <w:rFonts w:ascii="Arial" w:cs="Arial" w:eastAsia="Arial" w:hAnsi="Arial"/>
                <w:sz w:val="14"/>
                <w:szCs w:val="14"/>
                <w:color w:val="auto"/>
              </w:rPr>
              <w:t>0</w:t>
            </w:r>
          </w:p>
        </w:tc>
        <w:tc>
          <w:tcPr>
            <w:tcW w:w="1360" w:type="dxa"/>
            <w:vAlign w:val="bottom"/>
          </w:tcPr>
          <w:p>
            <w:pPr>
              <w:jc w:val="right"/>
              <w:spacing w:after="0"/>
              <w:rPr>
                <w:sz w:val="20"/>
                <w:szCs w:val="20"/>
                <w:color w:val="auto"/>
              </w:rPr>
            </w:pPr>
            <w:r>
              <w:rPr>
                <w:rFonts w:ascii="Arial" w:cs="Arial" w:eastAsia="Arial" w:hAnsi="Arial"/>
                <w:sz w:val="14"/>
                <w:szCs w:val="14"/>
                <w:color w:val="auto"/>
              </w:rPr>
              <w:t>258,030</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29,580,063</w:t>
            </w:r>
          </w:p>
        </w:tc>
        <w:tc>
          <w:tcPr>
            <w:tcW w:w="0" w:type="dxa"/>
            <w:vAlign w:val="bottom"/>
          </w:tcPr>
          <w:p>
            <w:pPr>
              <w:spacing w:after="0"/>
              <w:rPr>
                <w:sz w:val="1"/>
                <w:szCs w:val="1"/>
                <w:color w:val="auto"/>
              </w:rPr>
            </w:pPr>
          </w:p>
        </w:tc>
      </w:tr>
      <w:tr>
        <w:trPr>
          <w:trHeight w:val="36"/>
        </w:trPr>
        <w:tc>
          <w:tcPr>
            <w:tcW w:w="3420" w:type="dxa"/>
            <w:vAlign w:val="bottom"/>
            <w:vMerge w:val="restart"/>
          </w:tcPr>
          <w:p>
            <w:pPr>
              <w:ind w:left="80"/>
              <w:spacing w:after="0"/>
              <w:rPr>
                <w:sz w:val="20"/>
                <w:szCs w:val="20"/>
                <w:color w:val="auto"/>
              </w:rPr>
            </w:pPr>
            <w:r>
              <w:rPr>
                <w:rFonts w:ascii="Arial" w:cs="Arial" w:eastAsia="Arial" w:hAnsi="Arial"/>
                <w:sz w:val="14"/>
                <w:szCs w:val="14"/>
                <w:color w:val="auto"/>
              </w:rPr>
              <w:t>President</w:t>
            </w:r>
          </w:p>
        </w:tc>
        <w:tc>
          <w:tcPr>
            <w:tcW w:w="440" w:type="dxa"/>
            <w:vAlign w:val="bottom"/>
            <w:tcBorders>
              <w:bottom w:val="single" w:sz="8" w:color="DCDDDE"/>
            </w:tcBorders>
          </w:tcPr>
          <w:p>
            <w:pPr>
              <w:spacing w:after="0"/>
              <w:rPr>
                <w:sz w:val="3"/>
                <w:szCs w:val="3"/>
                <w:color w:val="auto"/>
              </w:rPr>
            </w:pPr>
          </w:p>
        </w:tc>
        <w:tc>
          <w:tcPr>
            <w:tcW w:w="76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860" w:type="dxa"/>
            <w:vAlign w:val="bottom"/>
            <w:tcBorders>
              <w:bottom w:val="single" w:sz="8" w:color="DCDDDE"/>
            </w:tcBorders>
          </w:tcPr>
          <w:p>
            <w:pPr>
              <w:spacing w:after="0"/>
              <w:rPr>
                <w:sz w:val="3"/>
                <w:szCs w:val="3"/>
                <w:color w:val="auto"/>
              </w:rPr>
            </w:pPr>
          </w:p>
        </w:tc>
        <w:tc>
          <w:tcPr>
            <w:tcW w:w="1340" w:type="dxa"/>
            <w:vAlign w:val="bottom"/>
            <w:tcBorders>
              <w:bottom w:val="single" w:sz="8" w:color="DCDDDE"/>
            </w:tcBorders>
          </w:tcPr>
          <w:p>
            <w:pPr>
              <w:spacing w:after="0"/>
              <w:rPr>
                <w:sz w:val="3"/>
                <w:szCs w:val="3"/>
                <w:color w:val="auto"/>
              </w:rPr>
            </w:pPr>
          </w:p>
        </w:tc>
        <w:tc>
          <w:tcPr>
            <w:tcW w:w="1380" w:type="dxa"/>
            <w:vAlign w:val="bottom"/>
            <w:tcBorders>
              <w:bottom w:val="single" w:sz="8" w:color="DCDDDE"/>
            </w:tcBorders>
          </w:tcPr>
          <w:p>
            <w:pPr>
              <w:spacing w:after="0"/>
              <w:rPr>
                <w:sz w:val="3"/>
                <w:szCs w:val="3"/>
                <w:color w:val="auto"/>
              </w:rPr>
            </w:pPr>
          </w:p>
        </w:tc>
        <w:tc>
          <w:tcPr>
            <w:tcW w:w="136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3420" w:type="dxa"/>
            <w:vAlign w:val="bottom"/>
            <w:vMerge w:val="continue"/>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2022</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2,300,000</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9,974,568</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21,120,030</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6,900,000</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187,124</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40,481,722</w:t>
            </w:r>
          </w:p>
        </w:tc>
        <w:tc>
          <w:tcPr>
            <w:tcW w:w="0" w:type="dxa"/>
            <w:vAlign w:val="bottom"/>
          </w:tcPr>
          <w:p>
            <w:pPr>
              <w:spacing w:after="0"/>
              <w:rPr>
                <w:sz w:val="1"/>
                <w:szCs w:val="1"/>
                <w:color w:val="auto"/>
              </w:rPr>
            </w:pPr>
          </w:p>
        </w:tc>
      </w:tr>
      <w:tr>
        <w:trPr>
          <w:trHeight w:val="77"/>
        </w:trPr>
        <w:tc>
          <w:tcPr>
            <w:tcW w:w="3420" w:type="dxa"/>
            <w:vAlign w:val="bottom"/>
          </w:tcPr>
          <w:p>
            <w:pPr>
              <w:spacing w:after="0"/>
              <w:rPr>
                <w:sz w:val="6"/>
                <w:szCs w:val="6"/>
                <w:color w:val="auto"/>
              </w:rPr>
            </w:pPr>
          </w:p>
        </w:tc>
        <w:tc>
          <w:tcPr>
            <w:tcW w:w="440" w:type="dxa"/>
            <w:vAlign w:val="bottom"/>
            <w:tcBorders>
              <w:bottom w:val="single" w:sz="8" w:color="DCDDDE"/>
            </w:tcBorders>
            <w:vMerge w:val="continue"/>
          </w:tcPr>
          <w:p>
            <w:pPr>
              <w:spacing w:after="0"/>
              <w:rPr>
                <w:sz w:val="6"/>
                <w:szCs w:val="6"/>
                <w:color w:val="auto"/>
              </w:rPr>
            </w:pPr>
          </w:p>
        </w:tc>
        <w:tc>
          <w:tcPr>
            <w:tcW w:w="760" w:type="dxa"/>
            <w:vAlign w:val="bottom"/>
            <w:tcBorders>
              <w:bottom w:val="single" w:sz="8" w:color="DCDDDE"/>
            </w:tcBorders>
            <w:vMerge w:val="continue"/>
          </w:tcPr>
          <w:p>
            <w:pPr>
              <w:spacing w:after="0"/>
              <w:rPr>
                <w:sz w:val="6"/>
                <w:szCs w:val="6"/>
                <w:color w:val="auto"/>
              </w:rPr>
            </w:pPr>
          </w:p>
        </w:tc>
        <w:tc>
          <w:tcPr>
            <w:tcW w:w="840" w:type="dxa"/>
            <w:vAlign w:val="bottom"/>
            <w:tcBorders>
              <w:bottom w:val="single" w:sz="8" w:color="DCDDDE"/>
            </w:tcBorders>
            <w:vMerge w:val="continue"/>
          </w:tcPr>
          <w:p>
            <w:pPr>
              <w:spacing w:after="0"/>
              <w:rPr>
                <w:sz w:val="6"/>
                <w:szCs w:val="6"/>
                <w:color w:val="auto"/>
              </w:rPr>
            </w:pPr>
          </w:p>
        </w:tc>
        <w:tc>
          <w:tcPr>
            <w:tcW w:w="860" w:type="dxa"/>
            <w:vAlign w:val="bottom"/>
            <w:tcBorders>
              <w:bottom w:val="single" w:sz="8" w:color="DCDDDE"/>
            </w:tcBorders>
            <w:vMerge w:val="continue"/>
          </w:tcPr>
          <w:p>
            <w:pPr>
              <w:spacing w:after="0"/>
              <w:rPr>
                <w:sz w:val="6"/>
                <w:szCs w:val="6"/>
                <w:color w:val="auto"/>
              </w:rPr>
            </w:pPr>
          </w:p>
        </w:tc>
        <w:tc>
          <w:tcPr>
            <w:tcW w:w="1340" w:type="dxa"/>
            <w:vAlign w:val="bottom"/>
            <w:tcBorders>
              <w:bottom w:val="single" w:sz="8" w:color="DCDDDE"/>
            </w:tcBorders>
            <w:vMerge w:val="continue"/>
          </w:tcPr>
          <w:p>
            <w:pPr>
              <w:spacing w:after="0"/>
              <w:rPr>
                <w:sz w:val="6"/>
                <w:szCs w:val="6"/>
                <w:color w:val="auto"/>
              </w:rPr>
            </w:pPr>
          </w:p>
        </w:tc>
        <w:tc>
          <w:tcPr>
            <w:tcW w:w="1380" w:type="dxa"/>
            <w:vAlign w:val="bottom"/>
            <w:tcBorders>
              <w:bottom w:val="single" w:sz="8" w:color="DCDDDE"/>
            </w:tcBorders>
            <w:vMerge w:val="continue"/>
          </w:tcPr>
          <w:p>
            <w:pPr>
              <w:spacing w:after="0"/>
              <w:rPr>
                <w:sz w:val="6"/>
                <w:szCs w:val="6"/>
                <w:color w:val="auto"/>
              </w:rPr>
            </w:pPr>
          </w:p>
        </w:tc>
        <w:tc>
          <w:tcPr>
            <w:tcW w:w="1360" w:type="dxa"/>
            <w:vAlign w:val="bottom"/>
            <w:tcBorders>
              <w:bottom w:val="single" w:sz="8" w:color="DCDDDE"/>
            </w:tcBorders>
            <w:vMerge w:val="continue"/>
          </w:tcPr>
          <w:p>
            <w:pPr>
              <w:spacing w:after="0"/>
              <w:rPr>
                <w:sz w:val="6"/>
                <w:szCs w:val="6"/>
                <w:color w:val="auto"/>
              </w:rPr>
            </w:pPr>
          </w:p>
        </w:tc>
        <w:tc>
          <w:tcPr>
            <w:tcW w:w="840" w:type="dxa"/>
            <w:vAlign w:val="bottom"/>
            <w:tcBorders>
              <w:bottom w:val="single" w:sz="8" w:color="DCDDDE"/>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2,300,000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10,072,244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6,315,164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8,625,001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44,587</w:t>
            </w: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27,356,996</w:t>
            </w:r>
          </w:p>
        </w:tc>
        <w:tc>
          <w:tcPr>
            <w:tcW w:w="0" w:type="dxa"/>
            <w:vAlign w:val="bottom"/>
          </w:tcPr>
          <w:p>
            <w:pPr>
              <w:spacing w:after="0"/>
              <w:rPr>
                <w:sz w:val="1"/>
                <w:szCs w:val="1"/>
                <w:color w:val="auto"/>
              </w:rPr>
            </w:pPr>
          </w:p>
        </w:tc>
      </w:tr>
      <w:tr>
        <w:trPr>
          <w:trHeight w:val="204"/>
        </w:trPr>
        <w:tc>
          <w:tcPr>
            <w:tcW w:w="3420" w:type="dxa"/>
            <w:vAlign w:val="bottom"/>
          </w:tcPr>
          <w:p>
            <w:pPr>
              <w:ind w:left="80"/>
              <w:spacing w:after="0" w:line="204" w:lineRule="exact"/>
              <w:rPr>
                <w:sz w:val="20"/>
                <w:szCs w:val="20"/>
                <w:color w:val="auto"/>
              </w:rPr>
            </w:pPr>
            <w:r>
              <w:rPr>
                <w:rFonts w:ascii="Arial" w:cs="Arial" w:eastAsia="Arial" w:hAnsi="Arial"/>
                <w:sz w:val="14"/>
                <w:szCs w:val="14"/>
                <w:b w:val="1"/>
                <w:bCs w:val="1"/>
                <w:color w:val="auto"/>
              </w:rPr>
              <w:t>Jason S. Armstrong</w:t>
            </w:r>
            <w:r>
              <w:rPr>
                <w:rFonts w:ascii="Arial" w:cs="Arial" w:eastAsia="Arial" w:hAnsi="Arial"/>
                <w:sz w:val="23"/>
                <w:szCs w:val="23"/>
                <w:b w:val="1"/>
                <w:bCs w:val="1"/>
                <w:color w:val="auto"/>
                <w:vertAlign w:val="superscript"/>
              </w:rPr>
              <w:t>(6)</w:t>
            </w:r>
          </w:p>
        </w:tc>
        <w:tc>
          <w:tcPr>
            <w:tcW w:w="440" w:type="dxa"/>
            <w:vAlign w:val="bottom"/>
          </w:tcPr>
          <w:p>
            <w:pPr>
              <w:jc w:val="right"/>
              <w:spacing w:after="0"/>
              <w:rPr>
                <w:sz w:val="20"/>
                <w:szCs w:val="20"/>
                <w:color w:val="auto"/>
              </w:rPr>
            </w:pPr>
            <w:r>
              <w:rPr>
                <w:rFonts w:ascii="Arial" w:cs="Arial" w:eastAsia="Arial" w:hAnsi="Arial"/>
                <w:sz w:val="14"/>
                <w:szCs w:val="14"/>
                <w:color w:val="auto"/>
              </w:rPr>
              <w:t>2023</w:t>
            </w:r>
          </w:p>
        </w:tc>
        <w:tc>
          <w:tcPr>
            <w:tcW w:w="760" w:type="dxa"/>
            <w:vAlign w:val="bottom"/>
          </w:tcPr>
          <w:p>
            <w:pPr>
              <w:jc w:val="right"/>
              <w:spacing w:after="0"/>
              <w:rPr>
                <w:sz w:val="20"/>
                <w:szCs w:val="20"/>
                <w:color w:val="auto"/>
              </w:rPr>
            </w:pPr>
            <w:r>
              <w:rPr>
                <w:rFonts w:ascii="Arial" w:cs="Arial" w:eastAsia="Arial" w:hAnsi="Arial"/>
                <w:sz w:val="14"/>
                <w:szCs w:val="14"/>
                <w:color w:val="auto"/>
              </w:rPr>
              <w:t>1,789,615</w:t>
            </w:r>
          </w:p>
        </w:tc>
        <w:tc>
          <w:tcPr>
            <w:tcW w:w="840" w:type="dxa"/>
            <w:vAlign w:val="bottom"/>
          </w:tcPr>
          <w:p>
            <w:pPr>
              <w:jc w:val="right"/>
              <w:spacing w:after="0"/>
              <w:rPr>
                <w:sz w:val="20"/>
                <w:szCs w:val="20"/>
                <w:color w:val="auto"/>
              </w:rPr>
            </w:pPr>
            <w:r>
              <w:rPr>
                <w:rFonts w:ascii="Arial" w:cs="Arial" w:eastAsia="Arial" w:hAnsi="Arial"/>
                <w:sz w:val="14"/>
                <w:szCs w:val="14"/>
                <w:color w:val="auto"/>
              </w:rPr>
              <w:t>3,266,371</w:t>
            </w:r>
          </w:p>
        </w:tc>
        <w:tc>
          <w:tcPr>
            <w:tcW w:w="860" w:type="dxa"/>
            <w:vAlign w:val="bottom"/>
          </w:tcPr>
          <w:p>
            <w:pPr>
              <w:jc w:val="right"/>
              <w:spacing w:after="0"/>
              <w:rPr>
                <w:sz w:val="20"/>
                <w:szCs w:val="20"/>
                <w:color w:val="auto"/>
              </w:rPr>
            </w:pPr>
            <w:r>
              <w:rPr>
                <w:rFonts w:ascii="Arial" w:cs="Arial" w:eastAsia="Arial" w:hAnsi="Arial"/>
                <w:sz w:val="14"/>
                <w:szCs w:val="14"/>
                <w:color w:val="auto"/>
              </w:rPr>
              <w:t>2,000,033</w:t>
            </w:r>
          </w:p>
        </w:tc>
        <w:tc>
          <w:tcPr>
            <w:tcW w:w="1340" w:type="dxa"/>
            <w:vAlign w:val="bottom"/>
          </w:tcPr>
          <w:p>
            <w:pPr>
              <w:jc w:val="right"/>
              <w:spacing w:after="0"/>
              <w:rPr>
                <w:sz w:val="20"/>
                <w:szCs w:val="20"/>
                <w:color w:val="auto"/>
              </w:rPr>
            </w:pPr>
            <w:r>
              <w:rPr>
                <w:rFonts w:ascii="Arial" w:cs="Arial" w:eastAsia="Arial" w:hAnsi="Arial"/>
                <w:sz w:val="14"/>
                <w:szCs w:val="14"/>
                <w:color w:val="auto"/>
              </w:rPr>
              <w:t>4,528,767</w:t>
            </w:r>
          </w:p>
        </w:tc>
        <w:tc>
          <w:tcPr>
            <w:tcW w:w="1380" w:type="dxa"/>
            <w:vAlign w:val="bottom"/>
          </w:tcPr>
          <w:p>
            <w:pPr>
              <w:jc w:val="right"/>
              <w:spacing w:after="0"/>
              <w:rPr>
                <w:sz w:val="20"/>
                <w:szCs w:val="20"/>
                <w:color w:val="auto"/>
              </w:rPr>
            </w:pPr>
            <w:r>
              <w:rPr>
                <w:rFonts w:ascii="Arial" w:cs="Arial" w:eastAsia="Arial" w:hAnsi="Arial"/>
                <w:sz w:val="14"/>
                <w:szCs w:val="14"/>
                <w:color w:val="auto"/>
              </w:rPr>
              <w:t>0</w:t>
            </w:r>
          </w:p>
        </w:tc>
        <w:tc>
          <w:tcPr>
            <w:tcW w:w="1360" w:type="dxa"/>
            <w:vAlign w:val="bottom"/>
          </w:tcPr>
          <w:p>
            <w:pPr>
              <w:jc w:val="right"/>
              <w:spacing w:after="0"/>
              <w:rPr>
                <w:sz w:val="20"/>
                <w:szCs w:val="20"/>
                <w:color w:val="auto"/>
              </w:rPr>
            </w:pPr>
            <w:r>
              <w:rPr>
                <w:rFonts w:ascii="Arial" w:cs="Arial" w:eastAsia="Arial" w:hAnsi="Arial"/>
                <w:sz w:val="14"/>
                <w:szCs w:val="14"/>
                <w:color w:val="auto"/>
              </w:rPr>
              <w:t>10,000</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11,594,786</w:t>
            </w:r>
          </w:p>
        </w:tc>
        <w:tc>
          <w:tcPr>
            <w:tcW w:w="0" w:type="dxa"/>
            <w:vAlign w:val="bottom"/>
          </w:tcPr>
          <w:p>
            <w:pPr>
              <w:spacing w:after="0"/>
              <w:rPr>
                <w:sz w:val="1"/>
                <w:szCs w:val="1"/>
                <w:color w:val="auto"/>
              </w:rPr>
            </w:pPr>
          </w:p>
        </w:tc>
      </w:tr>
      <w:tr>
        <w:trPr>
          <w:trHeight w:val="194"/>
        </w:trPr>
        <w:tc>
          <w:tcPr>
            <w:tcW w:w="34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Chief Financial Officer</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420" w:type="dxa"/>
            <w:vAlign w:val="bottom"/>
          </w:tcPr>
          <w:p>
            <w:pPr>
              <w:ind w:left="80"/>
              <w:spacing w:after="0"/>
              <w:rPr>
                <w:sz w:val="20"/>
                <w:szCs w:val="20"/>
                <w:color w:val="auto"/>
              </w:rPr>
            </w:pPr>
            <w:r>
              <w:rPr>
                <w:rFonts w:ascii="Arial" w:cs="Arial" w:eastAsia="Arial" w:hAnsi="Arial"/>
                <w:sz w:val="14"/>
                <w:szCs w:val="14"/>
                <w:b w:val="1"/>
                <w:bCs w:val="1"/>
                <w:color w:val="auto"/>
              </w:rPr>
              <w:t>Thomas J. Reid</w:t>
            </w:r>
          </w:p>
        </w:tc>
        <w:tc>
          <w:tcPr>
            <w:tcW w:w="440" w:type="dxa"/>
            <w:vAlign w:val="bottom"/>
          </w:tcPr>
          <w:p>
            <w:pPr>
              <w:jc w:val="right"/>
              <w:spacing w:after="0"/>
              <w:rPr>
                <w:sz w:val="20"/>
                <w:szCs w:val="20"/>
                <w:color w:val="auto"/>
              </w:rPr>
            </w:pPr>
            <w:r>
              <w:rPr>
                <w:rFonts w:ascii="Arial" w:cs="Arial" w:eastAsia="Arial" w:hAnsi="Arial"/>
                <w:sz w:val="14"/>
                <w:szCs w:val="14"/>
                <w:color w:val="auto"/>
              </w:rPr>
              <w:t>2023</w:t>
            </w:r>
          </w:p>
        </w:tc>
        <w:tc>
          <w:tcPr>
            <w:tcW w:w="760" w:type="dxa"/>
            <w:vAlign w:val="bottom"/>
          </w:tcPr>
          <w:p>
            <w:pPr>
              <w:jc w:val="right"/>
              <w:spacing w:after="0"/>
              <w:rPr>
                <w:sz w:val="20"/>
                <w:szCs w:val="20"/>
                <w:color w:val="auto"/>
              </w:rPr>
            </w:pPr>
            <w:r>
              <w:rPr>
                <w:rFonts w:ascii="Arial" w:cs="Arial" w:eastAsia="Arial" w:hAnsi="Arial"/>
                <w:sz w:val="14"/>
                <w:szCs w:val="14"/>
                <w:color w:val="auto"/>
              </w:rPr>
              <w:t>1,800,080</w:t>
            </w:r>
          </w:p>
        </w:tc>
        <w:tc>
          <w:tcPr>
            <w:tcW w:w="840" w:type="dxa"/>
            <w:vAlign w:val="bottom"/>
          </w:tcPr>
          <w:p>
            <w:pPr>
              <w:jc w:val="right"/>
              <w:spacing w:after="0"/>
              <w:rPr>
                <w:sz w:val="20"/>
                <w:szCs w:val="20"/>
                <w:color w:val="auto"/>
              </w:rPr>
            </w:pPr>
            <w:r>
              <w:rPr>
                <w:rFonts w:ascii="Arial" w:cs="Arial" w:eastAsia="Arial" w:hAnsi="Arial"/>
                <w:sz w:val="14"/>
                <w:szCs w:val="14"/>
                <w:color w:val="auto"/>
              </w:rPr>
              <w:t>3,266,371</w:t>
            </w:r>
          </w:p>
        </w:tc>
        <w:tc>
          <w:tcPr>
            <w:tcW w:w="860" w:type="dxa"/>
            <w:vAlign w:val="bottom"/>
          </w:tcPr>
          <w:p>
            <w:pPr>
              <w:jc w:val="right"/>
              <w:spacing w:after="0"/>
              <w:rPr>
                <w:sz w:val="20"/>
                <w:szCs w:val="20"/>
                <w:color w:val="auto"/>
              </w:rPr>
            </w:pPr>
            <w:r>
              <w:rPr>
                <w:rFonts w:ascii="Arial" w:cs="Arial" w:eastAsia="Arial" w:hAnsi="Arial"/>
                <w:sz w:val="14"/>
                <w:szCs w:val="14"/>
                <w:color w:val="auto"/>
              </w:rPr>
              <w:t>2,000,033</w:t>
            </w:r>
          </w:p>
        </w:tc>
        <w:tc>
          <w:tcPr>
            <w:tcW w:w="1340" w:type="dxa"/>
            <w:vAlign w:val="bottom"/>
          </w:tcPr>
          <w:p>
            <w:pPr>
              <w:jc w:val="right"/>
              <w:spacing w:after="0"/>
              <w:rPr>
                <w:sz w:val="20"/>
                <w:szCs w:val="20"/>
                <w:color w:val="auto"/>
              </w:rPr>
            </w:pPr>
            <w:r>
              <w:rPr>
                <w:rFonts w:ascii="Arial" w:cs="Arial" w:eastAsia="Arial" w:hAnsi="Arial"/>
                <w:sz w:val="14"/>
                <w:szCs w:val="14"/>
                <w:color w:val="auto"/>
              </w:rPr>
              <w:t>4,104,182</w:t>
            </w:r>
          </w:p>
        </w:tc>
        <w:tc>
          <w:tcPr>
            <w:tcW w:w="1380" w:type="dxa"/>
            <w:vAlign w:val="bottom"/>
          </w:tcPr>
          <w:p>
            <w:pPr>
              <w:jc w:val="right"/>
              <w:spacing w:after="0"/>
              <w:rPr>
                <w:sz w:val="20"/>
                <w:szCs w:val="20"/>
                <w:color w:val="auto"/>
              </w:rPr>
            </w:pPr>
            <w:r>
              <w:rPr>
                <w:rFonts w:ascii="Arial" w:cs="Arial" w:eastAsia="Arial" w:hAnsi="Arial"/>
                <w:sz w:val="14"/>
                <w:szCs w:val="14"/>
                <w:color w:val="auto"/>
              </w:rPr>
              <w:t>0</w:t>
            </w:r>
          </w:p>
        </w:tc>
        <w:tc>
          <w:tcPr>
            <w:tcW w:w="1360" w:type="dxa"/>
            <w:vAlign w:val="bottom"/>
          </w:tcPr>
          <w:p>
            <w:pPr>
              <w:jc w:val="right"/>
              <w:spacing w:after="0"/>
              <w:rPr>
                <w:sz w:val="20"/>
                <w:szCs w:val="20"/>
                <w:color w:val="auto"/>
              </w:rPr>
            </w:pPr>
            <w:r>
              <w:rPr>
                <w:rFonts w:ascii="Arial" w:cs="Arial" w:eastAsia="Arial" w:hAnsi="Arial"/>
                <w:sz w:val="14"/>
                <w:szCs w:val="14"/>
                <w:color w:val="auto"/>
              </w:rPr>
              <w:t>10,000</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11,180,666</w:t>
            </w:r>
          </w:p>
        </w:tc>
        <w:tc>
          <w:tcPr>
            <w:tcW w:w="0" w:type="dxa"/>
            <w:vAlign w:val="bottom"/>
          </w:tcPr>
          <w:p>
            <w:pPr>
              <w:spacing w:after="0"/>
              <w:rPr>
                <w:sz w:val="1"/>
                <w:szCs w:val="1"/>
                <w:color w:val="auto"/>
              </w:rPr>
            </w:pPr>
          </w:p>
        </w:tc>
      </w:tr>
      <w:tr>
        <w:trPr>
          <w:trHeight w:val="194"/>
        </w:trPr>
        <w:tc>
          <w:tcPr>
            <w:tcW w:w="34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Chief Legal Officer and Secretary</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420" w:type="dxa"/>
            <w:vAlign w:val="bottom"/>
          </w:tcPr>
          <w:p>
            <w:pPr>
              <w:ind w:left="80"/>
              <w:spacing w:after="0"/>
              <w:rPr>
                <w:sz w:val="20"/>
                <w:szCs w:val="20"/>
                <w:color w:val="auto"/>
              </w:rPr>
            </w:pPr>
            <w:r>
              <w:rPr>
                <w:rFonts w:ascii="Arial" w:cs="Arial" w:eastAsia="Arial" w:hAnsi="Arial"/>
                <w:sz w:val="14"/>
                <w:szCs w:val="14"/>
                <w:b w:val="1"/>
                <w:bCs w:val="1"/>
                <w:color w:val="auto"/>
              </w:rPr>
              <w:t>Jennifer Khoury</w:t>
            </w:r>
          </w:p>
        </w:tc>
        <w:tc>
          <w:tcPr>
            <w:tcW w:w="440" w:type="dxa"/>
            <w:vAlign w:val="bottom"/>
          </w:tcPr>
          <w:p>
            <w:pPr>
              <w:jc w:val="right"/>
              <w:spacing w:after="0"/>
              <w:rPr>
                <w:sz w:val="20"/>
                <w:szCs w:val="20"/>
                <w:color w:val="auto"/>
              </w:rPr>
            </w:pPr>
            <w:r>
              <w:rPr>
                <w:rFonts w:ascii="Arial" w:cs="Arial" w:eastAsia="Arial" w:hAnsi="Arial"/>
                <w:sz w:val="14"/>
                <w:szCs w:val="14"/>
                <w:color w:val="auto"/>
              </w:rPr>
              <w:t>2023</w:t>
            </w:r>
          </w:p>
        </w:tc>
        <w:tc>
          <w:tcPr>
            <w:tcW w:w="760" w:type="dxa"/>
            <w:vAlign w:val="bottom"/>
          </w:tcPr>
          <w:p>
            <w:pPr>
              <w:jc w:val="right"/>
              <w:spacing w:after="0"/>
              <w:rPr>
                <w:sz w:val="20"/>
                <w:szCs w:val="20"/>
                <w:color w:val="auto"/>
              </w:rPr>
            </w:pPr>
            <w:r>
              <w:rPr>
                <w:rFonts w:ascii="Arial" w:cs="Arial" w:eastAsia="Arial" w:hAnsi="Arial"/>
                <w:sz w:val="14"/>
                <w:szCs w:val="14"/>
                <w:color w:val="auto"/>
              </w:rPr>
              <w:t>1,494,231</w:t>
            </w:r>
          </w:p>
        </w:tc>
        <w:tc>
          <w:tcPr>
            <w:tcW w:w="840" w:type="dxa"/>
            <w:vAlign w:val="bottom"/>
          </w:tcPr>
          <w:p>
            <w:pPr>
              <w:jc w:val="right"/>
              <w:spacing w:after="0"/>
              <w:rPr>
                <w:sz w:val="20"/>
                <w:szCs w:val="20"/>
                <w:color w:val="auto"/>
              </w:rPr>
            </w:pPr>
            <w:r>
              <w:rPr>
                <w:rFonts w:ascii="Arial" w:cs="Arial" w:eastAsia="Arial" w:hAnsi="Arial"/>
                <w:sz w:val="14"/>
                <w:szCs w:val="14"/>
                <w:color w:val="auto"/>
              </w:rPr>
              <w:t>980,051</w:t>
            </w:r>
          </w:p>
        </w:tc>
        <w:tc>
          <w:tcPr>
            <w:tcW w:w="860" w:type="dxa"/>
            <w:vAlign w:val="bottom"/>
          </w:tcPr>
          <w:p>
            <w:pPr>
              <w:jc w:val="right"/>
              <w:spacing w:after="0"/>
              <w:rPr>
                <w:sz w:val="20"/>
                <w:szCs w:val="20"/>
                <w:color w:val="auto"/>
              </w:rPr>
            </w:pPr>
            <w:r>
              <w:rPr>
                <w:rFonts w:ascii="Arial" w:cs="Arial" w:eastAsia="Arial" w:hAnsi="Arial"/>
                <w:sz w:val="14"/>
                <w:szCs w:val="14"/>
                <w:color w:val="auto"/>
              </w:rPr>
              <w:t>600,010</w:t>
            </w:r>
          </w:p>
        </w:tc>
        <w:tc>
          <w:tcPr>
            <w:tcW w:w="1340" w:type="dxa"/>
            <w:vAlign w:val="bottom"/>
          </w:tcPr>
          <w:p>
            <w:pPr>
              <w:jc w:val="right"/>
              <w:spacing w:after="0"/>
              <w:rPr>
                <w:sz w:val="20"/>
                <w:szCs w:val="20"/>
                <w:color w:val="auto"/>
              </w:rPr>
            </w:pPr>
            <w:r>
              <w:rPr>
                <w:rFonts w:ascii="Arial" w:cs="Arial" w:eastAsia="Arial" w:hAnsi="Arial"/>
                <w:sz w:val="14"/>
                <w:szCs w:val="14"/>
                <w:color w:val="auto"/>
              </w:rPr>
              <w:t>2,555,135</w:t>
            </w:r>
          </w:p>
        </w:tc>
        <w:tc>
          <w:tcPr>
            <w:tcW w:w="1380" w:type="dxa"/>
            <w:vAlign w:val="bottom"/>
          </w:tcPr>
          <w:p>
            <w:pPr>
              <w:jc w:val="right"/>
              <w:spacing w:after="0"/>
              <w:rPr>
                <w:sz w:val="20"/>
                <w:szCs w:val="20"/>
                <w:color w:val="auto"/>
              </w:rPr>
            </w:pPr>
            <w:r>
              <w:rPr>
                <w:rFonts w:ascii="Arial" w:cs="Arial" w:eastAsia="Arial" w:hAnsi="Arial"/>
                <w:sz w:val="14"/>
                <w:szCs w:val="14"/>
                <w:color w:val="auto"/>
              </w:rPr>
              <w:t>0</w:t>
            </w:r>
          </w:p>
        </w:tc>
        <w:tc>
          <w:tcPr>
            <w:tcW w:w="1360" w:type="dxa"/>
            <w:vAlign w:val="bottom"/>
          </w:tcPr>
          <w:p>
            <w:pPr>
              <w:jc w:val="right"/>
              <w:spacing w:after="0"/>
              <w:rPr>
                <w:sz w:val="20"/>
                <w:szCs w:val="20"/>
                <w:color w:val="auto"/>
              </w:rPr>
            </w:pPr>
            <w:r>
              <w:rPr>
                <w:rFonts w:ascii="Arial" w:cs="Arial" w:eastAsia="Arial" w:hAnsi="Arial"/>
                <w:sz w:val="14"/>
                <w:szCs w:val="14"/>
                <w:color w:val="auto"/>
              </w:rPr>
              <w:t>10,000</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5,639,427</w:t>
            </w:r>
          </w:p>
        </w:tc>
        <w:tc>
          <w:tcPr>
            <w:tcW w:w="0" w:type="dxa"/>
            <w:vAlign w:val="bottom"/>
          </w:tcPr>
          <w:p>
            <w:pPr>
              <w:spacing w:after="0"/>
              <w:rPr>
                <w:sz w:val="1"/>
                <w:szCs w:val="1"/>
                <w:color w:val="auto"/>
              </w:rPr>
            </w:pPr>
          </w:p>
        </w:tc>
      </w:tr>
      <w:tr>
        <w:trPr>
          <w:trHeight w:val="162"/>
        </w:trPr>
        <w:tc>
          <w:tcPr>
            <w:tcW w:w="3420" w:type="dxa"/>
            <w:vAlign w:val="bottom"/>
          </w:tcPr>
          <w:p>
            <w:pPr>
              <w:ind w:left="80"/>
              <w:spacing w:after="0"/>
              <w:rPr>
                <w:sz w:val="20"/>
                <w:szCs w:val="20"/>
                <w:color w:val="auto"/>
              </w:rPr>
            </w:pPr>
            <w:r>
              <w:rPr>
                <w:rFonts w:ascii="Arial" w:cs="Arial" w:eastAsia="Arial" w:hAnsi="Arial"/>
                <w:sz w:val="14"/>
                <w:szCs w:val="14"/>
                <w:color w:val="auto"/>
              </w:rPr>
              <w:t>Chief Communications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Officer</w:t>
            </w: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right="120" w:hanging="312"/>
        <w:spacing w:after="0" w:line="230" w:lineRule="auto"/>
        <w:tabs>
          <w:tab w:leader="none" w:pos="320" w:val="left"/>
        </w:tabs>
        <w:numPr>
          <w:ilvl w:val="0"/>
          <w:numId w:val="81"/>
        </w:numPr>
        <w:rPr>
          <w:rFonts w:ascii="Arial" w:cs="Arial" w:eastAsia="Arial" w:hAnsi="Arial"/>
          <w:sz w:val="13"/>
          <w:szCs w:val="13"/>
          <w:color w:val="auto"/>
        </w:rPr>
      </w:pPr>
      <w:r>
        <w:rPr>
          <w:rFonts w:ascii="Arial" w:cs="Arial" w:eastAsia="Arial" w:hAnsi="Arial"/>
          <w:sz w:val="15"/>
          <w:szCs w:val="15"/>
          <w:color w:val="auto"/>
        </w:rPr>
        <w:t>Amounts represent the aggregate grant date fair value of PSUs granted to the NEOs in accordance with Financial Accounting Standards Board Accounting Standards Codification Topic 718, Compensation – Stock Compensation (“FASB ASC Topic 718”), which do not correspond to the actual values that may be realized by the NEOs or to the values approved by the CHC Committee. The grant date values for PSUs were calculated using a Monte Carlo simulation model, determined based on the probable outcome of the performance condition as of the grant date. The valuation assumptions for the PSUs granted in March 2023 were as follows: a term of 2.8 years, an expected volatility of 27.1%, an expected peer median volatility of 29.3%, a correlation of 0.5806, a peer median correlation of 0.5516 and an interest rate of 4.6%. Amounts were also discounted to consider that dividend equivalents that accrue during the vesting period are not paid out until the underlying shares vest. The following are the values of the PSUs granted in 2023 as of their grant date assuming attainment of the maximum level of performance: Mr. Roberts ($37,561,457), Mr. Cavanagh ($28,579,484), Mr. Armstrong ($8,165,909), Mr. Reid ($8,165,909) and Ms. Khoury ($2,450,108). See also “Compensation Discussion and Analysis – Compensation Decisions – Equity-Based Compensation” for the target PSU values that the CHC Committee approved for 2023, which are lower than the amounts required to be reported in this table.</w:t>
      </w:r>
    </w:p>
    <w:p>
      <w:pPr>
        <w:spacing w:after="0" w:line="34" w:lineRule="exact"/>
        <w:rPr>
          <w:rFonts w:ascii="Arial" w:cs="Arial" w:eastAsia="Arial" w:hAnsi="Arial"/>
          <w:sz w:val="13"/>
          <w:szCs w:val="13"/>
          <w:color w:val="auto"/>
        </w:rPr>
      </w:pPr>
    </w:p>
    <w:p>
      <w:pPr>
        <w:ind w:left="320" w:hanging="312"/>
        <w:spacing w:after="0" w:line="238" w:lineRule="auto"/>
        <w:tabs>
          <w:tab w:leader="none" w:pos="320" w:val="left"/>
        </w:tabs>
        <w:numPr>
          <w:ilvl w:val="0"/>
          <w:numId w:val="81"/>
        </w:numPr>
        <w:rPr>
          <w:rFonts w:ascii="Arial" w:cs="Arial" w:eastAsia="Arial" w:hAnsi="Arial"/>
          <w:sz w:val="13"/>
          <w:szCs w:val="13"/>
          <w:color w:val="auto"/>
        </w:rPr>
      </w:pPr>
      <w:r>
        <w:rPr>
          <w:rFonts w:ascii="Arial" w:cs="Arial" w:eastAsia="Arial" w:hAnsi="Arial"/>
          <w:sz w:val="15"/>
          <w:szCs w:val="15"/>
          <w:color w:val="auto"/>
        </w:rPr>
        <w:t>Amounts represent the aggregate grant date fair value of stock options granted to the NEOs in accordance with FASB ASC Topic 718. Under SEC rules, the amounts shown exclude the impact of estimated forfeitures. These amounts, which do not correspond to the actual values that may be realized by the NEOs, were calculated using the Black-Scholes option pricing model, based upon the following valuation assumptions for options granted in March 2023 to our NEOs for their annual option awards: an expected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40</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2" w:lineRule="exact"/>
        <w:rPr>
          <w:sz w:val="20"/>
          <w:szCs w:val="20"/>
          <w:color w:val="auto"/>
        </w:rPr>
      </w:pPr>
    </w:p>
    <w:p>
      <w:pPr>
        <w:ind w:left="320" w:right="20"/>
        <w:spacing w:after="0" w:line="244" w:lineRule="auto"/>
        <w:rPr>
          <w:sz w:val="20"/>
          <w:szCs w:val="20"/>
          <w:color w:val="auto"/>
        </w:rPr>
      </w:pPr>
      <w:r>
        <w:rPr>
          <w:rFonts w:ascii="Arial" w:cs="Arial" w:eastAsia="Arial" w:hAnsi="Arial"/>
          <w:sz w:val="15"/>
          <w:szCs w:val="15"/>
          <w:color w:val="auto"/>
        </w:rPr>
        <w:t>volatility of 26.2%, an expected term to exercise of 5.9 years, an interest rate of 4.2% and a dividend yield of 3.2%. For information on valuation assumptions with respect to grants made before 2023, refer to the footnotes in the “Summary Compensation Table” in our definitive proxy statements filed with the SEC in 2022 and 2023. See the “Grants of Plan-Based Awards” table below for additional information on options granted in 2023.</w:t>
      </w:r>
    </w:p>
    <w:p>
      <w:pPr>
        <w:spacing w:after="0" w:line="27" w:lineRule="exact"/>
        <w:rPr>
          <w:sz w:val="20"/>
          <w:szCs w:val="20"/>
          <w:color w:val="auto"/>
        </w:rPr>
      </w:pPr>
    </w:p>
    <w:p>
      <w:pPr>
        <w:ind w:left="320" w:right="360" w:hanging="312"/>
        <w:spacing w:after="0" w:line="264" w:lineRule="auto"/>
        <w:tabs>
          <w:tab w:leader="none" w:pos="320" w:val="left"/>
        </w:tabs>
        <w:numPr>
          <w:ilvl w:val="0"/>
          <w:numId w:val="82"/>
        </w:numPr>
        <w:rPr>
          <w:rFonts w:ascii="Arial" w:cs="Arial" w:eastAsia="Arial" w:hAnsi="Arial"/>
          <w:sz w:val="13"/>
          <w:szCs w:val="13"/>
          <w:color w:val="auto"/>
        </w:rPr>
      </w:pPr>
      <w:r>
        <w:rPr>
          <w:rFonts w:ascii="Arial" w:cs="Arial" w:eastAsia="Arial" w:hAnsi="Arial"/>
          <w:sz w:val="15"/>
          <w:szCs w:val="15"/>
          <w:color w:val="auto"/>
        </w:rPr>
        <w:t>Amounts represent annual performance-based bonuses. See the “Grants of Plan-Based Awards” table below and “Compensation Discussion and Analysis – Compensation Decisions – Annual Cash Bonus” above for additional information on these bonuses and the achievement of specified metrics in 2023.</w:t>
      </w:r>
    </w:p>
    <w:p>
      <w:pPr>
        <w:spacing w:after="0" w:line="79" w:lineRule="exact"/>
        <w:rPr>
          <w:rFonts w:ascii="Arial" w:cs="Arial" w:eastAsia="Arial" w:hAnsi="Arial"/>
          <w:sz w:val="13"/>
          <w:szCs w:val="13"/>
          <w:color w:val="auto"/>
        </w:rPr>
      </w:pPr>
    </w:p>
    <w:p>
      <w:pPr>
        <w:jc w:val="both"/>
        <w:ind w:left="320" w:right="100" w:hanging="312"/>
        <w:spacing w:after="0" w:line="244" w:lineRule="auto"/>
        <w:tabs>
          <w:tab w:leader="none" w:pos="320" w:val="left"/>
        </w:tabs>
        <w:numPr>
          <w:ilvl w:val="0"/>
          <w:numId w:val="82"/>
        </w:numPr>
        <w:rPr>
          <w:rFonts w:ascii="Arial" w:cs="Arial" w:eastAsia="Arial" w:hAnsi="Arial"/>
          <w:sz w:val="13"/>
          <w:szCs w:val="13"/>
          <w:color w:val="auto"/>
        </w:rPr>
      </w:pPr>
      <w:r>
        <w:rPr>
          <w:rFonts w:ascii="Arial" w:cs="Arial" w:eastAsia="Arial" w:hAnsi="Arial"/>
          <w:sz w:val="15"/>
          <w:szCs w:val="15"/>
          <w:color w:val="auto"/>
        </w:rPr>
        <w:t>Amounts represent the dollar value of interest earned on compensation deferred in “income funds” under our deferred compensation plans in excess of 120% of the long-term applicable federal rate. Effective March 2021, NEOs were prohibited from deferring compensation into the income fund and no longer earn interest above the applicable federal rate. See “Nonqualified Deferred Compensation in and as of Fiscal Year-End” below.</w:t>
      </w:r>
    </w:p>
    <w:p>
      <w:pPr>
        <w:spacing w:after="0" w:line="94" w:lineRule="exact"/>
        <w:rPr>
          <w:rFonts w:ascii="Arial" w:cs="Arial" w:eastAsia="Arial" w:hAnsi="Arial"/>
          <w:sz w:val="13"/>
          <w:szCs w:val="13"/>
          <w:color w:val="auto"/>
        </w:rPr>
      </w:pPr>
    </w:p>
    <w:p>
      <w:pPr>
        <w:ind w:left="320" w:right="320" w:hanging="312"/>
        <w:spacing w:after="0" w:line="264" w:lineRule="auto"/>
        <w:tabs>
          <w:tab w:leader="none" w:pos="320" w:val="left"/>
        </w:tabs>
        <w:numPr>
          <w:ilvl w:val="0"/>
          <w:numId w:val="82"/>
        </w:numPr>
        <w:rPr>
          <w:rFonts w:ascii="Arial" w:cs="Arial" w:eastAsia="Arial" w:hAnsi="Arial"/>
          <w:sz w:val="13"/>
          <w:szCs w:val="13"/>
          <w:color w:val="auto"/>
        </w:rPr>
      </w:pPr>
      <w:r>
        <w:rPr>
          <w:rFonts w:ascii="Arial" w:cs="Arial" w:eastAsia="Arial" w:hAnsi="Arial"/>
          <w:sz w:val="15"/>
          <w:szCs w:val="15"/>
          <w:color w:val="auto"/>
        </w:rPr>
        <w:t>Amounts for 2023 include: (a) company contributions to our retirement-investment plan accounts in the amount of $10,000 for each NEO and (b) amounts on account of personal use of Company-provided aircraft (Mr. Roberts, $189,049 and Mr. Cavanagh, $248,030).</w:t>
      </w:r>
    </w:p>
    <w:p>
      <w:pPr>
        <w:spacing w:after="0" w:line="79" w:lineRule="exact"/>
        <w:rPr>
          <w:rFonts w:ascii="Arial" w:cs="Arial" w:eastAsia="Arial" w:hAnsi="Arial"/>
          <w:sz w:val="13"/>
          <w:szCs w:val="13"/>
          <w:color w:val="auto"/>
        </w:rPr>
      </w:pPr>
    </w:p>
    <w:p>
      <w:pPr>
        <w:ind w:left="320" w:right="80"/>
        <w:spacing w:after="0" w:line="244" w:lineRule="auto"/>
        <w:rPr>
          <w:rFonts w:ascii="Arial" w:cs="Arial" w:eastAsia="Arial" w:hAnsi="Arial"/>
          <w:sz w:val="13"/>
          <w:szCs w:val="13"/>
          <w:color w:val="auto"/>
        </w:rPr>
      </w:pPr>
      <w:r>
        <w:rPr>
          <w:rFonts w:ascii="Arial" w:cs="Arial" w:eastAsia="Arial" w:hAnsi="Arial"/>
          <w:sz w:val="15"/>
          <w:szCs w:val="15"/>
          <w:color w:val="auto"/>
        </w:rPr>
        <w:t>For security and business reasons, Company practices and policy strongly encourage, and in some cases may require, Mr. Roberts to use Company-provided aircraft for business and personal travel. Our other NEOs also have access to Company-provided aircraft for personal travel, as it affords all of our NEOs greater security, allows travel time to be used productively and enables them to be immediately available to respond to business priorities from any location.</w:t>
      </w:r>
    </w:p>
    <w:p>
      <w:pPr>
        <w:spacing w:after="0" w:line="94" w:lineRule="exact"/>
        <w:rPr>
          <w:rFonts w:ascii="Arial" w:cs="Arial" w:eastAsia="Arial" w:hAnsi="Arial"/>
          <w:sz w:val="13"/>
          <w:szCs w:val="13"/>
          <w:color w:val="auto"/>
        </w:rPr>
      </w:pPr>
    </w:p>
    <w:p>
      <w:pPr>
        <w:ind w:left="320"/>
        <w:spacing w:after="0" w:line="234" w:lineRule="auto"/>
        <w:rPr>
          <w:rFonts w:ascii="Arial" w:cs="Arial" w:eastAsia="Arial" w:hAnsi="Arial"/>
          <w:sz w:val="13"/>
          <w:szCs w:val="13"/>
          <w:color w:val="auto"/>
        </w:rPr>
      </w:pPr>
      <w:r>
        <w:rPr>
          <w:rFonts w:ascii="Arial" w:cs="Arial" w:eastAsia="Arial" w:hAnsi="Arial"/>
          <w:sz w:val="15"/>
          <w:szCs w:val="15"/>
          <w:color w:val="auto"/>
        </w:rPr>
        <w:t>Our policy allows an NEO to bring guests, such as family members, on flights on Company-provided aircraft. The NEOs are required to pay us for personal use of Company-provided aircraft in amounts determined by Company policy. The NEOs are imputed income for costs related to use of Company-provided aircraft when required under Internal Revenue Code guidelines. We do not reimburse the NEOs for any taxes incurred as a result of imputed income. In addition, the Internal Revenue Code limits the amount that we can deduct for the personal use of Company-provided aircraft to the amount recognized as income by our executives who use the aircraft; the amounts in the table above do not include our 2023 disallowed tax deduction of $5.8 million resulting from the personal use of Company-provided aircraft by our NEOs and any guests.</w:t>
      </w:r>
    </w:p>
    <w:p>
      <w:pPr>
        <w:spacing w:after="0" w:line="97" w:lineRule="exact"/>
        <w:rPr>
          <w:rFonts w:ascii="Arial" w:cs="Arial" w:eastAsia="Arial" w:hAnsi="Arial"/>
          <w:sz w:val="13"/>
          <w:szCs w:val="13"/>
          <w:color w:val="auto"/>
        </w:rPr>
      </w:pPr>
    </w:p>
    <w:p>
      <w:pPr>
        <w:ind w:left="320" w:right="40"/>
        <w:spacing w:after="0" w:line="232" w:lineRule="auto"/>
        <w:rPr>
          <w:rFonts w:ascii="Arial" w:cs="Arial" w:eastAsia="Arial" w:hAnsi="Arial"/>
          <w:sz w:val="13"/>
          <w:szCs w:val="13"/>
          <w:color w:val="auto"/>
        </w:rPr>
      </w:pPr>
      <w:r>
        <w:rPr>
          <w:rFonts w:ascii="Arial" w:cs="Arial" w:eastAsia="Arial" w:hAnsi="Arial"/>
          <w:sz w:val="15"/>
          <w:szCs w:val="15"/>
          <w:color w:val="auto"/>
        </w:rPr>
        <w:t>The amounts reflected for each NEO on account of personal use of Company-provided aircraft indicate the extent to which the incremental cost of such use exceeds the amount paid to us by the NEO. The aggregate incremental cost for a personal flight on a charter plane is the cost of the flight as charged to us by the charter company. The aggregate incremental cost for a personal flight taken on a third party-owned plane that is serviced by us includes all variable costs attributable to that flight (including for repositioning flights), such as fuel, trip and allocable maintenance expenses and third-party lease payments. The aggregate incremental cost for a personal flight on a Company plane includes all variable costs for the year, such as fuel, maintenance and other trip expenses, to arrive at a variable cost per hour that we then multiply by the number of hours the NEO used the aircraft for personal travel (including the hours for repositioning flights). These methodologies exclude fixed costs, as these costs do not change based on usage. Our NEOs have access to a Company-provided car for personal travel, but they have fully reimbursed the Company for the incremental costs associated with such use in accordance with our policy.</w:t>
      </w:r>
    </w:p>
    <w:p>
      <w:pPr>
        <w:spacing w:after="0" w:line="97"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5"/>
          <w:szCs w:val="15"/>
          <w:color w:val="auto"/>
        </w:rPr>
        <w:t>For all other benefits that would otherwise be considered perquisites, our NEOs are required to fully reimburse us for such benefits in accordance with our policy.</w:t>
      </w:r>
    </w:p>
    <w:p>
      <w:pPr>
        <w:spacing w:after="0" w:line="57" w:lineRule="exact"/>
        <w:rPr>
          <w:rFonts w:ascii="Arial" w:cs="Arial" w:eastAsia="Arial" w:hAnsi="Arial"/>
          <w:sz w:val="13"/>
          <w:szCs w:val="13"/>
          <w:color w:val="auto"/>
        </w:rPr>
      </w:pPr>
    </w:p>
    <w:p>
      <w:pPr>
        <w:ind w:left="320" w:hanging="312"/>
        <w:spacing w:after="0"/>
        <w:tabs>
          <w:tab w:leader="none" w:pos="320" w:val="left"/>
        </w:tabs>
        <w:numPr>
          <w:ilvl w:val="0"/>
          <w:numId w:val="82"/>
        </w:numPr>
        <w:rPr>
          <w:rFonts w:ascii="Arial" w:cs="Arial" w:eastAsia="Arial" w:hAnsi="Arial"/>
          <w:sz w:val="13"/>
          <w:szCs w:val="13"/>
          <w:color w:val="auto"/>
        </w:rPr>
      </w:pPr>
      <w:r>
        <w:rPr>
          <w:rFonts w:ascii="Arial" w:cs="Arial" w:eastAsia="Arial" w:hAnsi="Arial"/>
          <w:sz w:val="15"/>
          <w:szCs w:val="15"/>
          <w:color w:val="auto"/>
        </w:rPr>
        <w:t>Mr. Armstrong’s annual cash bonus was based on an annual base salary of $2 million in effect for 2024.</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color w:val="auto"/>
        </w:rPr>
        <w:t>Grants of Plan-Based Awards</w:t>
      </w:r>
    </w:p>
    <w:p>
      <w:pPr>
        <w:spacing w:after="0" w:line="22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The table below provides information about equity and non-equity awards granted to our NEOs in 2023 as follows: (1) the grant date for equity awards and the date the grant of such awards was approved by the CHC Committee; (2) the estimated future payouts under non-equity incentive plan awards (columns (a), (b) and (c)); (3) the estimated future payouts under equity incentive plan awards, which consist of PSUs (columns (d), (e) and (f)); (4) option awards, which consist of the number of shares underlying stock options (column (g)); (5) the exercise price of the stock option awards, which reflects the closing price of our Class A common stock on the date of grant (column (h)); and (6) the grant date fair value of each equity award computed in accordance with FASB ASC Topic 718 (column (i)).</w:t>
      </w:r>
    </w:p>
    <w:p>
      <w:pPr>
        <w:spacing w:after="0" w:line="183" w:lineRule="exact"/>
        <w:rPr>
          <w:sz w:val="20"/>
          <w:szCs w:val="20"/>
          <w:color w:val="auto"/>
        </w:rPr>
      </w:pPr>
    </w:p>
    <w:p>
      <w:pPr>
        <w:ind w:left="360" w:hanging="352"/>
        <w:spacing w:after="0"/>
        <w:tabs>
          <w:tab w:leader="none" w:pos="360"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EE"/>
        </w:rPr>
        <w:t>Table of Contents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NAME</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Brian L.</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Roberts</w:t>
      </w:r>
    </w:p>
    <w:p>
      <w:pPr>
        <w:spacing w:after="0" w:line="336"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Michael J.</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Cavanagh</w:t>
      </w:r>
    </w:p>
    <w:p>
      <w:pPr>
        <w:spacing w:after="0" w:line="336"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Jason S.</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Armstrong</w:t>
      </w:r>
    </w:p>
    <w:p>
      <w:pPr>
        <w:spacing w:after="0" w:line="336"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Thomas J.</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Reid</w:t>
      </w:r>
    </w:p>
    <w:p>
      <w:pPr>
        <w:spacing w:after="0" w:line="336"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Jennifer</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Khoury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ALL OTHER</w:t>
            </w:r>
          </w:p>
        </w:tc>
        <w:tc>
          <w:tcPr>
            <w:tcW w:w="7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rPr>
              <w:t>ESTIMATED FUTURE PAYOUTS</w:t>
            </w:r>
          </w:p>
        </w:tc>
        <w:tc>
          <w:tcPr>
            <w:tcW w:w="2320" w:type="dxa"/>
            <w:vAlign w:val="bottom"/>
            <w:gridSpan w:val="5"/>
            <w:vMerge w:val="restart"/>
          </w:tcPr>
          <w:p>
            <w:pPr>
              <w:jc w:val="right"/>
              <w:ind w:right="160"/>
              <w:spacing w:after="0"/>
              <w:rPr>
                <w:sz w:val="20"/>
                <w:szCs w:val="20"/>
                <w:color w:val="auto"/>
              </w:rPr>
            </w:pPr>
            <w:r>
              <w:rPr>
                <w:rFonts w:ascii="Arial" w:cs="Arial" w:eastAsia="Arial" w:hAnsi="Arial"/>
                <w:sz w:val="13"/>
                <w:szCs w:val="13"/>
                <w:b w:val="1"/>
                <w:bCs w:val="1"/>
                <w:color w:val="auto"/>
              </w:rPr>
              <w:t>ESTIMATED FUTURE PAYOUTS</w:t>
            </w:r>
          </w:p>
        </w:tc>
        <w:tc>
          <w:tcPr>
            <w:tcW w:w="960" w:type="dxa"/>
            <w:vAlign w:val="bottom"/>
          </w:tcPr>
          <w:p>
            <w:pPr>
              <w:jc w:val="right"/>
              <w:ind w:right="15"/>
              <w:spacing w:after="0"/>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rPr>
              <w:t>UNDER NON-EQUITY INCENTIVE</w:t>
            </w:r>
          </w:p>
        </w:tc>
        <w:tc>
          <w:tcPr>
            <w:tcW w:w="2320" w:type="dxa"/>
            <w:vAlign w:val="bottom"/>
            <w:gridSpan w:val="5"/>
            <w:vMerge w:val="continue"/>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OR BASE</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PLAN AWARDS</w:t>
            </w:r>
          </w:p>
        </w:tc>
        <w:tc>
          <w:tcPr>
            <w:tcW w:w="760" w:type="dxa"/>
            <w:vAlign w:val="bottom"/>
          </w:tcPr>
          <w:p>
            <w:pPr>
              <w:jc w:val="right"/>
              <w:ind w:right="556"/>
              <w:spacing w:after="0"/>
              <w:rPr>
                <w:sz w:val="20"/>
                <w:szCs w:val="20"/>
                <w:color w:val="auto"/>
              </w:rPr>
            </w:pPr>
            <w:r>
              <w:rPr>
                <w:rFonts w:ascii="Arial" w:cs="Arial" w:eastAsia="Arial" w:hAnsi="Arial"/>
                <w:sz w:val="11"/>
                <w:szCs w:val="11"/>
                <w:b w:val="1"/>
                <w:bCs w:val="1"/>
                <w:color w:val="auto"/>
                <w:w w:val="88"/>
              </w:rPr>
              <w:t>(1)</w:t>
            </w:r>
          </w:p>
        </w:tc>
        <w:tc>
          <w:tcPr>
            <w:tcW w:w="60" w:type="dxa"/>
            <w:vAlign w:val="bottom"/>
          </w:tcPr>
          <w:p>
            <w:pPr>
              <w:spacing w:after="0"/>
              <w:rPr>
                <w:sz w:val="12"/>
                <w:szCs w:val="12"/>
                <w:color w:val="auto"/>
              </w:rPr>
            </w:pPr>
          </w:p>
        </w:tc>
        <w:tc>
          <w:tcPr>
            <w:tcW w:w="2320" w:type="dxa"/>
            <w:vAlign w:val="bottom"/>
            <w:gridSpan w:val="5"/>
          </w:tcPr>
          <w:p>
            <w:pPr>
              <w:jc w:val="right"/>
              <w:ind w:right="80"/>
              <w:spacing w:after="0"/>
              <w:rPr>
                <w:sz w:val="20"/>
                <w:szCs w:val="20"/>
                <w:color w:val="auto"/>
              </w:rPr>
            </w:pPr>
            <w:r>
              <w:rPr>
                <w:rFonts w:ascii="Arial" w:cs="Arial" w:eastAsia="Arial" w:hAnsi="Arial"/>
                <w:sz w:val="13"/>
                <w:szCs w:val="13"/>
                <w:b w:val="1"/>
                <w:bCs w:val="1"/>
                <w:color w:val="auto"/>
              </w:rPr>
              <w:t>UNDER EQUITY INCENTIVE PLAN</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PRICE OF</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OF STOCK</w:t>
            </w:r>
          </w:p>
        </w:tc>
        <w:tc>
          <w:tcPr>
            <w:tcW w:w="0" w:type="dxa"/>
            <w:vAlign w:val="bottom"/>
          </w:tcPr>
          <w:p>
            <w:pPr>
              <w:spacing w:after="0"/>
              <w:rPr>
                <w:sz w:val="1"/>
                <w:szCs w:val="1"/>
                <w:color w:val="auto"/>
              </w:rPr>
            </w:pPr>
          </w:p>
        </w:tc>
      </w:tr>
      <w:tr>
        <w:trPr>
          <w:trHeight w:val="108"/>
        </w:trPr>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2"/>
            <w:vMerge w:val="restart"/>
          </w:tcPr>
          <w:p>
            <w:pPr>
              <w:ind w:left="780"/>
              <w:spacing w:after="0"/>
              <w:rPr>
                <w:sz w:val="20"/>
                <w:szCs w:val="20"/>
                <w:color w:val="auto"/>
              </w:rPr>
            </w:pPr>
            <w:r>
              <w:rPr>
                <w:rFonts w:ascii="Arial" w:cs="Arial" w:eastAsia="Arial" w:hAnsi="Arial"/>
                <w:sz w:val="13"/>
                <w:szCs w:val="13"/>
                <w:b w:val="1"/>
                <w:bCs w:val="1"/>
                <w:color w:val="auto"/>
                <w:w w:val="99"/>
              </w:rPr>
              <w:t>AWARDS</w:t>
            </w:r>
          </w:p>
        </w:tc>
        <w:tc>
          <w:tcPr>
            <w:tcW w:w="200" w:type="dxa"/>
            <w:vAlign w:val="bottom"/>
          </w:tcPr>
          <w:p>
            <w:pPr>
              <w:jc w:val="right"/>
              <w:ind w:right="4"/>
              <w:spacing w:after="0" w:line="108" w:lineRule="exact"/>
              <w:rPr>
                <w:sz w:val="20"/>
                <w:szCs w:val="20"/>
                <w:color w:val="auto"/>
              </w:rPr>
            </w:pPr>
            <w:r>
              <w:rPr>
                <w:rFonts w:ascii="Arial" w:cs="Arial" w:eastAsia="Arial" w:hAnsi="Arial"/>
                <w:sz w:val="11"/>
                <w:szCs w:val="11"/>
                <w:b w:val="1"/>
                <w:bCs w:val="1"/>
                <w:color w:val="auto"/>
                <w:w w:val="88"/>
              </w:rPr>
              <w:t>(2)</w:t>
            </w: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jc w:val="right"/>
              <w:ind w:right="13"/>
              <w:spacing w:after="0" w:line="108" w:lineRule="exact"/>
              <w:rPr>
                <w:sz w:val="20"/>
                <w:szCs w:val="20"/>
                <w:color w:val="auto"/>
              </w:rPr>
            </w:pPr>
            <w:r>
              <w:rPr>
                <w:rFonts w:ascii="Arial" w:cs="Arial" w:eastAsia="Arial" w:hAnsi="Arial"/>
                <w:sz w:val="12"/>
                <w:szCs w:val="12"/>
                <w:b w:val="1"/>
                <w:bCs w:val="1"/>
                <w:color w:val="auto"/>
              </w:rPr>
              <w:t>OPTION</w:t>
            </w:r>
          </w:p>
        </w:tc>
        <w:tc>
          <w:tcPr>
            <w:tcW w:w="88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AND OPTION</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13"/>
              <w:spacing w:after="0" w:line="115"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Borders>
              <w:bottom w:val="single" w:sz="8" w:color="auto"/>
            </w:tcBorders>
            <w:gridSpan w:val="2"/>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UNDERLYING</w:t>
            </w:r>
          </w:p>
        </w:tc>
        <w:tc>
          <w:tcPr>
            <w:tcW w:w="76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AWARDS</w:t>
            </w:r>
          </w:p>
        </w:tc>
        <w:tc>
          <w:tcPr>
            <w:tcW w:w="880" w:type="dxa"/>
            <w:vAlign w:val="bottom"/>
          </w:tcPr>
          <w:p>
            <w:pPr>
              <w:jc w:val="right"/>
              <w:spacing w:after="0" w:line="129" w:lineRule="exact"/>
              <w:rPr>
                <w:sz w:val="20"/>
                <w:szCs w:val="20"/>
                <w:color w:val="auto"/>
              </w:rPr>
            </w:pPr>
            <w:r>
              <w:rPr>
                <w:rFonts w:ascii="Arial" w:cs="Arial" w:eastAsia="Arial" w:hAnsi="Arial"/>
                <w:sz w:val="9"/>
                <w:szCs w:val="9"/>
                <w:b w:val="1"/>
                <w:bCs w:val="1"/>
                <w:color w:val="auto"/>
              </w:rPr>
              <w:t>AWARDS</w:t>
            </w:r>
            <w:r>
              <w:rPr>
                <w:rFonts w:ascii="Arial" w:cs="Arial" w:eastAsia="Arial" w:hAnsi="Arial"/>
                <w:sz w:val="14"/>
                <w:szCs w:val="14"/>
                <w:b w:val="1"/>
                <w:bCs w:val="1"/>
                <w:color w:val="auto"/>
                <w:vertAlign w:val="superscript"/>
              </w:rPr>
              <w:t>(4)</w:t>
            </w:r>
          </w:p>
        </w:tc>
        <w:tc>
          <w:tcPr>
            <w:tcW w:w="0" w:type="dxa"/>
            <w:vAlign w:val="bottom"/>
          </w:tcPr>
          <w:p>
            <w:pPr>
              <w:spacing w:after="0"/>
              <w:rPr>
                <w:sz w:val="1"/>
                <w:szCs w:val="1"/>
                <w:color w:val="auto"/>
              </w:rPr>
            </w:pPr>
          </w:p>
        </w:tc>
      </w:tr>
      <w:tr>
        <w:trPr>
          <w:trHeight w:val="154"/>
        </w:trPr>
        <w:tc>
          <w:tcPr>
            <w:tcW w:w="2300" w:type="dxa"/>
            <w:vAlign w:val="bottom"/>
            <w:gridSpan w:val="3"/>
          </w:tcPr>
          <w:p>
            <w:pPr>
              <w:jc w:val="right"/>
              <w:ind w:right="33"/>
              <w:spacing w:after="0"/>
              <w:rPr>
                <w:sz w:val="20"/>
                <w:szCs w:val="20"/>
                <w:color w:val="auto"/>
              </w:rPr>
            </w:pPr>
            <w:r>
              <w:rPr>
                <w:rFonts w:ascii="Arial" w:cs="Arial" w:eastAsia="Arial" w:hAnsi="Arial"/>
                <w:sz w:val="13"/>
                <w:szCs w:val="13"/>
                <w:b w:val="1"/>
                <w:bCs w:val="1"/>
                <w:color w:val="auto"/>
              </w:rPr>
              <w:t>GRANT APPROVAL THRESHOLD</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TARGET</w:t>
            </w:r>
          </w:p>
        </w:tc>
        <w:tc>
          <w:tcPr>
            <w:tcW w:w="1740" w:type="dxa"/>
            <w:vAlign w:val="bottom"/>
            <w:gridSpan w:val="3"/>
          </w:tcPr>
          <w:p>
            <w:pPr>
              <w:jc w:val="right"/>
              <w:spacing w:after="0"/>
              <w:rPr>
                <w:sz w:val="20"/>
                <w:szCs w:val="20"/>
                <w:color w:val="auto"/>
              </w:rPr>
            </w:pPr>
            <w:r>
              <w:rPr>
                <w:rFonts w:ascii="Arial" w:cs="Arial" w:eastAsia="Arial" w:hAnsi="Arial"/>
                <w:sz w:val="13"/>
                <w:szCs w:val="13"/>
                <w:b w:val="1"/>
                <w:bCs w:val="1"/>
                <w:color w:val="auto"/>
              </w:rPr>
              <w:t>MAXIMUM THRESHOLD</w:t>
            </w:r>
          </w:p>
        </w:tc>
        <w:tc>
          <w:tcPr>
            <w:tcW w:w="660" w:type="dxa"/>
            <w:vAlign w:val="bottom"/>
            <w:gridSpan w:val="2"/>
          </w:tcPr>
          <w:p>
            <w:pPr>
              <w:jc w:val="right"/>
              <w:ind w:right="4"/>
              <w:spacing w:after="0"/>
              <w:rPr>
                <w:sz w:val="20"/>
                <w:szCs w:val="20"/>
                <w:color w:val="auto"/>
              </w:rPr>
            </w:pPr>
            <w:r>
              <w:rPr>
                <w:rFonts w:ascii="Arial" w:cs="Arial" w:eastAsia="Arial" w:hAnsi="Arial"/>
                <w:sz w:val="13"/>
                <w:szCs w:val="13"/>
                <w:b w:val="1"/>
                <w:bCs w:val="1"/>
                <w:color w:val="auto"/>
              </w:rPr>
              <w:t>TARGET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MAXIMUM</w:t>
            </w:r>
          </w:p>
        </w:tc>
        <w:tc>
          <w:tcPr>
            <w:tcW w:w="960" w:type="dxa"/>
            <w:vAlign w:val="bottom"/>
          </w:tcPr>
          <w:p>
            <w:pPr>
              <w:jc w:val="right"/>
              <w:spacing w:after="0" w:line="154"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7"/>
                <w:szCs w:val="17"/>
                <w:b w:val="1"/>
                <w:bCs w:val="1"/>
                <w:color w:val="auto"/>
                <w:vertAlign w:val="superscript"/>
              </w:rPr>
              <w:t>(3)</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6"/>
        </w:trPr>
        <w:tc>
          <w:tcPr>
            <w:tcW w:w="700" w:type="dxa"/>
            <w:vAlign w:val="bottom"/>
          </w:tcPr>
          <w:p>
            <w:pPr>
              <w:ind w:left="120"/>
              <w:spacing w:after="0"/>
              <w:rPr>
                <w:sz w:val="20"/>
                <w:szCs w:val="20"/>
                <w:color w:val="auto"/>
              </w:rPr>
            </w:pPr>
            <w:r>
              <w:rPr>
                <w:rFonts w:ascii="Arial" w:cs="Arial" w:eastAsia="Arial" w:hAnsi="Arial"/>
                <w:sz w:val="13"/>
                <w:szCs w:val="13"/>
                <w:b w:val="1"/>
                <w:bCs w:val="1"/>
                <w:color w:val="auto"/>
              </w:rPr>
              <w:t>DATE</w:t>
            </w:r>
          </w:p>
        </w:tc>
        <w:tc>
          <w:tcPr>
            <w:tcW w:w="660" w:type="dxa"/>
            <w:vAlign w:val="bottom"/>
          </w:tcPr>
          <w:p>
            <w:pPr>
              <w:ind w:left="240"/>
              <w:spacing w:after="0"/>
              <w:rPr>
                <w:sz w:val="20"/>
                <w:szCs w:val="20"/>
                <w:color w:val="auto"/>
              </w:rPr>
            </w:pPr>
            <w:r>
              <w:rPr>
                <w:rFonts w:ascii="Arial" w:cs="Arial" w:eastAsia="Arial" w:hAnsi="Arial"/>
                <w:sz w:val="13"/>
                <w:szCs w:val="13"/>
                <w:b w:val="1"/>
                <w:bCs w:val="1"/>
                <w:color w:val="auto"/>
              </w:rPr>
              <w:t>DATE</w:t>
            </w:r>
          </w:p>
        </w:tc>
        <w:tc>
          <w:tcPr>
            <w:tcW w:w="940" w:type="dxa"/>
            <w:vAlign w:val="bottom"/>
          </w:tcPr>
          <w:p>
            <w:pPr>
              <w:jc w:val="right"/>
              <w:ind w:right="33"/>
              <w:spacing w:after="0"/>
              <w:rPr>
                <w:sz w:val="20"/>
                <w:szCs w:val="20"/>
                <w:color w:val="auto"/>
              </w:rPr>
            </w:pPr>
            <w:r>
              <w:rPr>
                <w:rFonts w:ascii="Arial" w:cs="Arial" w:eastAsia="Arial" w:hAnsi="Arial"/>
                <w:sz w:val="13"/>
                <w:szCs w:val="13"/>
                <w:b w:val="1"/>
                <w:bCs w:val="1"/>
                <w:color w:val="auto"/>
              </w:rPr>
              <w:t>(a)</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(b)</w:t>
            </w:r>
          </w:p>
        </w:tc>
        <w:tc>
          <w:tcPr>
            <w:tcW w:w="820" w:type="dxa"/>
            <w:vAlign w:val="bottom"/>
            <w:gridSpan w:val="2"/>
          </w:tcPr>
          <w:p>
            <w:pPr>
              <w:ind w:left="600"/>
              <w:spacing w:after="0"/>
              <w:rPr>
                <w:sz w:val="20"/>
                <w:szCs w:val="20"/>
                <w:color w:val="auto"/>
              </w:rPr>
            </w:pPr>
            <w:r>
              <w:rPr>
                <w:rFonts w:ascii="Arial" w:cs="Arial" w:eastAsia="Arial" w:hAnsi="Arial"/>
                <w:sz w:val="13"/>
                <w:szCs w:val="13"/>
                <w:b w:val="1"/>
                <w:bCs w:val="1"/>
                <w:color w:val="auto"/>
              </w:rPr>
              <w:t>(c)</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(d)</w:t>
            </w:r>
          </w:p>
        </w:tc>
        <w:tc>
          <w:tcPr>
            <w:tcW w:w="660" w:type="dxa"/>
            <w:vAlign w:val="bottom"/>
            <w:gridSpan w:val="2"/>
          </w:tcPr>
          <w:p>
            <w:pPr>
              <w:jc w:val="right"/>
              <w:ind w:right="4"/>
              <w:spacing w:after="0"/>
              <w:rPr>
                <w:sz w:val="20"/>
                <w:szCs w:val="20"/>
                <w:color w:val="auto"/>
              </w:rPr>
            </w:pPr>
            <w:r>
              <w:rPr>
                <w:rFonts w:ascii="Arial" w:cs="Arial" w:eastAsia="Arial" w:hAnsi="Arial"/>
                <w:sz w:val="13"/>
                <w:szCs w:val="13"/>
                <w:b w:val="1"/>
                <w:bCs w:val="1"/>
                <w:color w:val="auto"/>
              </w:rPr>
              <w:t>(e)</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(f)</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(g)</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(h)</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2540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—1,050,000  7,500,000  13,875,000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6064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w w:val="98"/>
              </w:rPr>
              <w:t>3/1/2023</w:t>
            </w:r>
          </w:p>
        </w:tc>
        <w:tc>
          <w:tcPr>
            <w:tcW w:w="84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2/28/2023</w:t>
            </w:r>
          </w:p>
        </w:tc>
        <w:tc>
          <w:tcPr>
            <w:tcW w:w="840" w:type="dxa"/>
            <w:vAlign w:val="bottom"/>
            <w:tcBorders>
              <w:bottom w:val="single" w:sz="8" w:color="DCDDDE"/>
            </w:tcBorders>
          </w:tcPr>
          <w:p>
            <w:pPr>
              <w:spacing w:after="0"/>
              <w:rPr>
                <w:sz w:val="15"/>
                <w:szCs w:val="15"/>
                <w:color w:val="auto"/>
              </w:rPr>
            </w:pPr>
          </w:p>
        </w:tc>
        <w:tc>
          <w:tcPr>
            <w:tcW w:w="720" w:type="dxa"/>
            <w:vAlign w:val="bottom"/>
            <w:tcBorders>
              <w:bottom w:val="single" w:sz="8" w:color="DCDDDE"/>
            </w:tcBorders>
          </w:tcPr>
          <w:p>
            <w:pPr>
              <w:spacing w:after="0"/>
              <w:rPr>
                <w:sz w:val="15"/>
                <w:szCs w:val="15"/>
                <w:color w:val="auto"/>
              </w:rPr>
            </w:pPr>
          </w:p>
        </w:tc>
        <w:tc>
          <w:tcPr>
            <w:tcW w:w="1740" w:type="dxa"/>
            <w:vAlign w:val="bottom"/>
            <w:tcBorders>
              <w:bottom w:val="single" w:sz="8" w:color="DCDDDE"/>
            </w:tcBorders>
          </w:tcPr>
          <w:p>
            <w:pPr>
              <w:jc w:val="right"/>
              <w:ind w:right="13"/>
              <w:spacing w:after="0"/>
              <w:rPr>
                <w:sz w:val="20"/>
                <w:szCs w:val="20"/>
                <w:color w:val="auto"/>
              </w:rPr>
            </w:pPr>
            <w:r>
              <w:rPr>
                <w:rFonts w:ascii="Arial" w:cs="Arial" w:eastAsia="Arial" w:hAnsi="Arial"/>
                <w:sz w:val="13"/>
                <w:szCs w:val="13"/>
                <w:color w:val="auto"/>
              </w:rPr>
              <w:t>70,639</w:t>
            </w:r>
          </w:p>
        </w:tc>
        <w:tc>
          <w:tcPr>
            <w:tcW w:w="72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376,745</w:t>
            </w:r>
          </w:p>
        </w:tc>
        <w:tc>
          <w:tcPr>
            <w:tcW w:w="1800" w:type="dxa"/>
            <w:vAlign w:val="bottom"/>
            <w:tcBorders>
              <w:bottom w:val="single" w:sz="8" w:color="DCDDDE"/>
            </w:tcBorders>
          </w:tcPr>
          <w:p>
            <w:pPr>
              <w:jc w:val="right"/>
              <w:ind w:right="1113"/>
              <w:spacing w:after="0"/>
              <w:rPr>
                <w:sz w:val="20"/>
                <w:szCs w:val="20"/>
                <w:color w:val="auto"/>
              </w:rPr>
            </w:pPr>
            <w:r>
              <w:rPr>
                <w:rFonts w:ascii="Arial" w:cs="Arial" w:eastAsia="Arial" w:hAnsi="Arial"/>
                <w:sz w:val="13"/>
                <w:szCs w:val="13"/>
                <w:color w:val="auto"/>
              </w:rPr>
              <w:t>941,862</w:t>
            </w:r>
          </w:p>
        </w:tc>
        <w:tc>
          <w:tcPr>
            <w:tcW w:w="660" w:type="dxa"/>
            <w:vAlign w:val="bottom"/>
            <w:tcBorders>
              <w:bottom w:val="single" w:sz="8" w:color="DCDDDE"/>
            </w:tcBorders>
          </w:tcPr>
          <w:p>
            <w:pPr>
              <w:spacing w:after="0"/>
              <w:rPr>
                <w:sz w:val="15"/>
                <w:szCs w:val="15"/>
                <w:color w:val="auto"/>
              </w:rPr>
            </w:pPr>
          </w:p>
        </w:tc>
        <w:tc>
          <w:tcPr>
            <w:tcW w:w="880" w:type="dxa"/>
            <w:vAlign w:val="bottom"/>
            <w:tcBorders>
              <w:bottom w:val="single" w:sz="8" w:color="DCDDDE"/>
            </w:tcBorders>
          </w:tcPr>
          <w:p>
            <w:pPr>
              <w:jc w:val="right"/>
              <w:ind w:right="13"/>
              <w:spacing w:after="0"/>
              <w:rPr>
                <w:sz w:val="20"/>
                <w:szCs w:val="20"/>
                <w:color w:val="auto"/>
              </w:rPr>
            </w:pPr>
            <w:r>
              <w:rPr>
                <w:rFonts w:ascii="Arial" w:cs="Arial" w:eastAsia="Arial" w:hAnsi="Arial"/>
                <w:sz w:val="13"/>
                <w:szCs w:val="13"/>
                <w:color w:val="auto"/>
              </w:rPr>
              <w:t>15,024,591</w:t>
            </w:r>
          </w:p>
        </w:tc>
      </w:tr>
      <w:tr>
        <w:trPr>
          <w:trHeight w:val="190"/>
        </w:trPr>
        <w:tc>
          <w:tcPr>
            <w:tcW w:w="620" w:type="dxa"/>
            <w:vAlign w:val="bottom"/>
          </w:tcPr>
          <w:p>
            <w:pPr>
              <w:jc w:val="right"/>
              <w:ind w:right="33"/>
              <w:spacing w:after="0"/>
              <w:rPr>
                <w:sz w:val="20"/>
                <w:szCs w:val="20"/>
                <w:color w:val="auto"/>
              </w:rPr>
            </w:pPr>
            <w:r>
              <w:rPr>
                <w:rFonts w:ascii="Arial" w:cs="Arial" w:eastAsia="Arial" w:hAnsi="Arial"/>
                <w:sz w:val="13"/>
                <w:szCs w:val="13"/>
                <w:color w:val="auto"/>
                <w:w w:val="98"/>
              </w:rPr>
              <w:t>3/1/2023</w:t>
            </w: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2/28/2023</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0" w:type="dxa"/>
            <w:vAlign w:val="bottom"/>
          </w:tcPr>
          <w:p>
            <w:pPr>
              <w:jc w:val="right"/>
              <w:ind w:right="153"/>
              <w:spacing w:after="0"/>
              <w:rPr>
                <w:sz w:val="20"/>
                <w:szCs w:val="20"/>
                <w:color w:val="auto"/>
              </w:rPr>
            </w:pPr>
            <w:r>
              <w:rPr>
                <w:rFonts w:ascii="Arial" w:cs="Arial" w:eastAsia="Arial" w:hAnsi="Arial"/>
                <w:sz w:val="13"/>
                <w:szCs w:val="13"/>
                <w:color w:val="auto"/>
              </w:rPr>
              <w:t>1,104,445</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36.63</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9,200,027</w:t>
            </w:r>
          </w:p>
        </w:tc>
      </w:tr>
      <w:tr>
        <w:trPr>
          <w:trHeight w:val="222"/>
        </w:trPr>
        <w:tc>
          <w:tcPr>
            <w:tcW w:w="62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DCDDDE"/>
            </w:tcBorders>
          </w:tcPr>
          <w:p>
            <w:pPr>
              <w:spacing w:after="0"/>
              <w:rPr>
                <w:sz w:val="19"/>
                <w:szCs w:val="19"/>
                <w:color w:val="auto"/>
              </w:rPr>
            </w:pPr>
          </w:p>
        </w:tc>
        <w:tc>
          <w:tcPr>
            <w:tcW w:w="84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rPr>
              <w:t>1,034,818</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7,391,538</w:t>
            </w:r>
          </w:p>
        </w:tc>
        <w:tc>
          <w:tcPr>
            <w:tcW w:w="1740" w:type="dxa"/>
            <w:vAlign w:val="bottom"/>
            <w:tcBorders>
              <w:bottom w:val="single" w:sz="8" w:color="DCDDDE"/>
            </w:tcBorders>
          </w:tcPr>
          <w:p>
            <w:pPr>
              <w:jc w:val="right"/>
              <w:ind w:right="933"/>
              <w:spacing w:after="0"/>
              <w:rPr>
                <w:sz w:val="20"/>
                <w:szCs w:val="20"/>
                <w:color w:val="auto"/>
              </w:rPr>
            </w:pPr>
            <w:r>
              <w:rPr>
                <w:rFonts w:ascii="Arial" w:cs="Arial" w:eastAsia="Arial" w:hAnsi="Arial"/>
                <w:sz w:val="13"/>
                <w:szCs w:val="13"/>
                <w:color w:val="auto"/>
              </w:rPr>
              <w:t>13,674,345</w:t>
            </w:r>
          </w:p>
        </w:tc>
        <w:tc>
          <w:tcPr>
            <w:tcW w:w="720" w:type="dxa"/>
            <w:vAlign w:val="bottom"/>
            <w:tcBorders>
              <w:bottom w:val="single" w:sz="8" w:color="DCDDDE"/>
            </w:tcBorders>
          </w:tcPr>
          <w:p>
            <w:pPr>
              <w:spacing w:after="0"/>
              <w:rPr>
                <w:sz w:val="19"/>
                <w:szCs w:val="19"/>
                <w:color w:val="auto"/>
              </w:rPr>
            </w:pPr>
          </w:p>
        </w:tc>
        <w:tc>
          <w:tcPr>
            <w:tcW w:w="1800" w:type="dxa"/>
            <w:vAlign w:val="bottom"/>
            <w:tcBorders>
              <w:bottom w:val="single" w:sz="8" w:color="DCDDDE"/>
            </w:tcBorders>
          </w:tcPr>
          <w:p>
            <w:pPr>
              <w:spacing w:after="0"/>
              <w:rPr>
                <w:sz w:val="19"/>
                <w:szCs w:val="19"/>
                <w:color w:val="auto"/>
              </w:rPr>
            </w:pPr>
          </w:p>
        </w:tc>
        <w:tc>
          <w:tcPr>
            <w:tcW w:w="660" w:type="dxa"/>
            <w:vAlign w:val="bottom"/>
            <w:tcBorders>
              <w:bottom w:val="single" w:sz="8" w:color="DCDDDE"/>
            </w:tcBorders>
          </w:tcPr>
          <w:p>
            <w:pPr>
              <w:spacing w:after="0"/>
              <w:rPr>
                <w:sz w:val="19"/>
                <w:szCs w:val="19"/>
                <w:color w:val="auto"/>
              </w:rPr>
            </w:pPr>
          </w:p>
        </w:tc>
        <w:tc>
          <w:tcPr>
            <w:tcW w:w="880" w:type="dxa"/>
            <w:vAlign w:val="bottom"/>
            <w:tcBorders>
              <w:bottom w:val="single" w:sz="8" w:color="DCDDDE"/>
            </w:tcBorders>
          </w:tcPr>
          <w:p>
            <w:pPr>
              <w:spacing w:after="0"/>
              <w:rPr>
                <w:sz w:val="19"/>
                <w:szCs w:val="19"/>
                <w:color w:val="auto"/>
              </w:rPr>
            </w:pPr>
          </w:p>
        </w:tc>
      </w:tr>
      <w:tr>
        <w:trPr>
          <w:trHeight w:val="196"/>
        </w:trPr>
        <w:tc>
          <w:tcPr>
            <w:tcW w:w="62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w w:val="98"/>
              </w:rPr>
              <w:t>3/1/2023</w:t>
            </w:r>
          </w:p>
        </w:tc>
        <w:tc>
          <w:tcPr>
            <w:tcW w:w="84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2/28/2023</w:t>
            </w:r>
          </w:p>
        </w:tc>
        <w:tc>
          <w:tcPr>
            <w:tcW w:w="840" w:type="dxa"/>
            <w:vAlign w:val="bottom"/>
            <w:tcBorders>
              <w:bottom w:val="single" w:sz="8" w:color="DCDDDE"/>
            </w:tcBorders>
          </w:tcPr>
          <w:p>
            <w:pPr>
              <w:spacing w:after="0"/>
              <w:rPr>
                <w:sz w:val="17"/>
                <w:szCs w:val="17"/>
                <w:color w:val="auto"/>
              </w:rPr>
            </w:pPr>
          </w:p>
        </w:tc>
        <w:tc>
          <w:tcPr>
            <w:tcW w:w="720" w:type="dxa"/>
            <w:vAlign w:val="bottom"/>
            <w:tcBorders>
              <w:bottom w:val="single" w:sz="8" w:color="DCDDDE"/>
            </w:tcBorders>
          </w:tcPr>
          <w:p>
            <w:pPr>
              <w:spacing w:after="0"/>
              <w:rPr>
                <w:sz w:val="17"/>
                <w:szCs w:val="17"/>
                <w:color w:val="auto"/>
              </w:rPr>
            </w:pPr>
          </w:p>
        </w:tc>
        <w:tc>
          <w:tcPr>
            <w:tcW w:w="1740" w:type="dxa"/>
            <w:vAlign w:val="bottom"/>
            <w:tcBorders>
              <w:bottom w:val="single" w:sz="8" w:color="DCDDDE"/>
            </w:tcBorders>
          </w:tcPr>
          <w:p>
            <w:pPr>
              <w:jc w:val="right"/>
              <w:ind w:right="13"/>
              <w:spacing w:after="0"/>
              <w:rPr>
                <w:sz w:val="20"/>
                <w:szCs w:val="20"/>
                <w:color w:val="auto"/>
              </w:rPr>
            </w:pPr>
            <w:r>
              <w:rPr>
                <w:rFonts w:ascii="Arial" w:cs="Arial" w:eastAsia="Arial" w:hAnsi="Arial"/>
                <w:sz w:val="13"/>
                <w:szCs w:val="13"/>
                <w:color w:val="auto"/>
              </w:rPr>
              <w:t>53,747</w:t>
            </w:r>
          </w:p>
        </w:tc>
        <w:tc>
          <w:tcPr>
            <w:tcW w:w="72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286,655</w:t>
            </w:r>
          </w:p>
        </w:tc>
        <w:tc>
          <w:tcPr>
            <w:tcW w:w="1800" w:type="dxa"/>
            <w:vAlign w:val="bottom"/>
            <w:tcBorders>
              <w:bottom w:val="single" w:sz="8" w:color="DCDDDE"/>
            </w:tcBorders>
          </w:tcPr>
          <w:p>
            <w:pPr>
              <w:jc w:val="right"/>
              <w:ind w:right="1113"/>
              <w:spacing w:after="0"/>
              <w:rPr>
                <w:sz w:val="20"/>
                <w:szCs w:val="20"/>
                <w:color w:val="auto"/>
              </w:rPr>
            </w:pPr>
            <w:r>
              <w:rPr>
                <w:rFonts w:ascii="Arial" w:cs="Arial" w:eastAsia="Arial" w:hAnsi="Arial"/>
                <w:sz w:val="13"/>
                <w:szCs w:val="13"/>
                <w:color w:val="auto"/>
              </w:rPr>
              <w:t>716,637</w:t>
            </w:r>
          </w:p>
        </w:tc>
        <w:tc>
          <w:tcPr>
            <w:tcW w:w="660" w:type="dxa"/>
            <w:vAlign w:val="bottom"/>
            <w:tcBorders>
              <w:bottom w:val="single" w:sz="8" w:color="DCDDDE"/>
            </w:tcBorders>
          </w:tcPr>
          <w:p>
            <w:pPr>
              <w:spacing w:after="0"/>
              <w:rPr>
                <w:sz w:val="17"/>
                <w:szCs w:val="17"/>
                <w:color w:val="auto"/>
              </w:rPr>
            </w:pPr>
          </w:p>
        </w:tc>
        <w:tc>
          <w:tcPr>
            <w:tcW w:w="880" w:type="dxa"/>
            <w:vAlign w:val="bottom"/>
            <w:tcBorders>
              <w:bottom w:val="single" w:sz="8" w:color="DCDDDE"/>
            </w:tcBorders>
          </w:tcPr>
          <w:p>
            <w:pPr>
              <w:jc w:val="right"/>
              <w:ind w:right="13"/>
              <w:spacing w:after="0"/>
              <w:rPr>
                <w:sz w:val="20"/>
                <w:szCs w:val="20"/>
                <w:color w:val="auto"/>
              </w:rPr>
            </w:pPr>
            <w:r>
              <w:rPr>
                <w:rFonts w:ascii="Arial" w:cs="Arial" w:eastAsia="Arial" w:hAnsi="Arial"/>
                <w:sz w:val="13"/>
                <w:szCs w:val="13"/>
                <w:color w:val="auto"/>
              </w:rPr>
              <w:t>11,431,801</w:t>
            </w:r>
          </w:p>
        </w:tc>
      </w:tr>
      <w:tr>
        <w:trPr>
          <w:trHeight w:val="190"/>
        </w:trPr>
        <w:tc>
          <w:tcPr>
            <w:tcW w:w="620" w:type="dxa"/>
            <w:vAlign w:val="bottom"/>
          </w:tcPr>
          <w:p>
            <w:pPr>
              <w:jc w:val="right"/>
              <w:ind w:right="33"/>
              <w:spacing w:after="0"/>
              <w:rPr>
                <w:sz w:val="20"/>
                <w:szCs w:val="20"/>
                <w:color w:val="auto"/>
              </w:rPr>
            </w:pPr>
            <w:r>
              <w:rPr>
                <w:rFonts w:ascii="Arial" w:cs="Arial" w:eastAsia="Arial" w:hAnsi="Arial"/>
                <w:sz w:val="13"/>
                <w:szCs w:val="13"/>
                <w:color w:val="auto"/>
                <w:w w:val="98"/>
              </w:rPr>
              <w:t>3/1/2023</w:t>
            </w: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2/28/2023</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0" w:type="dxa"/>
            <w:vAlign w:val="bottom"/>
          </w:tcPr>
          <w:p>
            <w:pPr>
              <w:jc w:val="right"/>
              <w:ind w:right="153"/>
              <w:spacing w:after="0"/>
              <w:rPr>
                <w:sz w:val="20"/>
                <w:szCs w:val="20"/>
                <w:color w:val="auto"/>
              </w:rPr>
            </w:pPr>
            <w:r>
              <w:rPr>
                <w:rFonts w:ascii="Arial" w:cs="Arial" w:eastAsia="Arial" w:hAnsi="Arial"/>
                <w:sz w:val="13"/>
                <w:szCs w:val="13"/>
                <w:color w:val="auto"/>
              </w:rPr>
              <w:t>840,340</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36.63</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7,000,032</w:t>
            </w:r>
          </w:p>
        </w:tc>
      </w:tr>
      <w:tr>
        <w:trPr>
          <w:trHeight w:val="222"/>
        </w:trPr>
        <w:tc>
          <w:tcPr>
            <w:tcW w:w="62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DCDDDE"/>
            </w:tcBorders>
          </w:tcPr>
          <w:p>
            <w:pPr>
              <w:spacing w:after="0"/>
              <w:rPr>
                <w:sz w:val="19"/>
                <w:szCs w:val="19"/>
                <w:color w:val="auto"/>
              </w:rPr>
            </w:pPr>
          </w:p>
        </w:tc>
        <w:tc>
          <w:tcPr>
            <w:tcW w:w="8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556,164</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3,972,603</w:t>
            </w:r>
          </w:p>
        </w:tc>
        <w:tc>
          <w:tcPr>
            <w:tcW w:w="1740" w:type="dxa"/>
            <w:vAlign w:val="bottom"/>
            <w:tcBorders>
              <w:bottom w:val="single" w:sz="8" w:color="DCDDDE"/>
            </w:tcBorders>
          </w:tcPr>
          <w:p>
            <w:pPr>
              <w:jc w:val="right"/>
              <w:ind w:right="933"/>
              <w:spacing w:after="0"/>
              <w:rPr>
                <w:sz w:val="20"/>
                <w:szCs w:val="20"/>
                <w:color w:val="auto"/>
              </w:rPr>
            </w:pPr>
            <w:r>
              <w:rPr>
                <w:rFonts w:ascii="Arial" w:cs="Arial" w:eastAsia="Arial" w:hAnsi="Arial"/>
                <w:sz w:val="13"/>
                <w:szCs w:val="13"/>
                <w:color w:val="auto"/>
              </w:rPr>
              <w:t>7,349,315</w:t>
            </w:r>
          </w:p>
        </w:tc>
        <w:tc>
          <w:tcPr>
            <w:tcW w:w="720" w:type="dxa"/>
            <w:vAlign w:val="bottom"/>
            <w:tcBorders>
              <w:bottom w:val="single" w:sz="8" w:color="DCDDDE"/>
            </w:tcBorders>
          </w:tcPr>
          <w:p>
            <w:pPr>
              <w:spacing w:after="0"/>
              <w:rPr>
                <w:sz w:val="19"/>
                <w:szCs w:val="19"/>
                <w:color w:val="auto"/>
              </w:rPr>
            </w:pPr>
          </w:p>
        </w:tc>
        <w:tc>
          <w:tcPr>
            <w:tcW w:w="1800" w:type="dxa"/>
            <w:vAlign w:val="bottom"/>
            <w:tcBorders>
              <w:bottom w:val="single" w:sz="8" w:color="DCDDDE"/>
            </w:tcBorders>
          </w:tcPr>
          <w:p>
            <w:pPr>
              <w:spacing w:after="0"/>
              <w:rPr>
                <w:sz w:val="19"/>
                <w:szCs w:val="19"/>
                <w:color w:val="auto"/>
              </w:rPr>
            </w:pPr>
          </w:p>
        </w:tc>
        <w:tc>
          <w:tcPr>
            <w:tcW w:w="660" w:type="dxa"/>
            <w:vAlign w:val="bottom"/>
            <w:tcBorders>
              <w:bottom w:val="single" w:sz="8" w:color="DCDDDE"/>
            </w:tcBorders>
          </w:tcPr>
          <w:p>
            <w:pPr>
              <w:spacing w:after="0"/>
              <w:rPr>
                <w:sz w:val="19"/>
                <w:szCs w:val="19"/>
                <w:color w:val="auto"/>
              </w:rPr>
            </w:pPr>
          </w:p>
        </w:tc>
        <w:tc>
          <w:tcPr>
            <w:tcW w:w="880" w:type="dxa"/>
            <w:vAlign w:val="bottom"/>
            <w:tcBorders>
              <w:bottom w:val="single" w:sz="8" w:color="DCDDDE"/>
            </w:tcBorders>
          </w:tcPr>
          <w:p>
            <w:pPr>
              <w:spacing w:after="0"/>
              <w:rPr>
                <w:sz w:val="19"/>
                <w:szCs w:val="19"/>
                <w:color w:val="auto"/>
              </w:rPr>
            </w:pPr>
          </w:p>
        </w:tc>
      </w:tr>
      <w:tr>
        <w:trPr>
          <w:trHeight w:val="196"/>
        </w:trPr>
        <w:tc>
          <w:tcPr>
            <w:tcW w:w="62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w w:val="98"/>
              </w:rPr>
              <w:t>3/1/2023</w:t>
            </w:r>
          </w:p>
        </w:tc>
        <w:tc>
          <w:tcPr>
            <w:tcW w:w="84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2/28/2023</w:t>
            </w:r>
          </w:p>
        </w:tc>
        <w:tc>
          <w:tcPr>
            <w:tcW w:w="840" w:type="dxa"/>
            <w:vAlign w:val="bottom"/>
            <w:tcBorders>
              <w:bottom w:val="single" w:sz="8" w:color="DCDDDE"/>
            </w:tcBorders>
          </w:tcPr>
          <w:p>
            <w:pPr>
              <w:spacing w:after="0"/>
              <w:rPr>
                <w:sz w:val="17"/>
                <w:szCs w:val="17"/>
                <w:color w:val="auto"/>
              </w:rPr>
            </w:pPr>
          </w:p>
        </w:tc>
        <w:tc>
          <w:tcPr>
            <w:tcW w:w="720" w:type="dxa"/>
            <w:vAlign w:val="bottom"/>
            <w:tcBorders>
              <w:bottom w:val="single" w:sz="8" w:color="DCDDDE"/>
            </w:tcBorders>
          </w:tcPr>
          <w:p>
            <w:pPr>
              <w:spacing w:after="0"/>
              <w:rPr>
                <w:sz w:val="17"/>
                <w:szCs w:val="17"/>
                <w:color w:val="auto"/>
              </w:rPr>
            </w:pPr>
          </w:p>
        </w:tc>
        <w:tc>
          <w:tcPr>
            <w:tcW w:w="1740" w:type="dxa"/>
            <w:vAlign w:val="bottom"/>
            <w:tcBorders>
              <w:bottom w:val="single" w:sz="8" w:color="DCDDDE"/>
            </w:tcBorders>
          </w:tcPr>
          <w:p>
            <w:pPr>
              <w:jc w:val="right"/>
              <w:ind w:right="13"/>
              <w:spacing w:after="0"/>
              <w:rPr>
                <w:sz w:val="20"/>
                <w:szCs w:val="20"/>
                <w:color w:val="auto"/>
              </w:rPr>
            </w:pPr>
            <w:r>
              <w:rPr>
                <w:rFonts w:ascii="Arial" w:cs="Arial" w:eastAsia="Arial" w:hAnsi="Arial"/>
                <w:sz w:val="13"/>
                <w:szCs w:val="13"/>
                <w:color w:val="auto"/>
              </w:rPr>
              <w:t>15,357</w:t>
            </w:r>
          </w:p>
        </w:tc>
        <w:tc>
          <w:tcPr>
            <w:tcW w:w="72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81,905</w:t>
            </w:r>
          </w:p>
        </w:tc>
        <w:tc>
          <w:tcPr>
            <w:tcW w:w="1800" w:type="dxa"/>
            <w:vAlign w:val="bottom"/>
            <w:tcBorders>
              <w:bottom w:val="single" w:sz="8" w:color="DCDDDE"/>
            </w:tcBorders>
          </w:tcPr>
          <w:p>
            <w:pPr>
              <w:jc w:val="right"/>
              <w:ind w:right="1113"/>
              <w:spacing w:after="0"/>
              <w:rPr>
                <w:sz w:val="20"/>
                <w:szCs w:val="20"/>
                <w:color w:val="auto"/>
              </w:rPr>
            </w:pPr>
            <w:r>
              <w:rPr>
                <w:rFonts w:ascii="Arial" w:cs="Arial" w:eastAsia="Arial" w:hAnsi="Arial"/>
                <w:sz w:val="13"/>
                <w:szCs w:val="13"/>
                <w:color w:val="auto"/>
              </w:rPr>
              <w:t>204,762</w:t>
            </w:r>
          </w:p>
        </w:tc>
        <w:tc>
          <w:tcPr>
            <w:tcW w:w="660" w:type="dxa"/>
            <w:vAlign w:val="bottom"/>
            <w:tcBorders>
              <w:bottom w:val="single" w:sz="8" w:color="DCDDDE"/>
            </w:tcBorders>
          </w:tcPr>
          <w:p>
            <w:pPr>
              <w:spacing w:after="0"/>
              <w:rPr>
                <w:sz w:val="17"/>
                <w:szCs w:val="17"/>
                <w:color w:val="auto"/>
              </w:rPr>
            </w:pPr>
          </w:p>
        </w:tc>
        <w:tc>
          <w:tcPr>
            <w:tcW w:w="880" w:type="dxa"/>
            <w:vAlign w:val="bottom"/>
            <w:tcBorders>
              <w:bottom w:val="single" w:sz="8" w:color="DCDDDE"/>
            </w:tcBorders>
          </w:tcPr>
          <w:p>
            <w:pPr>
              <w:jc w:val="right"/>
              <w:ind w:right="13"/>
              <w:spacing w:after="0"/>
              <w:rPr>
                <w:sz w:val="20"/>
                <w:szCs w:val="20"/>
                <w:color w:val="auto"/>
              </w:rPr>
            </w:pPr>
            <w:r>
              <w:rPr>
                <w:rFonts w:ascii="Arial" w:cs="Arial" w:eastAsia="Arial" w:hAnsi="Arial"/>
                <w:sz w:val="13"/>
                <w:szCs w:val="13"/>
                <w:color w:val="auto"/>
              </w:rPr>
              <w:t>3,266,371</w:t>
            </w:r>
          </w:p>
        </w:tc>
      </w:tr>
      <w:tr>
        <w:trPr>
          <w:trHeight w:val="190"/>
        </w:trPr>
        <w:tc>
          <w:tcPr>
            <w:tcW w:w="620" w:type="dxa"/>
            <w:vAlign w:val="bottom"/>
          </w:tcPr>
          <w:p>
            <w:pPr>
              <w:jc w:val="right"/>
              <w:ind w:right="33"/>
              <w:spacing w:after="0"/>
              <w:rPr>
                <w:sz w:val="20"/>
                <w:szCs w:val="20"/>
                <w:color w:val="auto"/>
              </w:rPr>
            </w:pPr>
            <w:r>
              <w:rPr>
                <w:rFonts w:ascii="Arial" w:cs="Arial" w:eastAsia="Arial" w:hAnsi="Arial"/>
                <w:sz w:val="13"/>
                <w:szCs w:val="13"/>
                <w:color w:val="auto"/>
                <w:w w:val="98"/>
              </w:rPr>
              <w:t>3/1/2023</w:t>
            </w: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2/28/2023</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0" w:type="dxa"/>
            <w:vAlign w:val="bottom"/>
          </w:tcPr>
          <w:p>
            <w:pPr>
              <w:jc w:val="right"/>
              <w:ind w:right="153"/>
              <w:spacing w:after="0"/>
              <w:rPr>
                <w:sz w:val="20"/>
                <w:szCs w:val="20"/>
                <w:color w:val="auto"/>
              </w:rPr>
            </w:pPr>
            <w:r>
              <w:rPr>
                <w:rFonts w:ascii="Arial" w:cs="Arial" w:eastAsia="Arial" w:hAnsi="Arial"/>
                <w:sz w:val="13"/>
                <w:szCs w:val="13"/>
                <w:color w:val="auto"/>
              </w:rPr>
              <w:t>240,100</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36.63</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2,000,033</w:t>
            </w:r>
          </w:p>
        </w:tc>
      </w:tr>
      <w:tr>
        <w:trPr>
          <w:trHeight w:val="222"/>
        </w:trPr>
        <w:tc>
          <w:tcPr>
            <w:tcW w:w="62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DCDDDE"/>
            </w:tcBorders>
          </w:tcPr>
          <w:p>
            <w:pPr>
              <w:spacing w:after="0"/>
              <w:rPr>
                <w:sz w:val="19"/>
                <w:szCs w:val="19"/>
                <w:color w:val="auto"/>
              </w:rPr>
            </w:pPr>
          </w:p>
        </w:tc>
        <w:tc>
          <w:tcPr>
            <w:tcW w:w="8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504,022</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3,600,160</w:t>
            </w:r>
          </w:p>
        </w:tc>
        <w:tc>
          <w:tcPr>
            <w:tcW w:w="1740" w:type="dxa"/>
            <w:vAlign w:val="bottom"/>
            <w:tcBorders>
              <w:bottom w:val="single" w:sz="8" w:color="DCDDDE"/>
            </w:tcBorders>
          </w:tcPr>
          <w:p>
            <w:pPr>
              <w:jc w:val="right"/>
              <w:ind w:right="933"/>
              <w:spacing w:after="0"/>
              <w:rPr>
                <w:sz w:val="20"/>
                <w:szCs w:val="20"/>
                <w:color w:val="auto"/>
              </w:rPr>
            </w:pPr>
            <w:r>
              <w:rPr>
                <w:rFonts w:ascii="Arial" w:cs="Arial" w:eastAsia="Arial" w:hAnsi="Arial"/>
                <w:sz w:val="13"/>
                <w:szCs w:val="13"/>
                <w:color w:val="auto"/>
              </w:rPr>
              <w:t>6,660,296</w:t>
            </w:r>
          </w:p>
        </w:tc>
        <w:tc>
          <w:tcPr>
            <w:tcW w:w="720" w:type="dxa"/>
            <w:vAlign w:val="bottom"/>
            <w:tcBorders>
              <w:bottom w:val="single" w:sz="8" w:color="DCDDDE"/>
            </w:tcBorders>
          </w:tcPr>
          <w:p>
            <w:pPr>
              <w:spacing w:after="0"/>
              <w:rPr>
                <w:sz w:val="19"/>
                <w:szCs w:val="19"/>
                <w:color w:val="auto"/>
              </w:rPr>
            </w:pPr>
          </w:p>
        </w:tc>
        <w:tc>
          <w:tcPr>
            <w:tcW w:w="1800" w:type="dxa"/>
            <w:vAlign w:val="bottom"/>
            <w:tcBorders>
              <w:bottom w:val="single" w:sz="8" w:color="DCDDDE"/>
            </w:tcBorders>
          </w:tcPr>
          <w:p>
            <w:pPr>
              <w:spacing w:after="0"/>
              <w:rPr>
                <w:sz w:val="19"/>
                <w:szCs w:val="19"/>
                <w:color w:val="auto"/>
              </w:rPr>
            </w:pPr>
          </w:p>
        </w:tc>
        <w:tc>
          <w:tcPr>
            <w:tcW w:w="660" w:type="dxa"/>
            <w:vAlign w:val="bottom"/>
            <w:tcBorders>
              <w:bottom w:val="single" w:sz="8" w:color="DCDDDE"/>
            </w:tcBorders>
          </w:tcPr>
          <w:p>
            <w:pPr>
              <w:spacing w:after="0"/>
              <w:rPr>
                <w:sz w:val="19"/>
                <w:szCs w:val="19"/>
                <w:color w:val="auto"/>
              </w:rPr>
            </w:pPr>
          </w:p>
        </w:tc>
        <w:tc>
          <w:tcPr>
            <w:tcW w:w="880" w:type="dxa"/>
            <w:vAlign w:val="bottom"/>
            <w:tcBorders>
              <w:bottom w:val="single" w:sz="8" w:color="DCDDDE"/>
            </w:tcBorders>
          </w:tcPr>
          <w:p>
            <w:pPr>
              <w:spacing w:after="0"/>
              <w:rPr>
                <w:sz w:val="19"/>
                <w:szCs w:val="19"/>
                <w:color w:val="auto"/>
              </w:rPr>
            </w:pPr>
          </w:p>
        </w:tc>
      </w:tr>
      <w:tr>
        <w:trPr>
          <w:trHeight w:val="196"/>
        </w:trPr>
        <w:tc>
          <w:tcPr>
            <w:tcW w:w="62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w w:val="98"/>
              </w:rPr>
              <w:t>3/1/2023</w:t>
            </w:r>
          </w:p>
        </w:tc>
        <w:tc>
          <w:tcPr>
            <w:tcW w:w="84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2/28/2023</w:t>
            </w:r>
          </w:p>
        </w:tc>
        <w:tc>
          <w:tcPr>
            <w:tcW w:w="840" w:type="dxa"/>
            <w:vAlign w:val="bottom"/>
            <w:tcBorders>
              <w:bottom w:val="single" w:sz="8" w:color="DCDDDE"/>
            </w:tcBorders>
          </w:tcPr>
          <w:p>
            <w:pPr>
              <w:spacing w:after="0"/>
              <w:rPr>
                <w:sz w:val="17"/>
                <w:szCs w:val="17"/>
                <w:color w:val="auto"/>
              </w:rPr>
            </w:pPr>
          </w:p>
        </w:tc>
        <w:tc>
          <w:tcPr>
            <w:tcW w:w="720" w:type="dxa"/>
            <w:vAlign w:val="bottom"/>
            <w:tcBorders>
              <w:bottom w:val="single" w:sz="8" w:color="DCDDDE"/>
            </w:tcBorders>
          </w:tcPr>
          <w:p>
            <w:pPr>
              <w:spacing w:after="0"/>
              <w:rPr>
                <w:sz w:val="17"/>
                <w:szCs w:val="17"/>
                <w:color w:val="auto"/>
              </w:rPr>
            </w:pPr>
          </w:p>
        </w:tc>
        <w:tc>
          <w:tcPr>
            <w:tcW w:w="1740" w:type="dxa"/>
            <w:vAlign w:val="bottom"/>
            <w:tcBorders>
              <w:bottom w:val="single" w:sz="8" w:color="DCDDDE"/>
            </w:tcBorders>
          </w:tcPr>
          <w:p>
            <w:pPr>
              <w:jc w:val="right"/>
              <w:ind w:right="13"/>
              <w:spacing w:after="0"/>
              <w:rPr>
                <w:sz w:val="20"/>
                <w:szCs w:val="20"/>
                <w:color w:val="auto"/>
              </w:rPr>
            </w:pPr>
            <w:r>
              <w:rPr>
                <w:rFonts w:ascii="Arial" w:cs="Arial" w:eastAsia="Arial" w:hAnsi="Arial"/>
                <w:sz w:val="13"/>
                <w:szCs w:val="13"/>
                <w:color w:val="auto"/>
              </w:rPr>
              <w:t>15,357</w:t>
            </w:r>
          </w:p>
        </w:tc>
        <w:tc>
          <w:tcPr>
            <w:tcW w:w="72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81,905</w:t>
            </w:r>
          </w:p>
        </w:tc>
        <w:tc>
          <w:tcPr>
            <w:tcW w:w="1800" w:type="dxa"/>
            <w:vAlign w:val="bottom"/>
            <w:tcBorders>
              <w:bottom w:val="single" w:sz="8" w:color="DCDDDE"/>
            </w:tcBorders>
          </w:tcPr>
          <w:p>
            <w:pPr>
              <w:jc w:val="right"/>
              <w:ind w:right="1113"/>
              <w:spacing w:after="0"/>
              <w:rPr>
                <w:sz w:val="20"/>
                <w:szCs w:val="20"/>
                <w:color w:val="auto"/>
              </w:rPr>
            </w:pPr>
            <w:r>
              <w:rPr>
                <w:rFonts w:ascii="Arial" w:cs="Arial" w:eastAsia="Arial" w:hAnsi="Arial"/>
                <w:sz w:val="13"/>
                <w:szCs w:val="13"/>
                <w:color w:val="auto"/>
              </w:rPr>
              <w:t>204,762</w:t>
            </w:r>
          </w:p>
        </w:tc>
        <w:tc>
          <w:tcPr>
            <w:tcW w:w="660" w:type="dxa"/>
            <w:vAlign w:val="bottom"/>
            <w:tcBorders>
              <w:bottom w:val="single" w:sz="8" w:color="DCDDDE"/>
            </w:tcBorders>
          </w:tcPr>
          <w:p>
            <w:pPr>
              <w:spacing w:after="0"/>
              <w:rPr>
                <w:sz w:val="17"/>
                <w:szCs w:val="17"/>
                <w:color w:val="auto"/>
              </w:rPr>
            </w:pPr>
          </w:p>
        </w:tc>
        <w:tc>
          <w:tcPr>
            <w:tcW w:w="880" w:type="dxa"/>
            <w:vAlign w:val="bottom"/>
            <w:tcBorders>
              <w:bottom w:val="single" w:sz="8" w:color="DCDDDE"/>
            </w:tcBorders>
          </w:tcPr>
          <w:p>
            <w:pPr>
              <w:jc w:val="right"/>
              <w:ind w:right="13"/>
              <w:spacing w:after="0"/>
              <w:rPr>
                <w:sz w:val="20"/>
                <w:szCs w:val="20"/>
                <w:color w:val="auto"/>
              </w:rPr>
            </w:pPr>
            <w:r>
              <w:rPr>
                <w:rFonts w:ascii="Arial" w:cs="Arial" w:eastAsia="Arial" w:hAnsi="Arial"/>
                <w:sz w:val="13"/>
                <w:szCs w:val="13"/>
                <w:color w:val="auto"/>
              </w:rPr>
              <w:t>3,266,371</w:t>
            </w:r>
          </w:p>
        </w:tc>
      </w:tr>
      <w:tr>
        <w:trPr>
          <w:trHeight w:val="190"/>
        </w:trPr>
        <w:tc>
          <w:tcPr>
            <w:tcW w:w="620" w:type="dxa"/>
            <w:vAlign w:val="bottom"/>
          </w:tcPr>
          <w:p>
            <w:pPr>
              <w:jc w:val="right"/>
              <w:ind w:right="33"/>
              <w:spacing w:after="0"/>
              <w:rPr>
                <w:sz w:val="20"/>
                <w:szCs w:val="20"/>
                <w:color w:val="auto"/>
              </w:rPr>
            </w:pPr>
            <w:r>
              <w:rPr>
                <w:rFonts w:ascii="Arial" w:cs="Arial" w:eastAsia="Arial" w:hAnsi="Arial"/>
                <w:sz w:val="13"/>
                <w:szCs w:val="13"/>
                <w:color w:val="auto"/>
                <w:w w:val="98"/>
              </w:rPr>
              <w:t>3/1/2023</w:t>
            </w: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2/28/2023</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0" w:type="dxa"/>
            <w:vAlign w:val="bottom"/>
          </w:tcPr>
          <w:p>
            <w:pPr>
              <w:jc w:val="right"/>
              <w:ind w:right="153"/>
              <w:spacing w:after="0"/>
              <w:rPr>
                <w:sz w:val="20"/>
                <w:szCs w:val="20"/>
                <w:color w:val="auto"/>
              </w:rPr>
            </w:pPr>
            <w:r>
              <w:rPr>
                <w:rFonts w:ascii="Arial" w:cs="Arial" w:eastAsia="Arial" w:hAnsi="Arial"/>
                <w:sz w:val="13"/>
                <w:szCs w:val="13"/>
                <w:color w:val="auto"/>
              </w:rPr>
              <w:t>240,100</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36.63</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2,000,033</w:t>
            </w:r>
          </w:p>
        </w:tc>
      </w:tr>
      <w:tr>
        <w:trPr>
          <w:trHeight w:val="222"/>
        </w:trPr>
        <w:tc>
          <w:tcPr>
            <w:tcW w:w="62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DCDDDE"/>
            </w:tcBorders>
          </w:tcPr>
          <w:p>
            <w:pPr>
              <w:spacing w:after="0"/>
              <w:rPr>
                <w:sz w:val="19"/>
                <w:szCs w:val="19"/>
                <w:color w:val="auto"/>
              </w:rPr>
            </w:pPr>
          </w:p>
        </w:tc>
        <w:tc>
          <w:tcPr>
            <w:tcW w:w="84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313,789</w:t>
            </w:r>
          </w:p>
        </w:tc>
        <w:tc>
          <w:tcPr>
            <w:tcW w:w="720" w:type="dxa"/>
            <w:vAlign w:val="bottom"/>
            <w:tcBorders>
              <w:bottom w:val="single" w:sz="8" w:color="DCDDDE"/>
            </w:tcBorders>
          </w:tcPr>
          <w:p>
            <w:pPr>
              <w:jc w:val="right"/>
              <w:spacing w:after="0"/>
              <w:rPr>
                <w:sz w:val="20"/>
                <w:szCs w:val="20"/>
                <w:color w:val="auto"/>
              </w:rPr>
            </w:pPr>
            <w:r>
              <w:rPr>
                <w:rFonts w:ascii="Arial" w:cs="Arial" w:eastAsia="Arial" w:hAnsi="Arial"/>
                <w:sz w:val="13"/>
                <w:szCs w:val="13"/>
                <w:color w:val="auto"/>
              </w:rPr>
              <w:t>2,241,347</w:t>
            </w:r>
          </w:p>
        </w:tc>
        <w:tc>
          <w:tcPr>
            <w:tcW w:w="1740" w:type="dxa"/>
            <w:vAlign w:val="bottom"/>
            <w:tcBorders>
              <w:bottom w:val="single" w:sz="8" w:color="DCDDDE"/>
            </w:tcBorders>
          </w:tcPr>
          <w:p>
            <w:pPr>
              <w:jc w:val="right"/>
              <w:ind w:right="933"/>
              <w:spacing w:after="0"/>
              <w:rPr>
                <w:sz w:val="20"/>
                <w:szCs w:val="20"/>
                <w:color w:val="auto"/>
              </w:rPr>
            </w:pPr>
            <w:r>
              <w:rPr>
                <w:rFonts w:ascii="Arial" w:cs="Arial" w:eastAsia="Arial" w:hAnsi="Arial"/>
                <w:sz w:val="13"/>
                <w:szCs w:val="13"/>
                <w:color w:val="auto"/>
              </w:rPr>
              <w:t>4,146,491</w:t>
            </w:r>
          </w:p>
        </w:tc>
        <w:tc>
          <w:tcPr>
            <w:tcW w:w="720" w:type="dxa"/>
            <w:vAlign w:val="bottom"/>
            <w:tcBorders>
              <w:bottom w:val="single" w:sz="8" w:color="DCDDDE"/>
            </w:tcBorders>
          </w:tcPr>
          <w:p>
            <w:pPr>
              <w:spacing w:after="0"/>
              <w:rPr>
                <w:sz w:val="19"/>
                <w:szCs w:val="19"/>
                <w:color w:val="auto"/>
              </w:rPr>
            </w:pPr>
          </w:p>
        </w:tc>
        <w:tc>
          <w:tcPr>
            <w:tcW w:w="1800" w:type="dxa"/>
            <w:vAlign w:val="bottom"/>
            <w:tcBorders>
              <w:bottom w:val="single" w:sz="8" w:color="DCDDDE"/>
            </w:tcBorders>
          </w:tcPr>
          <w:p>
            <w:pPr>
              <w:spacing w:after="0"/>
              <w:rPr>
                <w:sz w:val="19"/>
                <w:szCs w:val="19"/>
                <w:color w:val="auto"/>
              </w:rPr>
            </w:pPr>
          </w:p>
        </w:tc>
        <w:tc>
          <w:tcPr>
            <w:tcW w:w="660" w:type="dxa"/>
            <w:vAlign w:val="bottom"/>
            <w:tcBorders>
              <w:bottom w:val="single" w:sz="8" w:color="DCDDDE"/>
            </w:tcBorders>
          </w:tcPr>
          <w:p>
            <w:pPr>
              <w:spacing w:after="0"/>
              <w:rPr>
                <w:sz w:val="19"/>
                <w:szCs w:val="19"/>
                <w:color w:val="auto"/>
              </w:rPr>
            </w:pPr>
          </w:p>
        </w:tc>
        <w:tc>
          <w:tcPr>
            <w:tcW w:w="880" w:type="dxa"/>
            <w:vAlign w:val="bottom"/>
            <w:tcBorders>
              <w:bottom w:val="single" w:sz="8" w:color="DCDDDE"/>
            </w:tcBorders>
          </w:tcPr>
          <w:p>
            <w:pPr>
              <w:spacing w:after="0"/>
              <w:rPr>
                <w:sz w:val="19"/>
                <w:szCs w:val="19"/>
                <w:color w:val="auto"/>
              </w:rPr>
            </w:pPr>
          </w:p>
        </w:tc>
      </w:tr>
      <w:tr>
        <w:trPr>
          <w:trHeight w:val="196"/>
        </w:trPr>
        <w:tc>
          <w:tcPr>
            <w:tcW w:w="620" w:type="dxa"/>
            <w:vAlign w:val="bottom"/>
            <w:tcBorders>
              <w:bottom w:val="single" w:sz="8" w:color="DCDDDE"/>
            </w:tcBorders>
          </w:tcPr>
          <w:p>
            <w:pPr>
              <w:jc w:val="right"/>
              <w:ind w:right="33"/>
              <w:spacing w:after="0"/>
              <w:rPr>
                <w:sz w:val="20"/>
                <w:szCs w:val="20"/>
                <w:color w:val="auto"/>
              </w:rPr>
            </w:pPr>
            <w:r>
              <w:rPr>
                <w:rFonts w:ascii="Arial" w:cs="Arial" w:eastAsia="Arial" w:hAnsi="Arial"/>
                <w:sz w:val="13"/>
                <w:szCs w:val="13"/>
                <w:color w:val="auto"/>
                <w:w w:val="98"/>
              </w:rPr>
              <w:t>3/1/2023</w:t>
            </w:r>
          </w:p>
        </w:tc>
        <w:tc>
          <w:tcPr>
            <w:tcW w:w="84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2/28/2023</w:t>
            </w:r>
          </w:p>
        </w:tc>
        <w:tc>
          <w:tcPr>
            <w:tcW w:w="840" w:type="dxa"/>
            <w:vAlign w:val="bottom"/>
            <w:tcBorders>
              <w:bottom w:val="single" w:sz="8" w:color="DCDDDE"/>
            </w:tcBorders>
          </w:tcPr>
          <w:p>
            <w:pPr>
              <w:spacing w:after="0"/>
              <w:rPr>
                <w:sz w:val="17"/>
                <w:szCs w:val="17"/>
                <w:color w:val="auto"/>
              </w:rPr>
            </w:pPr>
          </w:p>
        </w:tc>
        <w:tc>
          <w:tcPr>
            <w:tcW w:w="720" w:type="dxa"/>
            <w:vAlign w:val="bottom"/>
            <w:tcBorders>
              <w:bottom w:val="single" w:sz="8" w:color="DCDDDE"/>
            </w:tcBorders>
          </w:tcPr>
          <w:p>
            <w:pPr>
              <w:spacing w:after="0"/>
              <w:rPr>
                <w:sz w:val="17"/>
                <w:szCs w:val="17"/>
                <w:color w:val="auto"/>
              </w:rPr>
            </w:pPr>
          </w:p>
        </w:tc>
        <w:tc>
          <w:tcPr>
            <w:tcW w:w="1740" w:type="dxa"/>
            <w:vAlign w:val="bottom"/>
            <w:tcBorders>
              <w:bottom w:val="single" w:sz="8" w:color="DCDDDE"/>
            </w:tcBorders>
          </w:tcPr>
          <w:p>
            <w:pPr>
              <w:jc w:val="right"/>
              <w:ind w:right="13"/>
              <w:spacing w:after="0"/>
              <w:rPr>
                <w:sz w:val="20"/>
                <w:szCs w:val="20"/>
                <w:color w:val="auto"/>
              </w:rPr>
            </w:pPr>
            <w:r>
              <w:rPr>
                <w:rFonts w:ascii="Arial" w:cs="Arial" w:eastAsia="Arial" w:hAnsi="Arial"/>
                <w:sz w:val="13"/>
                <w:szCs w:val="13"/>
                <w:color w:val="auto"/>
              </w:rPr>
              <w:t>4,607</w:t>
            </w:r>
          </w:p>
        </w:tc>
        <w:tc>
          <w:tcPr>
            <w:tcW w:w="720" w:type="dxa"/>
            <w:vAlign w:val="bottom"/>
            <w:tcBorders>
              <w:bottom w:val="single" w:sz="8" w:color="DCDDDE"/>
            </w:tcBorders>
          </w:tcPr>
          <w:p>
            <w:pPr>
              <w:jc w:val="right"/>
              <w:ind w:right="73"/>
              <w:spacing w:after="0"/>
              <w:rPr>
                <w:sz w:val="20"/>
                <w:szCs w:val="20"/>
                <w:color w:val="auto"/>
              </w:rPr>
            </w:pPr>
            <w:r>
              <w:rPr>
                <w:rFonts w:ascii="Arial" w:cs="Arial" w:eastAsia="Arial" w:hAnsi="Arial"/>
                <w:sz w:val="13"/>
                <w:szCs w:val="13"/>
                <w:color w:val="auto"/>
              </w:rPr>
              <w:t>24,575</w:t>
            </w:r>
          </w:p>
        </w:tc>
        <w:tc>
          <w:tcPr>
            <w:tcW w:w="1800" w:type="dxa"/>
            <w:vAlign w:val="bottom"/>
            <w:tcBorders>
              <w:bottom w:val="single" w:sz="8" w:color="DCDDDE"/>
            </w:tcBorders>
          </w:tcPr>
          <w:p>
            <w:pPr>
              <w:jc w:val="right"/>
              <w:ind w:right="1113"/>
              <w:spacing w:after="0"/>
              <w:rPr>
                <w:sz w:val="20"/>
                <w:szCs w:val="20"/>
                <w:color w:val="auto"/>
              </w:rPr>
            </w:pPr>
            <w:r>
              <w:rPr>
                <w:rFonts w:ascii="Arial" w:cs="Arial" w:eastAsia="Arial" w:hAnsi="Arial"/>
                <w:sz w:val="13"/>
                <w:szCs w:val="13"/>
                <w:color w:val="auto"/>
              </w:rPr>
              <w:t>61,437</w:t>
            </w:r>
          </w:p>
        </w:tc>
        <w:tc>
          <w:tcPr>
            <w:tcW w:w="660" w:type="dxa"/>
            <w:vAlign w:val="bottom"/>
            <w:tcBorders>
              <w:bottom w:val="single" w:sz="8" w:color="DCDDDE"/>
            </w:tcBorders>
          </w:tcPr>
          <w:p>
            <w:pPr>
              <w:spacing w:after="0"/>
              <w:rPr>
                <w:sz w:val="17"/>
                <w:szCs w:val="17"/>
                <w:color w:val="auto"/>
              </w:rPr>
            </w:pPr>
          </w:p>
        </w:tc>
        <w:tc>
          <w:tcPr>
            <w:tcW w:w="880" w:type="dxa"/>
            <w:vAlign w:val="bottom"/>
            <w:tcBorders>
              <w:bottom w:val="single" w:sz="8" w:color="DCDDDE"/>
            </w:tcBorders>
          </w:tcPr>
          <w:p>
            <w:pPr>
              <w:jc w:val="right"/>
              <w:ind w:right="13"/>
              <w:spacing w:after="0"/>
              <w:rPr>
                <w:sz w:val="20"/>
                <w:szCs w:val="20"/>
                <w:color w:val="auto"/>
              </w:rPr>
            </w:pPr>
            <w:r>
              <w:rPr>
                <w:rFonts w:ascii="Arial" w:cs="Arial" w:eastAsia="Arial" w:hAnsi="Arial"/>
                <w:sz w:val="13"/>
                <w:szCs w:val="13"/>
                <w:color w:val="auto"/>
              </w:rPr>
              <w:t>980,051</w:t>
            </w:r>
          </w:p>
        </w:tc>
      </w:tr>
      <w:tr>
        <w:trPr>
          <w:trHeight w:val="190"/>
        </w:trPr>
        <w:tc>
          <w:tcPr>
            <w:tcW w:w="620" w:type="dxa"/>
            <w:vAlign w:val="bottom"/>
          </w:tcPr>
          <w:p>
            <w:pPr>
              <w:jc w:val="right"/>
              <w:ind w:right="33"/>
              <w:spacing w:after="0"/>
              <w:rPr>
                <w:sz w:val="20"/>
                <w:szCs w:val="20"/>
                <w:color w:val="auto"/>
              </w:rPr>
            </w:pPr>
            <w:r>
              <w:rPr>
                <w:rFonts w:ascii="Arial" w:cs="Arial" w:eastAsia="Arial" w:hAnsi="Arial"/>
                <w:sz w:val="13"/>
                <w:szCs w:val="13"/>
                <w:color w:val="auto"/>
                <w:w w:val="98"/>
              </w:rPr>
              <w:t>3/1/2023</w:t>
            </w:r>
          </w:p>
        </w:tc>
        <w:tc>
          <w:tcPr>
            <w:tcW w:w="840" w:type="dxa"/>
            <w:vAlign w:val="bottom"/>
          </w:tcPr>
          <w:p>
            <w:pPr>
              <w:jc w:val="right"/>
              <w:ind w:right="73"/>
              <w:spacing w:after="0"/>
              <w:rPr>
                <w:sz w:val="20"/>
                <w:szCs w:val="20"/>
                <w:color w:val="auto"/>
              </w:rPr>
            </w:pPr>
            <w:r>
              <w:rPr>
                <w:rFonts w:ascii="Arial" w:cs="Arial" w:eastAsia="Arial" w:hAnsi="Arial"/>
                <w:sz w:val="13"/>
                <w:szCs w:val="13"/>
                <w:color w:val="auto"/>
              </w:rPr>
              <w:t>2/28/2023</w:t>
            </w: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0" w:type="dxa"/>
            <w:vAlign w:val="bottom"/>
          </w:tcPr>
          <w:p>
            <w:pPr>
              <w:jc w:val="right"/>
              <w:ind w:right="153"/>
              <w:spacing w:after="0"/>
              <w:rPr>
                <w:sz w:val="20"/>
                <w:szCs w:val="20"/>
                <w:color w:val="auto"/>
              </w:rPr>
            </w:pPr>
            <w:r>
              <w:rPr>
                <w:rFonts w:ascii="Arial" w:cs="Arial" w:eastAsia="Arial" w:hAnsi="Arial"/>
                <w:sz w:val="13"/>
                <w:szCs w:val="13"/>
                <w:color w:val="auto"/>
              </w:rPr>
              <w:t>72,030</w:t>
            </w:r>
          </w:p>
        </w:tc>
        <w:tc>
          <w:tcPr>
            <w:tcW w:w="660" w:type="dxa"/>
            <w:vAlign w:val="bottom"/>
          </w:tcPr>
          <w:p>
            <w:pPr>
              <w:jc w:val="right"/>
              <w:ind w:right="53"/>
              <w:spacing w:after="0"/>
              <w:rPr>
                <w:sz w:val="20"/>
                <w:szCs w:val="20"/>
                <w:color w:val="auto"/>
              </w:rPr>
            </w:pPr>
            <w:r>
              <w:rPr>
                <w:rFonts w:ascii="Arial" w:cs="Arial" w:eastAsia="Arial" w:hAnsi="Arial"/>
                <w:sz w:val="13"/>
                <w:szCs w:val="13"/>
                <w:color w:val="auto"/>
              </w:rPr>
              <w:t>36.63</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600,010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-1637665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-1226185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-814705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-403225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7620</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6" w:lineRule="exact"/>
        <w:rPr>
          <w:sz w:val="20"/>
          <w:szCs w:val="20"/>
          <w:color w:val="auto"/>
        </w:rPr>
      </w:pPr>
    </w:p>
    <w:p>
      <w:pPr>
        <w:sectPr>
          <w:pgSz w:w="11900" w:h="16838" w:orient="portrait"/>
          <w:cols w:equalWidth="0" w:num="2">
            <w:col w:w="1700" w:space="720"/>
            <w:col w:w="8820"/>
          </w:cols>
          <w:pgMar w:left="320" w:top="122" w:right="339" w:bottom="1440" w:gutter="0" w:footer="0" w:header="0"/>
          <w:type w:val="continuous"/>
        </w:sectPr>
      </w:pPr>
    </w:p>
    <w:p>
      <w:pPr>
        <w:ind w:left="320" w:right="500" w:hanging="312"/>
        <w:spacing w:after="0" w:line="264" w:lineRule="auto"/>
        <w:tabs>
          <w:tab w:leader="none" w:pos="320" w:val="left"/>
        </w:tabs>
        <w:numPr>
          <w:ilvl w:val="0"/>
          <w:numId w:val="85"/>
        </w:numPr>
        <w:rPr>
          <w:rFonts w:ascii="Arial" w:cs="Arial" w:eastAsia="Arial" w:hAnsi="Arial"/>
          <w:sz w:val="13"/>
          <w:szCs w:val="13"/>
          <w:color w:val="auto"/>
        </w:rPr>
      </w:pPr>
      <w:r>
        <w:rPr>
          <w:rFonts w:ascii="Arial" w:cs="Arial" w:eastAsia="Arial" w:hAnsi="Arial"/>
          <w:sz w:val="15"/>
          <w:szCs w:val="15"/>
          <w:color w:val="auto"/>
        </w:rPr>
        <w:t>Represents annual performance-based bonus awards granted under our cash bonus plans. The actual amounts earned with respect to these bonuses are included in the “Summary Compensation Table” above under the “Non-Equity Incentive Plan Compensation” column.</w:t>
      </w:r>
    </w:p>
    <w:p>
      <w:pPr>
        <w:spacing w:after="0" w:line="79" w:lineRule="exact"/>
        <w:rPr>
          <w:rFonts w:ascii="Arial" w:cs="Arial" w:eastAsia="Arial" w:hAnsi="Arial"/>
          <w:sz w:val="13"/>
          <w:szCs w:val="13"/>
          <w:color w:val="auto"/>
        </w:rPr>
      </w:pPr>
    </w:p>
    <w:p>
      <w:pPr>
        <w:ind w:left="320" w:right="40" w:hanging="312"/>
        <w:spacing w:after="0" w:line="230" w:lineRule="auto"/>
        <w:tabs>
          <w:tab w:leader="none" w:pos="320" w:val="left"/>
        </w:tabs>
        <w:numPr>
          <w:ilvl w:val="0"/>
          <w:numId w:val="85"/>
        </w:numPr>
        <w:rPr>
          <w:rFonts w:ascii="Arial" w:cs="Arial" w:eastAsia="Arial" w:hAnsi="Arial"/>
          <w:sz w:val="13"/>
          <w:szCs w:val="13"/>
          <w:color w:val="auto"/>
        </w:rPr>
      </w:pPr>
      <w:r>
        <w:rPr>
          <w:rFonts w:ascii="Arial" w:cs="Arial" w:eastAsia="Arial" w:hAnsi="Arial"/>
          <w:sz w:val="15"/>
          <w:szCs w:val="15"/>
          <w:color w:val="auto"/>
        </w:rPr>
        <w:t>The amounts in columns (d) through (f) represent shares of Class A common stock underlying PSUs granted under our 2002 Restricted Stock Plan. PSUs cliff vest 100% on the third anniversary of the grant date. PSUs will be earned based on achievement of two primary performance metrics over a three-year period beginning in 2023, each weighted 50%: (i) ROIC, calculated based on our ROIC for each year during the three-year performance period and averaged at the end of such period to yield an average ROIC for the cumulative three-year period; and (ii) Relative Adjusted EPS Growth, calculated at the end of the cumulative three-year performance period based on the percentile ranking of our Adjusted EPS compound average annual growth rate during the performance period relative to that of the companies comprising the S&amp;P 100 Index. The actual number of PSUs earned will be based on (x) the three-year average ROIC measured against a pre-established target approved by the CHC Committee in February 2023, with achievement level payouts ranging from 50% for threshold performance to 200% for maximum performance (with 100% as the target and linear interpolation between specified achievement levels) and (y) Relative Adjusted EPS Growth over the three-year period, with payouts ranging from 50% for performance at the 25th percentile to 200% for performance at or above the 75th percentile, and setting the target payout for performance at the median. For both metrics, payouts are zero for performance below the threshold.</w:t>
      </w:r>
    </w:p>
    <w:p>
      <w:pPr>
        <w:spacing w:after="0" w:line="102" w:lineRule="exact"/>
        <w:rPr>
          <w:rFonts w:ascii="Arial" w:cs="Arial" w:eastAsia="Arial" w:hAnsi="Arial"/>
          <w:sz w:val="13"/>
          <w:szCs w:val="13"/>
          <w:color w:val="auto"/>
        </w:rPr>
      </w:pPr>
    </w:p>
    <w:p>
      <w:pPr>
        <w:ind w:left="320" w:right="60"/>
        <w:spacing w:after="0" w:line="231" w:lineRule="auto"/>
        <w:rPr>
          <w:rFonts w:ascii="Arial" w:cs="Arial" w:eastAsia="Arial" w:hAnsi="Arial"/>
          <w:sz w:val="13"/>
          <w:szCs w:val="13"/>
          <w:color w:val="auto"/>
        </w:rPr>
      </w:pPr>
      <w:r>
        <w:rPr>
          <w:rFonts w:ascii="Arial" w:cs="Arial" w:eastAsia="Arial" w:hAnsi="Arial"/>
          <w:sz w:val="15"/>
          <w:szCs w:val="15"/>
          <w:color w:val="auto"/>
        </w:rPr>
        <w:t>After calculating the ROIC and Relative Adjusted EPS Growth components, the Relative TSR Modifier is applied, which is based on the percentile ranking of our TSR during such period relative to that of the companies comprising the S&amp;P 100 Index, as modified to account for changes in the index companies such as due to merger and acquisition activity. TSR will be determined based on the average stock price of each company for the 20 trading days prior to each of the first and last day of the performance period and will be calculated assuming the reinvestment of dividends. The actual number of PSUs earned will be determined after multiplying the payout levels for the two primary performance metrics by 25% for top quartile TSR performance or (25)% for bottom quartile performance, with performance in between straight-line interpolated. If our absolute TSR over the performance period is negative, then, irrespective of our TSR percentile ranking, no positive adjustment will be made to the payouts under the ROIC and Relative Adjusted EPS Growth components. See “Compensation Discussion and Analysis – Design and Structure of Executive Compensation – Equity-Based Incentive Compensation” above for additional information. Dividend equivalents accrue on shares underlying PSUs, although the amounts will only be paid (without interest) if and when the shares underlying PSUs vest.</w:t>
      </w:r>
    </w:p>
    <w:p>
      <w:pPr>
        <w:spacing w:after="0" w:line="98" w:lineRule="exact"/>
        <w:rPr>
          <w:rFonts w:ascii="Arial" w:cs="Arial" w:eastAsia="Arial" w:hAnsi="Arial"/>
          <w:sz w:val="13"/>
          <w:szCs w:val="13"/>
          <w:color w:val="auto"/>
        </w:rPr>
      </w:pPr>
    </w:p>
    <w:p>
      <w:pPr>
        <w:ind w:left="320" w:right="40" w:hanging="312"/>
        <w:spacing w:after="0" w:line="264" w:lineRule="auto"/>
        <w:tabs>
          <w:tab w:leader="none" w:pos="320" w:val="left"/>
        </w:tabs>
        <w:numPr>
          <w:ilvl w:val="0"/>
          <w:numId w:val="85"/>
        </w:numPr>
        <w:rPr>
          <w:rFonts w:ascii="Arial" w:cs="Arial" w:eastAsia="Arial" w:hAnsi="Arial"/>
          <w:sz w:val="13"/>
          <w:szCs w:val="13"/>
          <w:color w:val="auto"/>
        </w:rPr>
      </w:pPr>
      <w:r>
        <w:rPr>
          <w:rFonts w:ascii="Arial" w:cs="Arial" w:eastAsia="Arial" w:hAnsi="Arial"/>
          <w:sz w:val="15"/>
          <w:szCs w:val="15"/>
          <w:color w:val="auto"/>
        </w:rPr>
        <w:t>The amounts in this column represent shares of our Class A common stock underlying stock options granted under our 2003 Stock Option Plan. Options become exercisable as follows: 20% of the shares become exercisable on each of the first, second, third, fourth and fifth anniversaries of the date of grant.</w:t>
      </w:r>
    </w:p>
    <w:p>
      <w:pPr>
        <w:spacing w:after="0" w:line="12" w:lineRule="exact"/>
        <w:rPr>
          <w:rFonts w:ascii="Arial" w:cs="Arial" w:eastAsia="Arial" w:hAnsi="Arial"/>
          <w:sz w:val="13"/>
          <w:szCs w:val="13"/>
          <w:color w:val="auto"/>
        </w:rPr>
      </w:pPr>
    </w:p>
    <w:p>
      <w:pPr>
        <w:ind w:left="320" w:right="20" w:hanging="312"/>
        <w:spacing w:after="0" w:line="238" w:lineRule="auto"/>
        <w:tabs>
          <w:tab w:leader="none" w:pos="320" w:val="left"/>
        </w:tabs>
        <w:numPr>
          <w:ilvl w:val="0"/>
          <w:numId w:val="85"/>
        </w:numPr>
        <w:rPr>
          <w:rFonts w:ascii="Arial" w:cs="Arial" w:eastAsia="Arial" w:hAnsi="Arial"/>
          <w:sz w:val="13"/>
          <w:szCs w:val="13"/>
          <w:color w:val="auto"/>
        </w:rPr>
      </w:pPr>
      <w:r>
        <w:rPr>
          <w:rFonts w:ascii="Arial" w:cs="Arial" w:eastAsia="Arial" w:hAnsi="Arial"/>
          <w:sz w:val="15"/>
          <w:szCs w:val="15"/>
          <w:color w:val="auto"/>
        </w:rPr>
        <w:t>The amounts in this column represent the grant date fair value of PSUs and stock options computed in accordance with FASB ASC Topic 718. These amounts do not necessarily correspond to the actual value that may be realized by the NEOs. The grant date fair value of PSUs was determined as described in footnote (2) to the “Summary Compensation Table.” Amounts with respect to stock options were calculated using the Black-Scholes option pricing model, based upon the assumptions set forth in footnote (3) to the “Summary Compensation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42</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Outstanding Equity Awards at Fiscal Year-End</w:t>
      </w:r>
    </w:p>
    <w:p>
      <w:pPr>
        <w:spacing w:after="0" w:line="22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following table provides information on the holdings of stock options and stock awards by our NEOs as of December 31, 2023. This table includes unexercised vested and unvested options to purchase shares of Class A common stock (columns (a), (b), (c) and (d)), unvested RSUs with respect to shares of Class A common stock (columns (e) and (f)) and unvested PSUs with respect to shares of Class A common stock (columns (g) and (h)). The vesting schedules for these grants are disclosed in the footnotes to this table. The market value of stock awards is based on the closing market price of a share of our Class A common stock as of December 29, 2023, which was $43.85.</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NAME</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Brian L.</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Michael J.</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Cavanagh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Jason S.</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Armstrong</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OPTION AWARDS</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3"/>
                <w:szCs w:val="13"/>
                <w:b w:val="1"/>
                <w:bCs w:val="1"/>
                <w:color w:val="auto"/>
              </w:rPr>
              <w:t>STOCK AWARDS</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EQUITY</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36"/>
        </w:trPr>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00" w:type="dxa"/>
            <w:vAlign w:val="bottom"/>
          </w:tcPr>
          <w:p>
            <w:pPr>
              <w:jc w:val="right"/>
              <w:ind w:right="12"/>
              <w:spacing w:after="0" w:line="136" w:lineRule="exact"/>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INCENTIVE</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OR PAYOUT</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PLAN AWARDS:</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49"/>
        </w:trPr>
        <w:tc>
          <w:tcPr>
            <w:tcW w:w="1120" w:type="dxa"/>
            <w:vAlign w:val="bottom"/>
            <w:gridSpan w:val="2"/>
            <w:vMerge w:val="restart"/>
          </w:tcPr>
          <w:p>
            <w:pPr>
              <w:jc w:val="right"/>
              <w:ind w:right="39"/>
              <w:spacing w:after="0"/>
              <w:rPr>
                <w:sz w:val="20"/>
                <w:szCs w:val="20"/>
                <w:color w:val="auto"/>
              </w:rPr>
            </w:pPr>
            <w:r>
              <w:rPr>
                <w:rFonts w:ascii="Arial" w:cs="Arial" w:eastAsia="Arial" w:hAnsi="Arial"/>
                <w:sz w:val="13"/>
                <w:szCs w:val="13"/>
                <w:b w:val="1"/>
                <w:bCs w:val="1"/>
                <w:color w:val="auto"/>
              </w:rPr>
              <w:t>NUMBER OF</w:t>
            </w:r>
          </w:p>
        </w:tc>
        <w:tc>
          <w:tcPr>
            <w:tcW w:w="13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NUMBER OF</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VALUE OF</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48"/>
        </w:trPr>
        <w:tc>
          <w:tcPr>
            <w:tcW w:w="112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SHARES OR</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UNEARNED</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48"/>
        </w:trPr>
        <w:tc>
          <w:tcPr>
            <w:tcW w:w="112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SECURITIES</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SECURITIES</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OPTION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SHARES OR</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UNITS OF</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SHARES,</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UNITS OR</w:t>
            </w:r>
          </w:p>
        </w:tc>
        <w:tc>
          <w:tcPr>
            <w:tcW w:w="0" w:type="dxa"/>
            <w:vAlign w:val="bottom"/>
          </w:tcPr>
          <w:p>
            <w:pPr>
              <w:spacing w:after="0"/>
              <w:rPr>
                <w:sz w:val="1"/>
                <w:szCs w:val="1"/>
                <w:color w:val="auto"/>
              </w:rPr>
            </w:pPr>
          </w:p>
        </w:tc>
      </w:tr>
      <w:tr>
        <w:trPr>
          <w:trHeight w:val="148"/>
        </w:trPr>
        <w:tc>
          <w:tcPr>
            <w:tcW w:w="112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UNDERLYING</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UNDERLYING</w:t>
            </w:r>
          </w:p>
        </w:tc>
        <w:tc>
          <w:tcPr>
            <w:tcW w:w="800" w:type="dxa"/>
            <w:vAlign w:val="bottom"/>
            <w:vMerge w:val="continue"/>
          </w:tcPr>
          <w:p>
            <w:pPr>
              <w:spacing w:after="0"/>
              <w:rPr>
                <w:sz w:val="12"/>
                <w:szCs w:val="12"/>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OPTION</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UNITS OF</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STOCK THAT</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UNITS OR</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OTHER RIGHTS</w:t>
            </w:r>
          </w:p>
        </w:tc>
        <w:tc>
          <w:tcPr>
            <w:tcW w:w="0" w:type="dxa"/>
            <w:vAlign w:val="bottom"/>
          </w:tcPr>
          <w:p>
            <w:pPr>
              <w:spacing w:after="0"/>
              <w:rPr>
                <w:sz w:val="1"/>
                <w:szCs w:val="1"/>
                <w:color w:val="auto"/>
              </w:rPr>
            </w:pPr>
          </w:p>
        </w:tc>
      </w:tr>
      <w:tr>
        <w:trPr>
          <w:trHeight w:val="148"/>
        </w:trPr>
        <w:tc>
          <w:tcPr>
            <w:tcW w:w="112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UNEXERCISED</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UNEXERCISED</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c>
          <w:tcPr>
            <w:tcW w:w="980" w:type="dxa"/>
            <w:vAlign w:val="bottom"/>
            <w:gridSpan w:val="2"/>
            <w:vMerge w:val="continue"/>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STOCK THAT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OTHER RIGHTS</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THAT HAVE</w:t>
            </w:r>
          </w:p>
        </w:tc>
        <w:tc>
          <w:tcPr>
            <w:tcW w:w="0" w:type="dxa"/>
            <w:vAlign w:val="bottom"/>
          </w:tcPr>
          <w:p>
            <w:pPr>
              <w:spacing w:after="0"/>
              <w:rPr>
                <w:sz w:val="1"/>
                <w:szCs w:val="1"/>
                <w:color w:val="auto"/>
              </w:rPr>
            </w:pPr>
          </w:p>
        </w:tc>
      </w:tr>
      <w:tr>
        <w:trPr>
          <w:trHeight w:val="149"/>
        </w:trPr>
        <w:tc>
          <w:tcPr>
            <w:tcW w:w="112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OPTIONS</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EXPIRATION</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VESTED</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THAT HAVE</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NOT VESTED</w:t>
            </w:r>
          </w:p>
        </w:tc>
        <w:tc>
          <w:tcPr>
            <w:tcW w:w="0" w:type="dxa"/>
            <w:vAlign w:val="bottom"/>
          </w:tcPr>
          <w:p>
            <w:pPr>
              <w:spacing w:after="0"/>
              <w:rPr>
                <w:sz w:val="1"/>
                <w:szCs w:val="1"/>
                <w:color w:val="auto"/>
              </w:rPr>
            </w:pPr>
          </w:p>
        </w:tc>
      </w:tr>
      <w:tr>
        <w:trPr>
          <w:trHeight w:val="161"/>
        </w:trPr>
        <w:tc>
          <w:tcPr>
            <w:tcW w:w="112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EXERCISABLE</w:t>
            </w:r>
          </w:p>
        </w:tc>
        <w:tc>
          <w:tcPr>
            <w:tcW w:w="1360" w:type="dxa"/>
            <w:vAlign w:val="bottom"/>
          </w:tcPr>
          <w:p>
            <w:pPr>
              <w:jc w:val="right"/>
              <w:spacing w:after="0" w:line="161" w:lineRule="exact"/>
              <w:rPr>
                <w:sz w:val="20"/>
                <w:szCs w:val="20"/>
                <w:color w:val="auto"/>
              </w:rPr>
            </w:pPr>
            <w:r>
              <w:rPr>
                <w:rFonts w:ascii="Arial" w:cs="Arial" w:eastAsia="Arial" w:hAnsi="Arial"/>
                <w:sz w:val="11"/>
                <w:szCs w:val="11"/>
                <w:b w:val="1"/>
                <w:bCs w:val="1"/>
                <w:color w:val="auto"/>
              </w:rPr>
              <w:t>UNEXERCISABLE</w:t>
            </w:r>
            <w:r>
              <w:rPr>
                <w:rFonts w:ascii="Arial" w:cs="Arial" w:eastAsia="Arial" w:hAnsi="Arial"/>
                <w:sz w:val="18"/>
                <w:szCs w:val="18"/>
                <w:b w:val="1"/>
                <w:bCs w:val="1"/>
                <w:color w:val="auto"/>
                <w:vertAlign w:val="superscript"/>
              </w:rPr>
              <w:t>(2)</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DATE</w:t>
            </w:r>
          </w:p>
        </w:tc>
        <w:tc>
          <w:tcPr>
            <w:tcW w:w="920" w:type="dxa"/>
            <w:vAlign w:val="bottom"/>
          </w:tcPr>
          <w:p>
            <w:pPr>
              <w:jc w:val="right"/>
              <w:spacing w:after="0" w:line="161"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8"/>
                <w:szCs w:val="18"/>
                <w:b w:val="1"/>
                <w:bCs w:val="1"/>
                <w:color w:val="auto"/>
                <w:vertAlign w:val="superscript"/>
              </w:rPr>
              <w:t>(3)(4)</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60" w:type="dxa"/>
            <w:vAlign w:val="bottom"/>
          </w:tcPr>
          <w:p>
            <w:pPr>
              <w:jc w:val="right"/>
              <w:spacing w:after="0" w:line="161" w:lineRule="exact"/>
              <w:rPr>
                <w:sz w:val="20"/>
                <w:szCs w:val="20"/>
                <w:color w:val="auto"/>
              </w:rPr>
            </w:pPr>
            <w:r>
              <w:rPr>
                <w:rFonts w:ascii="Arial" w:cs="Arial" w:eastAsia="Arial" w:hAnsi="Arial"/>
                <w:sz w:val="11"/>
                <w:szCs w:val="11"/>
                <w:b w:val="1"/>
                <w:bCs w:val="1"/>
                <w:color w:val="auto"/>
              </w:rPr>
              <w:t>NOT VESTED</w:t>
            </w:r>
            <w:r>
              <w:rPr>
                <w:rFonts w:ascii="Arial" w:cs="Arial" w:eastAsia="Arial" w:hAnsi="Arial"/>
                <w:sz w:val="18"/>
                <w:szCs w:val="18"/>
                <w:b w:val="1"/>
                <w:bCs w:val="1"/>
                <w:color w:val="auto"/>
                <w:vertAlign w:val="superscript"/>
              </w:rPr>
              <w:t>(3)(4)</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6"/>
        </w:trPr>
        <w:tc>
          <w:tcPr>
            <w:tcW w:w="560" w:type="dxa"/>
            <w:vAlign w:val="bottom"/>
          </w:tcPr>
          <w:p>
            <w:pPr>
              <w:spacing w:after="0"/>
              <w:rPr>
                <w:sz w:val="16"/>
                <w:szCs w:val="16"/>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b w:val="1"/>
                <w:bCs w:val="1"/>
                <w:color w:val="auto"/>
              </w:rPr>
              <w:t>(a)</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(b)</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(c)</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(d)</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(e)</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(f)</w:t>
            </w: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(g)</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(h)</w:t>
            </w:r>
          </w:p>
        </w:tc>
        <w:tc>
          <w:tcPr>
            <w:tcW w:w="0" w:type="dxa"/>
            <w:vAlign w:val="bottom"/>
          </w:tcPr>
          <w:p>
            <w:pPr>
              <w:spacing w:after="0"/>
              <w:rPr>
                <w:sz w:val="1"/>
                <w:szCs w:val="1"/>
                <w:color w:val="auto"/>
              </w:rPr>
            </w:pPr>
          </w:p>
        </w:tc>
      </w:tr>
      <w:tr>
        <w:trPr>
          <w:trHeight w:val="229"/>
        </w:trPr>
        <w:tc>
          <w:tcPr>
            <w:tcW w:w="560" w:type="dxa"/>
            <w:vAlign w:val="bottom"/>
            <w:tcBorders>
              <w:bottom w:val="single" w:sz="8" w:color="DCDDDE"/>
            </w:tcBorders>
          </w:tcPr>
          <w:p>
            <w:pPr>
              <w:spacing w:after="0"/>
              <w:rPr>
                <w:sz w:val="19"/>
                <w:szCs w:val="19"/>
                <w:color w:val="auto"/>
              </w:rPr>
            </w:pPr>
          </w:p>
        </w:tc>
        <w:tc>
          <w:tcPr>
            <w:tcW w:w="560" w:type="dxa"/>
            <w:vAlign w:val="bottom"/>
            <w:tcBorders>
              <w:bottom w:val="single" w:sz="8" w:color="DCDDDE"/>
            </w:tcBorders>
          </w:tcPr>
          <w:p>
            <w:pPr>
              <w:spacing w:after="0"/>
              <w:rPr>
                <w:sz w:val="19"/>
                <w:szCs w:val="19"/>
                <w:color w:val="auto"/>
              </w:rPr>
            </w:pPr>
          </w:p>
        </w:tc>
        <w:tc>
          <w:tcPr>
            <w:tcW w:w="1360" w:type="dxa"/>
            <w:vAlign w:val="bottom"/>
            <w:tcBorders>
              <w:bottom w:val="single" w:sz="8" w:color="DCDDDE"/>
            </w:tcBorders>
          </w:tcPr>
          <w:p>
            <w:pPr>
              <w:spacing w:after="0"/>
              <w:rPr>
                <w:sz w:val="19"/>
                <w:szCs w:val="19"/>
                <w:color w:val="auto"/>
              </w:rPr>
            </w:pPr>
          </w:p>
        </w:tc>
        <w:tc>
          <w:tcPr>
            <w:tcW w:w="800" w:type="dxa"/>
            <w:vAlign w:val="bottom"/>
            <w:tcBorders>
              <w:bottom w:val="single" w:sz="8" w:color="DCDDDE"/>
            </w:tcBorders>
          </w:tcPr>
          <w:p>
            <w:pPr>
              <w:spacing w:after="0"/>
              <w:rPr>
                <w:sz w:val="19"/>
                <w:szCs w:val="19"/>
                <w:color w:val="auto"/>
              </w:rPr>
            </w:pPr>
          </w:p>
        </w:tc>
        <w:tc>
          <w:tcPr>
            <w:tcW w:w="880" w:type="dxa"/>
            <w:vAlign w:val="bottom"/>
            <w:tcBorders>
              <w:bottom w:val="single" w:sz="8" w:color="DCDDDE"/>
            </w:tcBorders>
          </w:tcPr>
          <w:p>
            <w:pPr>
              <w:spacing w:after="0"/>
              <w:rPr>
                <w:sz w:val="19"/>
                <w:szCs w:val="19"/>
                <w:color w:val="auto"/>
              </w:rPr>
            </w:pPr>
          </w:p>
        </w:tc>
        <w:tc>
          <w:tcPr>
            <w:tcW w:w="100" w:type="dxa"/>
            <w:vAlign w:val="bottom"/>
            <w:tcBorders>
              <w:bottom w:val="single" w:sz="8" w:color="DCDDDE"/>
            </w:tcBorders>
          </w:tcPr>
          <w:p>
            <w:pPr>
              <w:spacing w:after="0"/>
              <w:rPr>
                <w:sz w:val="19"/>
                <w:szCs w:val="19"/>
                <w:color w:val="auto"/>
              </w:rPr>
            </w:pPr>
          </w:p>
        </w:tc>
        <w:tc>
          <w:tcPr>
            <w:tcW w:w="920" w:type="dxa"/>
            <w:vAlign w:val="bottom"/>
            <w:tcBorders>
              <w:bottom w:val="single" w:sz="8" w:color="DCDDDE"/>
            </w:tcBorders>
          </w:tcPr>
          <w:p>
            <w:pPr>
              <w:spacing w:after="0"/>
              <w:rPr>
                <w:sz w:val="19"/>
                <w:szCs w:val="19"/>
                <w:color w:val="auto"/>
              </w:rPr>
            </w:pPr>
          </w:p>
        </w:tc>
        <w:tc>
          <w:tcPr>
            <w:tcW w:w="980" w:type="dxa"/>
            <w:vAlign w:val="bottom"/>
            <w:tcBorders>
              <w:bottom w:val="single" w:sz="8" w:color="DCDDDE"/>
            </w:tcBorders>
          </w:tcPr>
          <w:p>
            <w:pPr>
              <w:spacing w:after="0"/>
              <w:rPr>
                <w:sz w:val="19"/>
                <w:szCs w:val="19"/>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2,449,105</w:t>
            </w:r>
          </w:p>
        </w:tc>
        <w:tc>
          <w:tcPr>
            <w:tcW w:w="1200" w:type="dxa"/>
            <w:vAlign w:val="bottom"/>
            <w:tcBorders>
              <w:bottom w:val="single" w:sz="8" w:color="DCDDDE"/>
            </w:tcBorders>
          </w:tcPr>
          <w:p>
            <w:pPr>
              <w:jc w:val="right"/>
              <w:ind w:right="12"/>
              <w:spacing w:after="0"/>
              <w:rPr>
                <w:sz w:val="20"/>
                <w:szCs w:val="20"/>
                <w:color w:val="auto"/>
              </w:rPr>
            </w:pPr>
            <w:r>
              <w:rPr>
                <w:rFonts w:ascii="Arial" w:cs="Arial" w:eastAsia="Arial" w:hAnsi="Arial"/>
                <w:sz w:val="14"/>
                <w:szCs w:val="14"/>
                <w:color w:val="auto"/>
              </w:rPr>
              <w:t>107,393,254</w:t>
            </w: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965,000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25.000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03/20/2024</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816,840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90,760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29.725</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03/19/2025</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794,580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140,220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29.880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03/17/2026</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615,040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153,760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37.460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03/16/2027</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561,300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187,100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35.830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03/15/2028</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405,840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270,560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40.470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03/14/2029</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730,485</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892,815</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42.520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03/01/2030</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351,680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527,520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54.450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02/28/2031</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192,509</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770,036</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46.390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02/29/2032</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1,104,445</w:t>
            </w:r>
          </w:p>
        </w:tc>
        <w:tc>
          <w:tcPr>
            <w:tcW w:w="800" w:type="dxa"/>
            <w:vAlign w:val="bottom"/>
          </w:tcPr>
          <w:p>
            <w:pPr>
              <w:jc w:val="right"/>
              <w:spacing w:after="0"/>
              <w:rPr>
                <w:sz w:val="20"/>
                <w:szCs w:val="20"/>
                <w:color w:val="auto"/>
              </w:rPr>
            </w:pPr>
            <w:r>
              <w:rPr>
                <w:rFonts w:ascii="Arial" w:cs="Arial" w:eastAsia="Arial" w:hAnsi="Arial"/>
                <w:sz w:val="14"/>
                <w:szCs w:val="14"/>
                <w:color w:val="auto"/>
              </w:rPr>
              <w:t>36.630</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02/28/2033</w:t>
            </w: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60" w:type="dxa"/>
            <w:vAlign w:val="bottom"/>
            <w:tcBorders>
              <w:bottom w:val="single" w:sz="8" w:color="DCDDDE"/>
            </w:tcBorders>
          </w:tcPr>
          <w:p>
            <w:pPr>
              <w:spacing w:after="0"/>
              <w:rPr>
                <w:sz w:val="20"/>
                <w:szCs w:val="20"/>
                <w:color w:val="auto"/>
              </w:rPr>
            </w:pPr>
          </w:p>
        </w:tc>
        <w:tc>
          <w:tcPr>
            <w:tcW w:w="560" w:type="dxa"/>
            <w:vAlign w:val="bottom"/>
            <w:tcBorders>
              <w:bottom w:val="single" w:sz="8" w:color="DCDDDE"/>
            </w:tcBorders>
          </w:tcPr>
          <w:p>
            <w:pPr>
              <w:spacing w:after="0"/>
              <w:rPr>
                <w:sz w:val="20"/>
                <w:szCs w:val="20"/>
                <w:color w:val="auto"/>
              </w:rPr>
            </w:pPr>
          </w:p>
        </w:tc>
        <w:tc>
          <w:tcPr>
            <w:tcW w:w="1360" w:type="dxa"/>
            <w:vAlign w:val="bottom"/>
            <w:tcBorders>
              <w:bottom w:val="single" w:sz="8" w:color="DCDDDE"/>
            </w:tcBorders>
          </w:tcPr>
          <w:p>
            <w:pPr>
              <w:spacing w:after="0"/>
              <w:rPr>
                <w:sz w:val="20"/>
                <w:szCs w:val="20"/>
                <w:color w:val="auto"/>
              </w:rPr>
            </w:pPr>
          </w:p>
        </w:tc>
        <w:tc>
          <w:tcPr>
            <w:tcW w:w="800" w:type="dxa"/>
            <w:vAlign w:val="bottom"/>
            <w:tcBorders>
              <w:bottom w:val="single" w:sz="8" w:color="DCDDDE"/>
            </w:tcBorders>
          </w:tcPr>
          <w:p>
            <w:pPr>
              <w:spacing w:after="0"/>
              <w:rPr>
                <w:sz w:val="20"/>
                <w:szCs w:val="20"/>
                <w:color w:val="auto"/>
              </w:rPr>
            </w:pPr>
          </w:p>
        </w:tc>
        <w:tc>
          <w:tcPr>
            <w:tcW w:w="880" w:type="dxa"/>
            <w:vAlign w:val="bottom"/>
            <w:tcBorders>
              <w:bottom w:val="single" w:sz="8" w:color="DCDDDE"/>
            </w:tcBorders>
          </w:tcPr>
          <w:p>
            <w:pPr>
              <w:spacing w:after="0"/>
              <w:rPr>
                <w:sz w:val="20"/>
                <w:szCs w:val="20"/>
                <w:color w:val="auto"/>
              </w:rPr>
            </w:pPr>
          </w:p>
        </w:tc>
        <w:tc>
          <w:tcPr>
            <w:tcW w:w="100" w:type="dxa"/>
            <w:vAlign w:val="bottom"/>
            <w:tcBorders>
              <w:bottom w:val="single" w:sz="8" w:color="DCDDDE"/>
            </w:tcBorders>
          </w:tcPr>
          <w:p>
            <w:pPr>
              <w:spacing w:after="0"/>
              <w:rPr>
                <w:sz w:val="20"/>
                <w:szCs w:val="20"/>
                <w:color w:val="auto"/>
              </w:rPr>
            </w:pPr>
          </w:p>
        </w:tc>
        <w:tc>
          <w:tcPr>
            <w:tcW w:w="920" w:type="dxa"/>
            <w:vAlign w:val="bottom"/>
            <w:tcBorders>
              <w:bottom w:val="single" w:sz="8" w:color="DCDDDE"/>
            </w:tcBorders>
          </w:tcPr>
          <w:p>
            <w:pPr>
              <w:spacing w:after="0"/>
              <w:rPr>
                <w:sz w:val="20"/>
                <w:szCs w:val="20"/>
                <w:color w:val="auto"/>
              </w:rPr>
            </w:pPr>
          </w:p>
        </w:tc>
        <w:tc>
          <w:tcPr>
            <w:tcW w:w="980" w:type="dxa"/>
            <w:vAlign w:val="bottom"/>
            <w:tcBorders>
              <w:bottom w:val="single" w:sz="8" w:color="DCDDDE"/>
            </w:tcBorders>
          </w:tcPr>
          <w:p>
            <w:pPr>
              <w:spacing w:after="0"/>
              <w:rPr>
                <w:sz w:val="20"/>
                <w:szCs w:val="20"/>
                <w:color w:val="auto"/>
              </w:rPr>
            </w:pP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1,860,411</w:t>
            </w:r>
          </w:p>
        </w:tc>
        <w:tc>
          <w:tcPr>
            <w:tcW w:w="1200" w:type="dxa"/>
            <w:vAlign w:val="bottom"/>
            <w:tcBorders>
              <w:bottom w:val="single" w:sz="8" w:color="DCDDDE"/>
            </w:tcBorders>
          </w:tcPr>
          <w:p>
            <w:pPr>
              <w:jc w:val="right"/>
              <w:ind w:right="12"/>
              <w:spacing w:after="0"/>
              <w:rPr>
                <w:sz w:val="20"/>
                <w:szCs w:val="20"/>
                <w:color w:val="auto"/>
              </w:rPr>
            </w:pPr>
            <w:r>
              <w:rPr>
                <w:rFonts w:ascii="Arial" w:cs="Arial" w:eastAsia="Arial" w:hAnsi="Arial"/>
                <w:sz w:val="14"/>
                <w:szCs w:val="14"/>
                <w:color w:val="auto"/>
              </w:rPr>
              <w:t>81,579,022</w:t>
            </w: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643,464</w:t>
            </w:r>
          </w:p>
        </w:tc>
        <w:tc>
          <w:tcPr>
            <w:tcW w:w="560" w:type="dxa"/>
            <w:vAlign w:val="bottom"/>
            <w:tcBorders>
              <w:bottom w:val="single" w:sz="8" w:color="DCDDDE"/>
            </w:tcBorders>
          </w:tcPr>
          <w:p>
            <w:pPr>
              <w:jc w:val="right"/>
              <w:ind w:right="299"/>
              <w:spacing w:after="0"/>
              <w:rPr>
                <w:sz w:val="20"/>
                <w:szCs w:val="20"/>
                <w:color w:val="auto"/>
              </w:rPr>
            </w:pPr>
            <w:r>
              <w:rPr>
                <w:rFonts w:ascii="Arial" w:cs="Arial" w:eastAsia="Arial" w:hAnsi="Arial"/>
                <w:sz w:val="12"/>
                <w:szCs w:val="12"/>
                <w:color w:val="auto"/>
              </w:rPr>
              <w:t>(1)</w:t>
            </w: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71,496</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28.320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05/14/2025</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594,320</w:t>
            </w:r>
          </w:p>
        </w:tc>
        <w:tc>
          <w:tcPr>
            <w:tcW w:w="560" w:type="dxa"/>
            <w:vAlign w:val="bottom"/>
            <w:tcBorders>
              <w:bottom w:val="single" w:sz="8" w:color="DCDDDE"/>
            </w:tcBorders>
          </w:tcPr>
          <w:p>
            <w:pPr>
              <w:jc w:val="right"/>
              <w:ind w:right="299"/>
              <w:spacing w:after="0"/>
              <w:rPr>
                <w:sz w:val="20"/>
                <w:szCs w:val="20"/>
                <w:color w:val="auto"/>
              </w:rPr>
            </w:pPr>
            <w:r>
              <w:rPr>
                <w:rFonts w:ascii="Arial" w:cs="Arial" w:eastAsia="Arial" w:hAnsi="Arial"/>
                <w:sz w:val="12"/>
                <w:szCs w:val="12"/>
                <w:color w:val="auto"/>
              </w:rPr>
              <w:t>(1)</w:t>
            </w: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104,880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29.880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03/17/2026</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459,760</w:t>
            </w:r>
          </w:p>
        </w:tc>
        <w:tc>
          <w:tcPr>
            <w:tcW w:w="560" w:type="dxa"/>
            <w:vAlign w:val="bottom"/>
            <w:tcBorders>
              <w:bottom w:val="single" w:sz="8" w:color="DCDDDE"/>
            </w:tcBorders>
          </w:tcPr>
          <w:p>
            <w:pPr>
              <w:jc w:val="right"/>
              <w:ind w:right="299"/>
              <w:spacing w:after="0"/>
              <w:rPr>
                <w:sz w:val="20"/>
                <w:szCs w:val="20"/>
                <w:color w:val="auto"/>
              </w:rPr>
            </w:pPr>
            <w:r>
              <w:rPr>
                <w:rFonts w:ascii="Arial" w:cs="Arial" w:eastAsia="Arial" w:hAnsi="Arial"/>
                <w:sz w:val="12"/>
                <w:szCs w:val="12"/>
                <w:color w:val="auto"/>
              </w:rPr>
              <w:t>(1)</w:t>
            </w: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114,940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37.460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03/16/2027</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419,775</w:t>
            </w:r>
          </w:p>
        </w:tc>
        <w:tc>
          <w:tcPr>
            <w:tcW w:w="560" w:type="dxa"/>
            <w:vAlign w:val="bottom"/>
            <w:tcBorders>
              <w:bottom w:val="single" w:sz="8" w:color="DCDDDE"/>
            </w:tcBorders>
          </w:tcPr>
          <w:p>
            <w:pPr>
              <w:jc w:val="right"/>
              <w:ind w:right="299"/>
              <w:spacing w:after="0"/>
              <w:rPr>
                <w:sz w:val="20"/>
                <w:szCs w:val="20"/>
                <w:color w:val="auto"/>
              </w:rPr>
            </w:pPr>
            <w:r>
              <w:rPr>
                <w:rFonts w:ascii="Arial" w:cs="Arial" w:eastAsia="Arial" w:hAnsi="Arial"/>
                <w:sz w:val="12"/>
                <w:szCs w:val="12"/>
                <w:color w:val="auto"/>
              </w:rPr>
              <w:t>(1)</w:t>
            </w: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139,925</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35.830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03/15/2028</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360,300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240,200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40.470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03/14/2029</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485,865</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593,835</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42.520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03/01/2030</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262,040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393,060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54.450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02/28/2031</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143,474</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573,896</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46.390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02/29/2032</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4,000,000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34.970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12/29/2032</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840,340</w:t>
            </w:r>
          </w:p>
        </w:tc>
        <w:tc>
          <w:tcPr>
            <w:tcW w:w="800" w:type="dxa"/>
            <w:vAlign w:val="bottom"/>
          </w:tcPr>
          <w:p>
            <w:pPr>
              <w:jc w:val="right"/>
              <w:spacing w:after="0"/>
              <w:rPr>
                <w:sz w:val="20"/>
                <w:szCs w:val="20"/>
                <w:color w:val="auto"/>
              </w:rPr>
            </w:pPr>
            <w:r>
              <w:rPr>
                <w:rFonts w:ascii="Arial" w:cs="Arial" w:eastAsia="Arial" w:hAnsi="Arial"/>
                <w:sz w:val="14"/>
                <w:szCs w:val="14"/>
                <w:color w:val="auto"/>
              </w:rPr>
              <w:t>36.630</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2/28/2033</w:t>
            </w: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 w:type="dxa"/>
            <w:vAlign w:val="bottom"/>
            <w:tcBorders>
              <w:bottom w:val="single" w:sz="8" w:color="DCDDDE"/>
            </w:tcBorders>
          </w:tcPr>
          <w:p>
            <w:pPr>
              <w:spacing w:after="0"/>
              <w:rPr>
                <w:sz w:val="20"/>
                <w:szCs w:val="20"/>
                <w:color w:val="auto"/>
              </w:rPr>
            </w:pPr>
          </w:p>
        </w:tc>
        <w:tc>
          <w:tcPr>
            <w:tcW w:w="560" w:type="dxa"/>
            <w:vAlign w:val="bottom"/>
            <w:tcBorders>
              <w:bottom w:val="single" w:sz="8" w:color="DCDDDE"/>
            </w:tcBorders>
          </w:tcPr>
          <w:p>
            <w:pPr>
              <w:spacing w:after="0"/>
              <w:rPr>
                <w:sz w:val="20"/>
                <w:szCs w:val="20"/>
                <w:color w:val="auto"/>
              </w:rPr>
            </w:pPr>
          </w:p>
        </w:tc>
        <w:tc>
          <w:tcPr>
            <w:tcW w:w="1360" w:type="dxa"/>
            <w:vAlign w:val="bottom"/>
            <w:tcBorders>
              <w:bottom w:val="single" w:sz="8" w:color="DCDDDE"/>
            </w:tcBorders>
          </w:tcPr>
          <w:p>
            <w:pPr>
              <w:spacing w:after="0"/>
              <w:rPr>
                <w:sz w:val="20"/>
                <w:szCs w:val="20"/>
                <w:color w:val="auto"/>
              </w:rPr>
            </w:pPr>
          </w:p>
        </w:tc>
        <w:tc>
          <w:tcPr>
            <w:tcW w:w="800" w:type="dxa"/>
            <w:vAlign w:val="bottom"/>
            <w:tcBorders>
              <w:bottom w:val="single" w:sz="8" w:color="DCDDDE"/>
            </w:tcBorders>
          </w:tcPr>
          <w:p>
            <w:pPr>
              <w:spacing w:after="0"/>
              <w:rPr>
                <w:sz w:val="20"/>
                <w:szCs w:val="20"/>
                <w:color w:val="auto"/>
              </w:rPr>
            </w:pPr>
          </w:p>
        </w:tc>
        <w:tc>
          <w:tcPr>
            <w:tcW w:w="880" w:type="dxa"/>
            <w:vAlign w:val="bottom"/>
            <w:tcBorders>
              <w:bottom w:val="single" w:sz="8" w:color="DCDDDE"/>
            </w:tcBorders>
          </w:tcPr>
          <w:p>
            <w:pPr>
              <w:spacing w:after="0"/>
              <w:rPr>
                <w:sz w:val="20"/>
                <w:szCs w:val="20"/>
                <w:color w:val="auto"/>
              </w:rPr>
            </w:pPr>
          </w:p>
        </w:tc>
        <w:tc>
          <w:tcPr>
            <w:tcW w:w="100" w:type="dxa"/>
            <w:vAlign w:val="bottom"/>
            <w:tcBorders>
              <w:bottom w:val="single" w:sz="8" w:color="DCDDDE"/>
            </w:tcBorders>
          </w:tcPr>
          <w:p>
            <w:pPr>
              <w:spacing w:after="0"/>
              <w:rPr>
                <w:sz w:val="20"/>
                <w:szCs w:val="20"/>
                <w:color w:val="auto"/>
              </w:rPr>
            </w:pPr>
          </w:p>
        </w:tc>
        <w:tc>
          <w:tcPr>
            <w:tcW w:w="9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88,264</w:t>
            </w:r>
          </w:p>
        </w:tc>
        <w:tc>
          <w:tcPr>
            <w:tcW w:w="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3,870,376</w:t>
            </w:r>
          </w:p>
        </w:tc>
        <w:tc>
          <w:tcPr>
            <w:tcW w:w="12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204,762</w:t>
            </w:r>
          </w:p>
        </w:tc>
        <w:tc>
          <w:tcPr>
            <w:tcW w:w="1200" w:type="dxa"/>
            <w:vAlign w:val="bottom"/>
            <w:tcBorders>
              <w:bottom w:val="single" w:sz="8" w:color="DCDDDE"/>
            </w:tcBorders>
          </w:tcPr>
          <w:p>
            <w:pPr>
              <w:jc w:val="right"/>
              <w:ind w:right="12"/>
              <w:spacing w:after="0"/>
              <w:rPr>
                <w:sz w:val="20"/>
                <w:szCs w:val="20"/>
                <w:color w:val="auto"/>
              </w:rPr>
            </w:pPr>
            <w:r>
              <w:rPr>
                <w:rFonts w:ascii="Arial" w:cs="Arial" w:eastAsia="Arial" w:hAnsi="Arial"/>
                <w:sz w:val="14"/>
                <w:szCs w:val="14"/>
                <w:color w:val="auto"/>
              </w:rPr>
              <w:t>8,978,814</w:t>
            </w: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68,200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29.725</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03/19/2025</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69,800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29.880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03/17/2026</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68,200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37.460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03/16/2027</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69,800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35.830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03/15/2028</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65,600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16,400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40.470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03/14/2029</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31,080</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46,620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54.450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02/28/2031</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22,702</w:t>
            </w:r>
          </w:p>
        </w:tc>
        <w:tc>
          <w:tcPr>
            <w:tcW w:w="560" w:type="dxa"/>
            <w:vAlign w:val="bottom"/>
            <w:tcBorders>
              <w:bottom w:val="single" w:sz="8" w:color="DCDDDE"/>
            </w:tcBorders>
          </w:tcPr>
          <w:p>
            <w:pPr>
              <w:spacing w:after="0"/>
              <w:rPr>
                <w:sz w:val="18"/>
                <w:szCs w:val="18"/>
                <w:color w:val="auto"/>
              </w:rPr>
            </w:pPr>
          </w:p>
        </w:tc>
        <w:tc>
          <w:tcPr>
            <w:tcW w:w="13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90,808</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46.390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02/29/2032</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126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240,100</w:t>
            </w:r>
          </w:p>
        </w:tc>
        <w:tc>
          <w:tcPr>
            <w:tcW w:w="800" w:type="dxa"/>
            <w:vAlign w:val="bottom"/>
          </w:tcPr>
          <w:p>
            <w:pPr>
              <w:jc w:val="right"/>
              <w:spacing w:after="0"/>
              <w:rPr>
                <w:sz w:val="20"/>
                <w:szCs w:val="20"/>
                <w:color w:val="auto"/>
              </w:rPr>
            </w:pPr>
            <w:r>
              <w:rPr>
                <w:rFonts w:ascii="Arial" w:cs="Arial" w:eastAsia="Arial" w:hAnsi="Arial"/>
                <w:sz w:val="14"/>
                <w:szCs w:val="14"/>
                <w:color w:val="auto"/>
              </w:rPr>
              <w:t>36.630</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02/28/2033</w:t>
            </w: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-4511675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-2908935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-1306195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5080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720"/>
            <w:col w:w="8620"/>
          </w:cols>
          <w:pgMar w:left="320" w:top="122" w:right="339" w:bottom="1440" w:gutter="0" w:footer="0" w:header="0"/>
          <w:type w:val="continuous"/>
        </w:sectPr>
      </w:pPr>
    </w:p>
    <w:p>
      <w:pPr>
        <w:spacing w:after="0" w:line="50" w:lineRule="exact"/>
        <w:rPr>
          <w:sz w:val="20"/>
          <w:szCs w:val="20"/>
          <w:color w:val="auto"/>
        </w:rPr>
      </w:pPr>
    </w:p>
    <w:p>
      <w:pPr>
        <w:ind w:left="360" w:hanging="352"/>
        <w:spacing w:after="0"/>
        <w:tabs>
          <w:tab w:leader="none" w:pos="360" w:val="left"/>
        </w:tabs>
        <w:numPr>
          <w:ilvl w:val="0"/>
          <w:numId w:val="8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549"/>
              <w:spacing w:after="0"/>
              <w:rPr>
                <w:sz w:val="20"/>
                <w:szCs w:val="20"/>
                <w:color w:val="auto"/>
              </w:rPr>
            </w:pPr>
            <w:r>
              <w:rPr>
                <w:rFonts w:ascii="Arial" w:cs="Arial" w:eastAsia="Arial" w:hAnsi="Arial"/>
                <w:sz w:val="13"/>
                <w:szCs w:val="13"/>
                <w:b w:val="1"/>
                <w:bCs w:val="1"/>
                <w:color w:val="auto"/>
              </w:rPr>
              <w:t>OPTION AWARDS</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700"/>
              <w:spacing w:after="0"/>
              <w:rPr>
                <w:sz w:val="20"/>
                <w:szCs w:val="20"/>
                <w:color w:val="auto"/>
              </w:rPr>
            </w:pPr>
            <w:r>
              <w:rPr>
                <w:rFonts w:ascii="Arial" w:cs="Arial" w:eastAsia="Arial" w:hAnsi="Arial"/>
                <w:sz w:val="13"/>
                <w:szCs w:val="13"/>
                <w:b w:val="1"/>
                <w:bCs w:val="1"/>
                <w:color w:val="auto"/>
              </w:rPr>
              <w:t>STOCK AWARDS</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60" w:type="dxa"/>
            <w:vAlign w:val="bottom"/>
            <w:gridSpan w:val="2"/>
            <w:vMerge w:val="restart"/>
          </w:tcPr>
          <w:p>
            <w:pPr>
              <w:jc w:val="right"/>
              <w:ind w:right="1"/>
              <w:spacing w:after="0"/>
              <w:rPr>
                <w:sz w:val="20"/>
                <w:szCs w:val="20"/>
                <w:color w:val="auto"/>
              </w:rPr>
            </w:pPr>
            <w:r>
              <w:rPr>
                <w:rFonts w:ascii="Arial" w:cs="Arial" w:eastAsia="Arial" w:hAnsi="Arial"/>
                <w:sz w:val="13"/>
                <w:szCs w:val="13"/>
                <w:b w:val="1"/>
                <w:bCs w:val="1"/>
                <w:color w:val="auto"/>
              </w:rPr>
              <w:t>EQUITY</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36"/>
        </w:trPr>
        <w:tc>
          <w:tcPr>
            <w:tcW w:w="2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0" w:type="dxa"/>
            <w:vAlign w:val="bottom"/>
          </w:tcPr>
          <w:p>
            <w:pPr>
              <w:jc w:val="right"/>
              <w:ind w:right="12"/>
              <w:spacing w:after="0" w:line="136" w:lineRule="exact"/>
              <w:rPr>
                <w:sz w:val="20"/>
                <w:szCs w:val="20"/>
                <w:color w:val="auto"/>
              </w:rPr>
            </w:pPr>
            <w:r>
              <w:rPr>
                <w:rFonts w:ascii="Arial" w:cs="Arial" w:eastAsia="Arial" w:hAnsi="Arial"/>
                <w:sz w:val="13"/>
                <w:szCs w:val="13"/>
                <w:b w:val="1"/>
                <w:bCs w:val="1"/>
                <w:color w:val="auto"/>
              </w:rPr>
              <w:t>MARKET VALUE</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1260" w:type="dxa"/>
            <w:vAlign w:val="bottom"/>
            <w:gridSpan w:val="2"/>
          </w:tcPr>
          <w:p>
            <w:pPr>
              <w:jc w:val="right"/>
              <w:ind w:right="1"/>
              <w:spacing w:after="0"/>
              <w:rPr>
                <w:sz w:val="20"/>
                <w:szCs w:val="20"/>
                <w:color w:val="auto"/>
              </w:rPr>
            </w:pPr>
            <w:r>
              <w:rPr>
                <w:rFonts w:ascii="Arial" w:cs="Arial" w:eastAsia="Arial" w:hAnsi="Arial"/>
                <w:sz w:val="13"/>
                <w:szCs w:val="13"/>
                <w:b w:val="1"/>
                <w:bCs w:val="1"/>
                <w:color w:val="auto"/>
              </w:rPr>
              <w:t>INCENTIVE</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OR PAYOUT</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60" w:type="dxa"/>
            <w:vAlign w:val="bottom"/>
            <w:gridSpan w:val="2"/>
          </w:tcPr>
          <w:p>
            <w:pPr>
              <w:jc w:val="right"/>
              <w:ind w:right="1"/>
              <w:spacing w:after="0"/>
              <w:rPr>
                <w:sz w:val="20"/>
                <w:szCs w:val="20"/>
                <w:color w:val="auto"/>
              </w:rPr>
            </w:pPr>
            <w:r>
              <w:rPr>
                <w:rFonts w:ascii="Arial" w:cs="Arial" w:eastAsia="Arial" w:hAnsi="Arial"/>
                <w:sz w:val="13"/>
                <w:szCs w:val="13"/>
                <w:b w:val="1"/>
                <w:bCs w:val="1"/>
                <w:color w:val="auto"/>
              </w:rPr>
              <w:t>PLAN AWARDS:</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1400" w:type="dxa"/>
            <w:vAlign w:val="bottom"/>
            <w:gridSpan w:val="2"/>
            <w:vMerge w:val="restart"/>
          </w:tcPr>
          <w:p>
            <w:pPr>
              <w:jc w:val="right"/>
              <w:ind w:right="9"/>
              <w:spacing w:after="0"/>
              <w:rPr>
                <w:sz w:val="20"/>
                <w:szCs w:val="20"/>
                <w:color w:val="auto"/>
              </w:rPr>
            </w:pPr>
            <w:r>
              <w:rPr>
                <w:rFonts w:ascii="Arial" w:cs="Arial" w:eastAsia="Arial" w:hAnsi="Arial"/>
                <w:sz w:val="13"/>
                <w:szCs w:val="13"/>
                <w:b w:val="1"/>
                <w:bCs w:val="1"/>
                <w:color w:val="auto"/>
              </w:rPr>
              <w:t>NUMBER OF</w:t>
            </w: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VALUE OF</w:t>
            </w:r>
          </w:p>
        </w:tc>
        <w:tc>
          <w:tcPr>
            <w:tcW w:w="1260" w:type="dxa"/>
            <w:vAlign w:val="bottom"/>
            <w:gridSpan w:val="2"/>
          </w:tcPr>
          <w:p>
            <w:pPr>
              <w:jc w:val="right"/>
              <w:ind w:right="1"/>
              <w:spacing w:after="0"/>
              <w:rPr>
                <w:sz w:val="20"/>
                <w:szCs w:val="20"/>
                <w:color w:val="auto"/>
              </w:rPr>
            </w:pPr>
            <w:r>
              <w:rPr>
                <w:rFonts w:ascii="Arial" w:cs="Arial" w:eastAsia="Arial" w:hAnsi="Arial"/>
                <w:sz w:val="13"/>
                <w:szCs w:val="13"/>
                <w:b w:val="1"/>
                <w:bCs w:val="1"/>
                <w:color w:val="auto"/>
              </w:rPr>
              <w:t>NUMBER OF</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SHARES OR</w:t>
            </w:r>
          </w:p>
        </w:tc>
        <w:tc>
          <w:tcPr>
            <w:tcW w:w="1260" w:type="dxa"/>
            <w:vAlign w:val="bottom"/>
            <w:gridSpan w:val="2"/>
          </w:tcPr>
          <w:p>
            <w:pPr>
              <w:jc w:val="right"/>
              <w:ind w:right="1"/>
              <w:spacing w:after="0"/>
              <w:rPr>
                <w:sz w:val="20"/>
                <w:szCs w:val="20"/>
                <w:color w:val="auto"/>
              </w:rPr>
            </w:pPr>
            <w:r>
              <w:rPr>
                <w:rFonts w:ascii="Arial" w:cs="Arial" w:eastAsia="Arial" w:hAnsi="Arial"/>
                <w:sz w:val="13"/>
                <w:szCs w:val="13"/>
                <w:b w:val="1"/>
                <w:bCs w:val="1"/>
                <w:color w:val="auto"/>
              </w:rPr>
              <w:t>UNEARNED</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SECURITIES</w:t>
            </w:r>
          </w:p>
        </w:tc>
        <w:tc>
          <w:tcPr>
            <w:tcW w:w="140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rPr>
              <w:t>SECURITIES</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OPTION</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SHARES OR</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UNITS OF</w:t>
            </w:r>
          </w:p>
        </w:tc>
        <w:tc>
          <w:tcPr>
            <w:tcW w:w="1260" w:type="dxa"/>
            <w:vAlign w:val="bottom"/>
            <w:gridSpan w:val="2"/>
          </w:tcPr>
          <w:p>
            <w:pPr>
              <w:jc w:val="right"/>
              <w:ind w:right="1"/>
              <w:spacing w:after="0"/>
              <w:rPr>
                <w:sz w:val="20"/>
                <w:szCs w:val="20"/>
                <w:color w:val="auto"/>
              </w:rPr>
            </w:pPr>
            <w:r>
              <w:rPr>
                <w:rFonts w:ascii="Arial" w:cs="Arial" w:eastAsia="Arial" w:hAnsi="Arial"/>
                <w:sz w:val="13"/>
                <w:szCs w:val="13"/>
                <w:b w:val="1"/>
                <w:bCs w:val="1"/>
                <w:color w:val="auto"/>
              </w:rPr>
              <w:t>SHARES,</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UNITS OR</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UNDERLYING</w:t>
            </w:r>
          </w:p>
        </w:tc>
        <w:tc>
          <w:tcPr>
            <w:tcW w:w="140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rPr>
              <w:t>UNDERLYING</w:t>
            </w:r>
          </w:p>
        </w:tc>
        <w:tc>
          <w:tcPr>
            <w:tcW w:w="800" w:type="dxa"/>
            <w:vAlign w:val="bottom"/>
            <w:vMerge w:val="continue"/>
          </w:tcPr>
          <w:p>
            <w:pPr>
              <w:spacing w:after="0"/>
              <w:rPr>
                <w:sz w:val="12"/>
                <w:szCs w:val="12"/>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OPTIONS</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UNITS OF</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STOCK</w:t>
            </w:r>
          </w:p>
        </w:tc>
        <w:tc>
          <w:tcPr>
            <w:tcW w:w="1260" w:type="dxa"/>
            <w:vAlign w:val="bottom"/>
            <w:gridSpan w:val="2"/>
          </w:tcPr>
          <w:p>
            <w:pPr>
              <w:jc w:val="right"/>
              <w:ind w:right="1"/>
              <w:spacing w:after="0"/>
              <w:rPr>
                <w:sz w:val="20"/>
                <w:szCs w:val="20"/>
                <w:color w:val="auto"/>
              </w:rPr>
            </w:pPr>
            <w:r>
              <w:rPr>
                <w:rFonts w:ascii="Arial" w:cs="Arial" w:eastAsia="Arial" w:hAnsi="Arial"/>
                <w:sz w:val="13"/>
                <w:szCs w:val="13"/>
                <w:b w:val="1"/>
                <w:bCs w:val="1"/>
                <w:color w:val="auto"/>
              </w:rPr>
              <w:t>UNITS OR</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OTHER RIGHTS</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UNEXERCISED</w:t>
            </w:r>
          </w:p>
        </w:tc>
        <w:tc>
          <w:tcPr>
            <w:tcW w:w="1400" w:type="dxa"/>
            <w:vAlign w:val="bottom"/>
            <w:gridSpan w:val="2"/>
          </w:tcPr>
          <w:p>
            <w:pPr>
              <w:jc w:val="right"/>
              <w:ind w:right="9"/>
              <w:spacing w:after="0"/>
              <w:rPr>
                <w:sz w:val="20"/>
                <w:szCs w:val="20"/>
                <w:color w:val="auto"/>
              </w:rPr>
            </w:pPr>
            <w:r>
              <w:rPr>
                <w:rFonts w:ascii="Arial" w:cs="Arial" w:eastAsia="Arial" w:hAnsi="Arial"/>
                <w:sz w:val="13"/>
                <w:szCs w:val="13"/>
                <w:b w:val="1"/>
                <w:bCs w:val="1"/>
                <w:color w:val="auto"/>
              </w:rPr>
              <w:t>UNEXERCISED</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c>
          <w:tcPr>
            <w:tcW w:w="980" w:type="dxa"/>
            <w:vAlign w:val="bottom"/>
            <w:gridSpan w:val="2"/>
            <w:vMerge w:val="continue"/>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STOCK THAT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THAT HAVE</w:t>
            </w:r>
          </w:p>
        </w:tc>
        <w:tc>
          <w:tcPr>
            <w:tcW w:w="1260" w:type="dxa"/>
            <w:vAlign w:val="bottom"/>
            <w:gridSpan w:val="2"/>
          </w:tcPr>
          <w:p>
            <w:pPr>
              <w:jc w:val="right"/>
              <w:ind w:right="1"/>
              <w:spacing w:after="0"/>
              <w:rPr>
                <w:sz w:val="20"/>
                <w:szCs w:val="20"/>
                <w:color w:val="auto"/>
              </w:rPr>
            </w:pPr>
            <w:r>
              <w:rPr>
                <w:rFonts w:ascii="Arial" w:cs="Arial" w:eastAsia="Arial" w:hAnsi="Arial"/>
                <w:sz w:val="13"/>
                <w:szCs w:val="13"/>
                <w:b w:val="1"/>
                <w:bCs w:val="1"/>
                <w:color w:val="auto"/>
              </w:rPr>
              <w:t>OTHER RIGHTS</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THAT HAVE</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c>
          <w:tcPr>
            <w:tcW w:w="1400" w:type="dxa"/>
            <w:vAlign w:val="bottom"/>
            <w:gridSpan w:val="2"/>
          </w:tcPr>
          <w:p>
            <w:pPr>
              <w:jc w:val="right"/>
              <w:ind w:right="49"/>
              <w:spacing w:after="0"/>
              <w:rPr>
                <w:sz w:val="20"/>
                <w:szCs w:val="20"/>
                <w:color w:val="auto"/>
              </w:rPr>
            </w:pPr>
            <w:r>
              <w:rPr>
                <w:rFonts w:ascii="Arial" w:cs="Arial" w:eastAsia="Arial" w:hAnsi="Arial"/>
                <w:sz w:val="13"/>
                <w:szCs w:val="13"/>
                <w:b w:val="1"/>
                <w:bCs w:val="1"/>
                <w:color w:val="auto"/>
              </w:rPr>
              <w:t>OPTION</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c>
          <w:tcPr>
            <w:tcW w:w="9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EXPIRATION</w:t>
            </w: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NOT VESTED</w:t>
            </w:r>
          </w:p>
        </w:tc>
        <w:tc>
          <w:tcPr>
            <w:tcW w:w="1260" w:type="dxa"/>
            <w:vAlign w:val="bottom"/>
            <w:gridSpan w:val="2"/>
          </w:tcPr>
          <w:p>
            <w:pPr>
              <w:jc w:val="right"/>
              <w:ind w:right="1"/>
              <w:spacing w:after="0"/>
              <w:rPr>
                <w:sz w:val="20"/>
                <w:szCs w:val="20"/>
                <w:color w:val="auto"/>
              </w:rPr>
            </w:pPr>
            <w:r>
              <w:rPr>
                <w:rFonts w:ascii="Arial" w:cs="Arial" w:eastAsia="Arial" w:hAnsi="Arial"/>
                <w:sz w:val="13"/>
                <w:szCs w:val="13"/>
                <w:b w:val="1"/>
                <w:bCs w:val="1"/>
                <w:color w:val="auto"/>
              </w:rPr>
              <w:t>THAT HAVE</w:t>
            </w:r>
          </w:p>
        </w:tc>
        <w:tc>
          <w:tcPr>
            <w:tcW w:w="1200" w:type="dxa"/>
            <w:vAlign w:val="bottom"/>
          </w:tcPr>
          <w:p>
            <w:pPr>
              <w:jc w:val="right"/>
              <w:ind w:right="12"/>
              <w:spacing w:after="0"/>
              <w:rPr>
                <w:sz w:val="20"/>
                <w:szCs w:val="20"/>
                <w:color w:val="auto"/>
              </w:rPr>
            </w:pPr>
            <w:r>
              <w:rPr>
                <w:rFonts w:ascii="Arial" w:cs="Arial" w:eastAsia="Arial" w:hAnsi="Arial"/>
                <w:sz w:val="13"/>
                <w:szCs w:val="13"/>
                <w:b w:val="1"/>
                <w:bCs w:val="1"/>
                <w:color w:val="auto"/>
              </w:rPr>
              <w:t>NOT VESTED</w:t>
            </w:r>
          </w:p>
        </w:tc>
        <w:tc>
          <w:tcPr>
            <w:tcW w:w="0" w:type="dxa"/>
            <w:vAlign w:val="bottom"/>
          </w:tcPr>
          <w:p>
            <w:pPr>
              <w:spacing w:after="0"/>
              <w:rPr>
                <w:sz w:val="1"/>
                <w:szCs w:val="1"/>
                <w:color w:val="auto"/>
              </w:rPr>
            </w:pPr>
          </w:p>
        </w:tc>
      </w:tr>
      <w:tr>
        <w:trPr>
          <w:trHeight w:val="94"/>
        </w:trPr>
        <w:tc>
          <w:tcPr>
            <w:tcW w:w="2640" w:type="dxa"/>
            <w:vAlign w:val="bottom"/>
          </w:tcPr>
          <w:p>
            <w:pPr>
              <w:spacing w:after="0"/>
              <w:rPr>
                <w:sz w:val="8"/>
                <w:szCs w:val="8"/>
                <w:color w:val="auto"/>
              </w:rPr>
            </w:pPr>
          </w:p>
        </w:tc>
        <w:tc>
          <w:tcPr>
            <w:tcW w:w="1060" w:type="dxa"/>
            <w:vAlign w:val="bottom"/>
            <w:vMerge w:val="restart"/>
          </w:tcPr>
          <w:p>
            <w:pPr>
              <w:jc w:val="right"/>
              <w:ind w:right="30"/>
              <w:spacing w:after="0"/>
              <w:rPr>
                <w:sz w:val="20"/>
                <w:szCs w:val="20"/>
                <w:color w:val="auto"/>
              </w:rPr>
            </w:pPr>
            <w:r>
              <w:rPr>
                <w:rFonts w:ascii="Arial" w:cs="Arial" w:eastAsia="Arial" w:hAnsi="Arial"/>
                <w:sz w:val="13"/>
                <w:szCs w:val="13"/>
                <w:b w:val="1"/>
                <w:bCs w:val="1"/>
                <w:color w:val="auto"/>
              </w:rPr>
              <w:t>EXERCISABLE</w:t>
            </w:r>
          </w:p>
        </w:tc>
        <w:tc>
          <w:tcPr>
            <w:tcW w:w="12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UNEXERCISABLE</w:t>
            </w:r>
          </w:p>
        </w:tc>
        <w:tc>
          <w:tcPr>
            <w:tcW w:w="200" w:type="dxa"/>
            <w:vAlign w:val="bottom"/>
          </w:tcPr>
          <w:p>
            <w:pPr>
              <w:jc w:val="right"/>
              <w:ind w:right="9"/>
              <w:spacing w:after="0" w:line="95" w:lineRule="exact"/>
              <w:rPr>
                <w:sz w:val="20"/>
                <w:szCs w:val="20"/>
                <w:color w:val="auto"/>
              </w:rPr>
            </w:pPr>
            <w:r>
              <w:rPr>
                <w:rFonts w:ascii="Arial" w:cs="Arial" w:eastAsia="Arial" w:hAnsi="Arial"/>
                <w:sz w:val="10"/>
                <w:szCs w:val="10"/>
                <w:b w:val="1"/>
                <w:bCs w:val="1"/>
                <w:color w:val="auto"/>
                <w:w w:val="97"/>
              </w:rPr>
              <w:t>(2)</w:t>
            </w: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DATE</w:t>
            </w:r>
          </w:p>
        </w:tc>
        <w:tc>
          <w:tcPr>
            <w:tcW w:w="920" w:type="dxa"/>
            <w:vAlign w:val="bottom"/>
          </w:tcPr>
          <w:p>
            <w:pPr>
              <w:jc w:val="right"/>
              <w:spacing w:after="0" w:line="95" w:lineRule="exact"/>
              <w:rPr>
                <w:sz w:val="20"/>
                <w:szCs w:val="20"/>
                <w:color w:val="auto"/>
              </w:rPr>
            </w:pPr>
            <w:r>
              <w:rPr>
                <w:rFonts w:ascii="Arial" w:cs="Arial" w:eastAsia="Arial" w:hAnsi="Arial"/>
                <w:sz w:val="10"/>
                <w:szCs w:val="10"/>
                <w:b w:val="1"/>
                <w:bCs w:val="1"/>
                <w:color w:val="auto"/>
              </w:rPr>
              <w:t>(3)(4)</w:t>
            </w:r>
          </w:p>
        </w:tc>
        <w:tc>
          <w:tcPr>
            <w:tcW w:w="9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NOT VESTED</w:t>
            </w:r>
          </w:p>
        </w:tc>
        <w:tc>
          <w:tcPr>
            <w:tcW w:w="340" w:type="dxa"/>
            <w:vAlign w:val="bottom"/>
          </w:tcPr>
          <w:p>
            <w:pPr>
              <w:jc w:val="right"/>
              <w:ind w:right="1"/>
              <w:spacing w:after="0" w:line="95" w:lineRule="exact"/>
              <w:rPr>
                <w:sz w:val="20"/>
                <w:szCs w:val="20"/>
                <w:color w:val="auto"/>
              </w:rPr>
            </w:pPr>
            <w:r>
              <w:rPr>
                <w:rFonts w:ascii="Arial" w:cs="Arial" w:eastAsia="Arial" w:hAnsi="Arial"/>
                <w:sz w:val="10"/>
                <w:szCs w:val="10"/>
                <w:b w:val="1"/>
                <w:bCs w:val="1"/>
                <w:color w:val="auto"/>
              </w:rPr>
              <w:t>(3)(4)</w:t>
            </w:r>
          </w:p>
        </w:tc>
        <w:tc>
          <w:tcPr>
            <w:tcW w:w="1200" w:type="dxa"/>
            <w:vAlign w:val="bottom"/>
            <w:vMerge w:val="restart"/>
          </w:tcPr>
          <w:p>
            <w:pPr>
              <w:jc w:val="right"/>
              <w:ind w:right="12"/>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66"/>
        </w:trPr>
        <w:tc>
          <w:tcPr>
            <w:tcW w:w="26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w:t>
            </w:r>
          </w:p>
        </w:tc>
        <w:tc>
          <w:tcPr>
            <w:tcW w:w="10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20" w:type="dxa"/>
            <w:vAlign w:val="bottom"/>
          </w:tcPr>
          <w:p>
            <w:pPr>
              <w:jc w:val="right"/>
              <w:ind w:right="277"/>
              <w:spacing w:after="0" w:line="67" w:lineRule="exact"/>
              <w:rPr>
                <w:sz w:val="20"/>
                <w:szCs w:val="20"/>
                <w:color w:val="auto"/>
              </w:rPr>
            </w:pPr>
            <w:r>
              <w:rPr>
                <w:rFonts w:ascii="Arial" w:cs="Arial" w:eastAsia="Arial" w:hAnsi="Arial"/>
                <w:sz w:val="7"/>
                <w:szCs w:val="7"/>
                <w:b w:val="1"/>
                <w:bCs w:val="1"/>
                <w:color w:val="auto"/>
              </w:rPr>
              <w:t>VESTED</w:t>
            </w:r>
          </w:p>
        </w:tc>
        <w:tc>
          <w:tcPr>
            <w:tcW w:w="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340" w:type="dxa"/>
            <w:vAlign w:val="bottom"/>
            <w:vMerge w:val="restart"/>
          </w:tcPr>
          <w:p>
            <w:pPr>
              <w:jc w:val="right"/>
              <w:ind w:right="1"/>
              <w:spacing w:after="0"/>
              <w:rPr>
                <w:sz w:val="20"/>
                <w:szCs w:val="20"/>
                <w:color w:val="auto"/>
              </w:rPr>
            </w:pPr>
            <w:r>
              <w:rPr>
                <w:rFonts w:ascii="Arial" w:cs="Arial" w:eastAsia="Arial" w:hAnsi="Arial"/>
                <w:sz w:val="13"/>
                <w:szCs w:val="13"/>
                <w:b w:val="1"/>
                <w:bCs w:val="1"/>
                <w:color w:val="auto"/>
              </w:rPr>
              <w:t>(g)</w:t>
            </w: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6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w:t>
            </w:r>
          </w:p>
        </w:tc>
        <w:tc>
          <w:tcPr>
            <w:tcW w:w="14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rPr>
              <w:t>(b)</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b w:val="1"/>
                <w:bCs w:val="1"/>
                <w:color w:val="auto"/>
              </w:rPr>
              <w:t>(d)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(f)</w:t>
            </w: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(h)</w:t>
            </w:r>
          </w:p>
        </w:tc>
        <w:tc>
          <w:tcPr>
            <w:tcW w:w="0" w:type="dxa"/>
            <w:vAlign w:val="bottom"/>
          </w:tcPr>
          <w:p>
            <w:pPr>
              <w:spacing w:after="0"/>
              <w:rPr>
                <w:sz w:val="1"/>
                <w:szCs w:val="1"/>
                <w:color w:val="auto"/>
              </w:rPr>
            </w:pPr>
          </w:p>
        </w:tc>
      </w:tr>
      <w:tr>
        <w:trPr>
          <w:trHeight w:val="175"/>
        </w:trPr>
        <w:tc>
          <w:tcPr>
            <w:tcW w:w="2640" w:type="dxa"/>
            <w:vAlign w:val="bottom"/>
          </w:tcPr>
          <w:p>
            <w:pPr>
              <w:ind w:left="80"/>
              <w:spacing w:after="0"/>
              <w:rPr>
                <w:sz w:val="20"/>
                <w:szCs w:val="20"/>
                <w:color w:val="auto"/>
              </w:rPr>
            </w:pPr>
            <w:r>
              <w:rPr>
                <w:rFonts w:ascii="Arial" w:cs="Arial" w:eastAsia="Arial" w:hAnsi="Arial"/>
                <w:sz w:val="14"/>
                <w:szCs w:val="14"/>
                <w:b w:val="1"/>
                <w:bCs w:val="1"/>
                <w:color w:val="auto"/>
              </w:rPr>
              <w:t>Thomas J.</w:t>
            </w: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60,295</w:t>
            </w:r>
          </w:p>
        </w:tc>
        <w:tc>
          <w:tcPr>
            <w:tcW w:w="980" w:type="dxa"/>
            <w:vAlign w:val="bottom"/>
          </w:tcPr>
          <w:p>
            <w:pPr>
              <w:jc w:val="right"/>
              <w:spacing w:after="0"/>
              <w:rPr>
                <w:sz w:val="20"/>
                <w:szCs w:val="20"/>
                <w:color w:val="auto"/>
              </w:rPr>
            </w:pPr>
            <w:r>
              <w:rPr>
                <w:rFonts w:ascii="Arial" w:cs="Arial" w:eastAsia="Arial" w:hAnsi="Arial"/>
                <w:sz w:val="14"/>
                <w:szCs w:val="14"/>
                <w:color w:val="auto"/>
              </w:rPr>
              <w:t>2,643,936</w:t>
            </w:r>
          </w:p>
        </w:tc>
        <w:tc>
          <w:tcPr>
            <w:tcW w:w="1260" w:type="dxa"/>
            <w:vAlign w:val="bottom"/>
            <w:gridSpan w:val="2"/>
          </w:tcPr>
          <w:p>
            <w:pPr>
              <w:jc w:val="right"/>
              <w:ind w:right="1"/>
              <w:spacing w:after="0"/>
              <w:rPr>
                <w:sz w:val="20"/>
                <w:szCs w:val="20"/>
                <w:color w:val="auto"/>
              </w:rPr>
            </w:pPr>
            <w:r>
              <w:rPr>
                <w:rFonts w:ascii="Arial" w:cs="Arial" w:eastAsia="Arial" w:hAnsi="Arial"/>
                <w:sz w:val="14"/>
                <w:szCs w:val="14"/>
                <w:color w:val="auto"/>
              </w:rPr>
              <w:t>504,187</w:t>
            </w: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22,108,600</w:t>
            </w:r>
          </w:p>
        </w:tc>
        <w:tc>
          <w:tcPr>
            <w:tcW w:w="0" w:type="dxa"/>
            <w:vAlign w:val="bottom"/>
          </w:tcPr>
          <w:p>
            <w:pPr>
              <w:spacing w:after="0"/>
              <w:rPr>
                <w:sz w:val="1"/>
                <w:szCs w:val="1"/>
                <w:color w:val="auto"/>
              </w:rPr>
            </w:pPr>
          </w:p>
        </w:tc>
      </w:tr>
      <w:tr>
        <w:trPr>
          <w:trHeight w:val="36"/>
        </w:trPr>
        <w:tc>
          <w:tcPr>
            <w:tcW w:w="2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Reid</w:t>
            </w:r>
          </w:p>
        </w:tc>
        <w:tc>
          <w:tcPr>
            <w:tcW w:w="1060" w:type="dxa"/>
            <w:vAlign w:val="bottom"/>
            <w:tcBorders>
              <w:bottom w:val="single" w:sz="8" w:color="DCDDDE"/>
            </w:tcBorders>
          </w:tcPr>
          <w:p>
            <w:pPr>
              <w:spacing w:after="0"/>
              <w:rPr>
                <w:sz w:val="3"/>
                <w:szCs w:val="3"/>
                <w:color w:val="auto"/>
              </w:rPr>
            </w:pPr>
          </w:p>
        </w:tc>
        <w:tc>
          <w:tcPr>
            <w:tcW w:w="1200" w:type="dxa"/>
            <w:vAlign w:val="bottom"/>
            <w:tcBorders>
              <w:bottom w:val="single" w:sz="8" w:color="DCDDDE"/>
            </w:tcBorders>
          </w:tcPr>
          <w:p>
            <w:pPr>
              <w:spacing w:after="0"/>
              <w:rPr>
                <w:sz w:val="3"/>
                <w:szCs w:val="3"/>
                <w:color w:val="auto"/>
              </w:rPr>
            </w:pPr>
          </w:p>
        </w:tc>
        <w:tc>
          <w:tcPr>
            <w:tcW w:w="200" w:type="dxa"/>
            <w:vAlign w:val="bottom"/>
            <w:tcBorders>
              <w:bottom w:val="single" w:sz="8" w:color="DCDDDE"/>
            </w:tcBorders>
          </w:tcPr>
          <w:p>
            <w:pPr>
              <w:spacing w:after="0"/>
              <w:rPr>
                <w:sz w:val="3"/>
                <w:szCs w:val="3"/>
                <w:color w:val="auto"/>
              </w:rPr>
            </w:pPr>
          </w:p>
        </w:tc>
        <w:tc>
          <w:tcPr>
            <w:tcW w:w="800" w:type="dxa"/>
            <w:vAlign w:val="bottom"/>
            <w:tcBorders>
              <w:bottom w:val="single" w:sz="8" w:color="DCDDDE"/>
            </w:tcBorders>
          </w:tcPr>
          <w:p>
            <w:pPr>
              <w:spacing w:after="0"/>
              <w:rPr>
                <w:sz w:val="3"/>
                <w:szCs w:val="3"/>
                <w:color w:val="auto"/>
              </w:rPr>
            </w:pPr>
          </w:p>
        </w:tc>
        <w:tc>
          <w:tcPr>
            <w:tcW w:w="880" w:type="dxa"/>
            <w:vAlign w:val="bottom"/>
            <w:tcBorders>
              <w:bottom w:val="single" w:sz="8" w:color="DCDDDE"/>
            </w:tcBorders>
          </w:tcPr>
          <w:p>
            <w:pPr>
              <w:spacing w:after="0"/>
              <w:rPr>
                <w:sz w:val="3"/>
                <w:szCs w:val="3"/>
                <w:color w:val="auto"/>
              </w:rPr>
            </w:pPr>
          </w:p>
        </w:tc>
        <w:tc>
          <w:tcPr>
            <w:tcW w:w="100" w:type="dxa"/>
            <w:vAlign w:val="bottom"/>
            <w:tcBorders>
              <w:bottom w:val="single" w:sz="8" w:color="DCDDDE"/>
            </w:tcBorders>
          </w:tcPr>
          <w:p>
            <w:pPr>
              <w:spacing w:after="0"/>
              <w:rPr>
                <w:sz w:val="3"/>
                <w:szCs w:val="3"/>
                <w:color w:val="auto"/>
              </w:rPr>
            </w:pPr>
          </w:p>
        </w:tc>
        <w:tc>
          <w:tcPr>
            <w:tcW w:w="920" w:type="dxa"/>
            <w:vAlign w:val="bottom"/>
            <w:tcBorders>
              <w:bottom w:val="single" w:sz="8" w:color="DCDDDE"/>
            </w:tcBorders>
          </w:tcPr>
          <w:p>
            <w:pPr>
              <w:spacing w:after="0"/>
              <w:rPr>
                <w:sz w:val="3"/>
                <w:szCs w:val="3"/>
                <w:color w:val="auto"/>
              </w:rPr>
            </w:pPr>
          </w:p>
        </w:tc>
        <w:tc>
          <w:tcPr>
            <w:tcW w:w="980" w:type="dxa"/>
            <w:vAlign w:val="bottom"/>
            <w:tcBorders>
              <w:bottom w:val="single" w:sz="8" w:color="DCDDDE"/>
            </w:tcBorders>
          </w:tcPr>
          <w:p>
            <w:pPr>
              <w:spacing w:after="0"/>
              <w:rPr>
                <w:sz w:val="3"/>
                <w:szCs w:val="3"/>
                <w:color w:val="auto"/>
              </w:rPr>
            </w:pPr>
          </w:p>
        </w:tc>
        <w:tc>
          <w:tcPr>
            <w:tcW w:w="920" w:type="dxa"/>
            <w:vAlign w:val="bottom"/>
            <w:tcBorders>
              <w:bottom w:val="single" w:sz="8" w:color="DCDDDE"/>
            </w:tcBorders>
          </w:tcPr>
          <w:p>
            <w:pPr>
              <w:spacing w:after="0"/>
              <w:rPr>
                <w:sz w:val="3"/>
                <w:szCs w:val="3"/>
                <w:color w:val="auto"/>
              </w:rPr>
            </w:pPr>
          </w:p>
        </w:tc>
        <w:tc>
          <w:tcPr>
            <w:tcW w:w="340" w:type="dxa"/>
            <w:vAlign w:val="bottom"/>
            <w:tcBorders>
              <w:bottom w:val="single" w:sz="8" w:color="DCDDDE"/>
            </w:tcBorders>
          </w:tcPr>
          <w:p>
            <w:pPr>
              <w:spacing w:after="0"/>
              <w:rPr>
                <w:sz w:val="3"/>
                <w:szCs w:val="3"/>
                <w:color w:val="auto"/>
              </w:rPr>
            </w:pPr>
          </w:p>
        </w:tc>
        <w:tc>
          <w:tcPr>
            <w:tcW w:w="120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640" w:type="dxa"/>
            <w:vAlign w:val="bottom"/>
            <w:vMerge w:val="continue"/>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155,115</w:t>
            </w:r>
          </w:p>
        </w:tc>
        <w:tc>
          <w:tcPr>
            <w:tcW w:w="140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189,585</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42.520</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03/01/2030</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060" w:type="dxa"/>
            <w:vAlign w:val="bottom"/>
            <w:tcBorders>
              <w:bottom w:val="single" w:sz="8" w:color="DCDDDE"/>
            </w:tcBorders>
            <w:vMerge w:val="continue"/>
          </w:tcPr>
          <w:p>
            <w:pPr>
              <w:spacing w:after="0"/>
              <w:rPr>
                <w:sz w:val="5"/>
                <w:szCs w:val="5"/>
                <w:color w:val="auto"/>
              </w:rPr>
            </w:pPr>
          </w:p>
        </w:tc>
        <w:tc>
          <w:tcPr>
            <w:tcW w:w="1400" w:type="dxa"/>
            <w:vAlign w:val="bottom"/>
            <w:tcBorders>
              <w:bottom w:val="single" w:sz="8" w:color="DCDDDE"/>
            </w:tcBorders>
            <w:gridSpan w:val="2"/>
            <w:vMerge w:val="continue"/>
          </w:tcPr>
          <w:p>
            <w:pPr>
              <w:spacing w:after="0"/>
              <w:rPr>
                <w:sz w:val="5"/>
                <w:szCs w:val="5"/>
                <w:color w:val="auto"/>
              </w:rPr>
            </w:pPr>
          </w:p>
        </w:tc>
        <w:tc>
          <w:tcPr>
            <w:tcW w:w="800" w:type="dxa"/>
            <w:vAlign w:val="bottom"/>
            <w:tcBorders>
              <w:bottom w:val="single" w:sz="8" w:color="DCDDDE"/>
            </w:tcBorders>
            <w:vMerge w:val="continue"/>
          </w:tcPr>
          <w:p>
            <w:pPr>
              <w:spacing w:after="0"/>
              <w:rPr>
                <w:sz w:val="5"/>
                <w:szCs w:val="5"/>
                <w:color w:val="auto"/>
              </w:rPr>
            </w:pPr>
          </w:p>
        </w:tc>
        <w:tc>
          <w:tcPr>
            <w:tcW w:w="980" w:type="dxa"/>
            <w:vAlign w:val="bottom"/>
            <w:tcBorders>
              <w:bottom w:val="single" w:sz="8" w:color="DCDDDE"/>
            </w:tcBorders>
            <w:gridSpan w:val="2"/>
            <w:vMerge w:val="continue"/>
          </w:tcPr>
          <w:p>
            <w:pPr>
              <w:spacing w:after="0"/>
              <w:rPr>
                <w:sz w:val="5"/>
                <w:szCs w:val="5"/>
                <w:color w:val="auto"/>
              </w:rPr>
            </w:pPr>
          </w:p>
        </w:tc>
        <w:tc>
          <w:tcPr>
            <w:tcW w:w="920" w:type="dxa"/>
            <w:vAlign w:val="bottom"/>
            <w:tcBorders>
              <w:bottom w:val="single" w:sz="8" w:color="DCDDDE"/>
            </w:tcBorders>
          </w:tcPr>
          <w:p>
            <w:pPr>
              <w:spacing w:after="0"/>
              <w:rPr>
                <w:sz w:val="5"/>
                <w:szCs w:val="5"/>
                <w:color w:val="auto"/>
              </w:rPr>
            </w:pPr>
          </w:p>
        </w:tc>
        <w:tc>
          <w:tcPr>
            <w:tcW w:w="980" w:type="dxa"/>
            <w:vAlign w:val="bottom"/>
            <w:tcBorders>
              <w:bottom w:val="single" w:sz="8" w:color="DCDDDE"/>
            </w:tcBorders>
          </w:tcPr>
          <w:p>
            <w:pPr>
              <w:spacing w:after="0"/>
              <w:rPr>
                <w:sz w:val="5"/>
                <w:szCs w:val="5"/>
                <w:color w:val="auto"/>
              </w:rPr>
            </w:pPr>
          </w:p>
        </w:tc>
        <w:tc>
          <w:tcPr>
            <w:tcW w:w="920" w:type="dxa"/>
            <w:vAlign w:val="bottom"/>
            <w:tcBorders>
              <w:bottom w:val="single" w:sz="8" w:color="DCDDDE"/>
            </w:tcBorders>
          </w:tcPr>
          <w:p>
            <w:pPr>
              <w:spacing w:after="0"/>
              <w:rPr>
                <w:sz w:val="5"/>
                <w:szCs w:val="5"/>
                <w:color w:val="auto"/>
              </w:rPr>
            </w:pPr>
          </w:p>
        </w:tc>
        <w:tc>
          <w:tcPr>
            <w:tcW w:w="340" w:type="dxa"/>
            <w:vAlign w:val="bottom"/>
            <w:tcBorders>
              <w:bottom w:val="single" w:sz="8" w:color="DCDDDE"/>
            </w:tcBorders>
          </w:tcPr>
          <w:p>
            <w:pPr>
              <w:spacing w:after="0"/>
              <w:rPr>
                <w:sz w:val="5"/>
                <w:szCs w:val="5"/>
                <w:color w:val="auto"/>
              </w:rPr>
            </w:pPr>
          </w:p>
        </w:tc>
        <w:tc>
          <w:tcPr>
            <w:tcW w:w="1200" w:type="dxa"/>
            <w:vAlign w:val="bottom"/>
            <w:tcBorders>
              <w:bottom w:val="single" w:sz="8" w:color="DCDDDE"/>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10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83,000</w:t>
            </w:r>
          </w:p>
        </w:tc>
        <w:tc>
          <w:tcPr>
            <w:tcW w:w="1400" w:type="dxa"/>
            <w:vAlign w:val="bottom"/>
            <w:tcBorders>
              <w:bottom w:val="single" w:sz="8" w:color="DCDDDE"/>
            </w:tcBorders>
            <w:gridSpan w:val="2"/>
          </w:tcPr>
          <w:p>
            <w:pPr>
              <w:jc w:val="right"/>
              <w:ind w:right="9"/>
              <w:spacing w:after="0"/>
              <w:rPr>
                <w:sz w:val="20"/>
                <w:szCs w:val="20"/>
                <w:color w:val="auto"/>
              </w:rPr>
            </w:pPr>
            <w:r>
              <w:rPr>
                <w:rFonts w:ascii="Arial" w:cs="Arial" w:eastAsia="Arial" w:hAnsi="Arial"/>
                <w:sz w:val="14"/>
                <w:szCs w:val="14"/>
                <w:color w:val="auto"/>
              </w:rPr>
              <w:t>124,500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54.450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02/28/2031</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92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10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45,403</w:t>
            </w:r>
          </w:p>
        </w:tc>
        <w:tc>
          <w:tcPr>
            <w:tcW w:w="1400" w:type="dxa"/>
            <w:vAlign w:val="bottom"/>
            <w:tcBorders>
              <w:bottom w:val="single" w:sz="8" w:color="DCDDDE"/>
            </w:tcBorders>
            <w:gridSpan w:val="2"/>
          </w:tcPr>
          <w:p>
            <w:pPr>
              <w:jc w:val="right"/>
              <w:ind w:right="9"/>
              <w:spacing w:after="0"/>
              <w:rPr>
                <w:sz w:val="20"/>
                <w:szCs w:val="20"/>
                <w:color w:val="auto"/>
              </w:rPr>
            </w:pPr>
            <w:r>
              <w:rPr>
                <w:rFonts w:ascii="Arial" w:cs="Arial" w:eastAsia="Arial" w:hAnsi="Arial"/>
                <w:sz w:val="14"/>
                <w:szCs w:val="14"/>
                <w:color w:val="auto"/>
              </w:rPr>
              <w:t>181,612</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46.390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02/29/2032</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92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240,100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36.630</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02/28/2033</w:t>
            </w:r>
          </w:p>
        </w:tc>
        <w:tc>
          <w:tcPr>
            <w:tcW w:w="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640" w:type="dxa"/>
            <w:vAlign w:val="bottom"/>
          </w:tcPr>
          <w:p>
            <w:pPr>
              <w:ind w:left="80"/>
              <w:spacing w:after="0"/>
              <w:rPr>
                <w:sz w:val="20"/>
                <w:szCs w:val="20"/>
                <w:color w:val="auto"/>
              </w:rPr>
            </w:pPr>
            <w:r>
              <w:rPr>
                <w:rFonts w:ascii="Arial" w:cs="Arial" w:eastAsia="Arial" w:hAnsi="Arial"/>
                <w:sz w:val="14"/>
                <w:szCs w:val="14"/>
                <w:b w:val="1"/>
                <w:bCs w:val="1"/>
                <w:color w:val="auto"/>
              </w:rPr>
              <w:t>Jennifer</w:t>
            </w: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52,657</w:t>
            </w:r>
          </w:p>
        </w:tc>
        <w:tc>
          <w:tcPr>
            <w:tcW w:w="980" w:type="dxa"/>
            <w:vAlign w:val="bottom"/>
          </w:tcPr>
          <w:p>
            <w:pPr>
              <w:jc w:val="right"/>
              <w:spacing w:after="0"/>
              <w:rPr>
                <w:sz w:val="20"/>
                <w:szCs w:val="20"/>
                <w:color w:val="auto"/>
              </w:rPr>
            </w:pPr>
            <w:r>
              <w:rPr>
                <w:rFonts w:ascii="Arial" w:cs="Arial" w:eastAsia="Arial" w:hAnsi="Arial"/>
                <w:sz w:val="14"/>
                <w:szCs w:val="14"/>
                <w:color w:val="auto"/>
              </w:rPr>
              <w:t>2,309,009</w:t>
            </w:r>
          </w:p>
        </w:tc>
        <w:tc>
          <w:tcPr>
            <w:tcW w:w="1260" w:type="dxa"/>
            <w:vAlign w:val="bottom"/>
            <w:gridSpan w:val="2"/>
          </w:tcPr>
          <w:p>
            <w:pPr>
              <w:jc w:val="right"/>
              <w:ind w:right="1"/>
              <w:spacing w:after="0"/>
              <w:rPr>
                <w:sz w:val="20"/>
                <w:szCs w:val="20"/>
                <w:color w:val="auto"/>
              </w:rPr>
            </w:pPr>
            <w:r>
              <w:rPr>
                <w:rFonts w:ascii="Arial" w:cs="Arial" w:eastAsia="Arial" w:hAnsi="Arial"/>
                <w:sz w:val="14"/>
                <w:szCs w:val="14"/>
                <w:color w:val="auto"/>
              </w:rPr>
              <w:t>61,437</w:t>
            </w:r>
          </w:p>
        </w:tc>
        <w:tc>
          <w:tcPr>
            <w:tcW w:w="1200" w:type="dxa"/>
            <w:vAlign w:val="bottom"/>
          </w:tcPr>
          <w:p>
            <w:pPr>
              <w:jc w:val="right"/>
              <w:ind w:right="12"/>
              <w:spacing w:after="0"/>
              <w:rPr>
                <w:sz w:val="20"/>
                <w:szCs w:val="20"/>
                <w:color w:val="auto"/>
              </w:rPr>
            </w:pPr>
            <w:r>
              <w:rPr>
                <w:rFonts w:ascii="Arial" w:cs="Arial" w:eastAsia="Arial" w:hAnsi="Arial"/>
                <w:sz w:val="14"/>
                <w:szCs w:val="14"/>
                <w:color w:val="auto"/>
              </w:rPr>
              <w:t>2,694,012</w:t>
            </w:r>
          </w:p>
        </w:tc>
        <w:tc>
          <w:tcPr>
            <w:tcW w:w="0" w:type="dxa"/>
            <w:vAlign w:val="bottom"/>
          </w:tcPr>
          <w:p>
            <w:pPr>
              <w:spacing w:after="0"/>
              <w:rPr>
                <w:sz w:val="1"/>
                <w:szCs w:val="1"/>
                <w:color w:val="auto"/>
              </w:rPr>
            </w:pPr>
          </w:p>
        </w:tc>
      </w:tr>
      <w:tr>
        <w:trPr>
          <w:trHeight w:val="36"/>
        </w:trPr>
        <w:tc>
          <w:tcPr>
            <w:tcW w:w="2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Khoury</w:t>
            </w:r>
          </w:p>
        </w:tc>
        <w:tc>
          <w:tcPr>
            <w:tcW w:w="1060" w:type="dxa"/>
            <w:vAlign w:val="bottom"/>
            <w:tcBorders>
              <w:bottom w:val="single" w:sz="8" w:color="DCDDDE"/>
            </w:tcBorders>
          </w:tcPr>
          <w:p>
            <w:pPr>
              <w:spacing w:after="0"/>
              <w:rPr>
                <w:sz w:val="3"/>
                <w:szCs w:val="3"/>
                <w:color w:val="auto"/>
              </w:rPr>
            </w:pPr>
          </w:p>
        </w:tc>
        <w:tc>
          <w:tcPr>
            <w:tcW w:w="1200" w:type="dxa"/>
            <w:vAlign w:val="bottom"/>
            <w:tcBorders>
              <w:bottom w:val="single" w:sz="8" w:color="DCDDDE"/>
            </w:tcBorders>
          </w:tcPr>
          <w:p>
            <w:pPr>
              <w:spacing w:after="0"/>
              <w:rPr>
                <w:sz w:val="3"/>
                <w:szCs w:val="3"/>
                <w:color w:val="auto"/>
              </w:rPr>
            </w:pPr>
          </w:p>
        </w:tc>
        <w:tc>
          <w:tcPr>
            <w:tcW w:w="200" w:type="dxa"/>
            <w:vAlign w:val="bottom"/>
            <w:tcBorders>
              <w:bottom w:val="single" w:sz="8" w:color="DCDDDE"/>
            </w:tcBorders>
          </w:tcPr>
          <w:p>
            <w:pPr>
              <w:spacing w:after="0"/>
              <w:rPr>
                <w:sz w:val="3"/>
                <w:szCs w:val="3"/>
                <w:color w:val="auto"/>
              </w:rPr>
            </w:pPr>
          </w:p>
        </w:tc>
        <w:tc>
          <w:tcPr>
            <w:tcW w:w="800" w:type="dxa"/>
            <w:vAlign w:val="bottom"/>
            <w:tcBorders>
              <w:bottom w:val="single" w:sz="8" w:color="DCDDDE"/>
            </w:tcBorders>
          </w:tcPr>
          <w:p>
            <w:pPr>
              <w:spacing w:after="0"/>
              <w:rPr>
                <w:sz w:val="3"/>
                <w:szCs w:val="3"/>
                <w:color w:val="auto"/>
              </w:rPr>
            </w:pPr>
          </w:p>
        </w:tc>
        <w:tc>
          <w:tcPr>
            <w:tcW w:w="880" w:type="dxa"/>
            <w:vAlign w:val="bottom"/>
            <w:tcBorders>
              <w:bottom w:val="single" w:sz="8" w:color="DCDDDE"/>
            </w:tcBorders>
          </w:tcPr>
          <w:p>
            <w:pPr>
              <w:spacing w:after="0"/>
              <w:rPr>
                <w:sz w:val="3"/>
                <w:szCs w:val="3"/>
                <w:color w:val="auto"/>
              </w:rPr>
            </w:pPr>
          </w:p>
        </w:tc>
        <w:tc>
          <w:tcPr>
            <w:tcW w:w="100" w:type="dxa"/>
            <w:vAlign w:val="bottom"/>
            <w:tcBorders>
              <w:bottom w:val="single" w:sz="8" w:color="DCDDDE"/>
            </w:tcBorders>
          </w:tcPr>
          <w:p>
            <w:pPr>
              <w:spacing w:after="0"/>
              <w:rPr>
                <w:sz w:val="3"/>
                <w:szCs w:val="3"/>
                <w:color w:val="auto"/>
              </w:rPr>
            </w:pPr>
          </w:p>
        </w:tc>
        <w:tc>
          <w:tcPr>
            <w:tcW w:w="920" w:type="dxa"/>
            <w:vAlign w:val="bottom"/>
            <w:tcBorders>
              <w:bottom w:val="single" w:sz="8" w:color="DCDDDE"/>
            </w:tcBorders>
          </w:tcPr>
          <w:p>
            <w:pPr>
              <w:spacing w:after="0"/>
              <w:rPr>
                <w:sz w:val="3"/>
                <w:szCs w:val="3"/>
                <w:color w:val="auto"/>
              </w:rPr>
            </w:pPr>
          </w:p>
        </w:tc>
        <w:tc>
          <w:tcPr>
            <w:tcW w:w="980" w:type="dxa"/>
            <w:vAlign w:val="bottom"/>
            <w:tcBorders>
              <w:bottom w:val="single" w:sz="8" w:color="DCDDDE"/>
            </w:tcBorders>
          </w:tcPr>
          <w:p>
            <w:pPr>
              <w:spacing w:after="0"/>
              <w:rPr>
                <w:sz w:val="3"/>
                <w:szCs w:val="3"/>
                <w:color w:val="auto"/>
              </w:rPr>
            </w:pPr>
          </w:p>
        </w:tc>
        <w:tc>
          <w:tcPr>
            <w:tcW w:w="920" w:type="dxa"/>
            <w:vAlign w:val="bottom"/>
            <w:tcBorders>
              <w:bottom w:val="single" w:sz="8" w:color="DCDDDE"/>
            </w:tcBorders>
          </w:tcPr>
          <w:p>
            <w:pPr>
              <w:spacing w:after="0"/>
              <w:rPr>
                <w:sz w:val="3"/>
                <w:szCs w:val="3"/>
                <w:color w:val="auto"/>
              </w:rPr>
            </w:pPr>
          </w:p>
        </w:tc>
        <w:tc>
          <w:tcPr>
            <w:tcW w:w="340" w:type="dxa"/>
            <w:vAlign w:val="bottom"/>
            <w:tcBorders>
              <w:bottom w:val="single" w:sz="8" w:color="DCDDDE"/>
            </w:tcBorders>
          </w:tcPr>
          <w:p>
            <w:pPr>
              <w:spacing w:after="0"/>
              <w:rPr>
                <w:sz w:val="3"/>
                <w:szCs w:val="3"/>
                <w:color w:val="auto"/>
              </w:rPr>
            </w:pPr>
          </w:p>
        </w:tc>
        <w:tc>
          <w:tcPr>
            <w:tcW w:w="120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640" w:type="dxa"/>
            <w:vAlign w:val="bottom"/>
            <w:vMerge w:val="continue"/>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10,320</w:t>
            </w:r>
          </w:p>
        </w:tc>
        <w:tc>
          <w:tcPr>
            <w:tcW w:w="140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29.880</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03/17/2026</w:t>
            </w: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640" w:type="dxa"/>
            <w:vAlign w:val="bottom"/>
          </w:tcPr>
          <w:p>
            <w:pPr>
              <w:spacing w:after="0"/>
              <w:rPr>
                <w:sz w:val="5"/>
                <w:szCs w:val="5"/>
                <w:color w:val="auto"/>
              </w:rPr>
            </w:pPr>
          </w:p>
        </w:tc>
        <w:tc>
          <w:tcPr>
            <w:tcW w:w="1060" w:type="dxa"/>
            <w:vAlign w:val="bottom"/>
            <w:tcBorders>
              <w:bottom w:val="single" w:sz="8" w:color="DCDDDE"/>
            </w:tcBorders>
            <w:vMerge w:val="continue"/>
          </w:tcPr>
          <w:p>
            <w:pPr>
              <w:spacing w:after="0"/>
              <w:rPr>
                <w:sz w:val="5"/>
                <w:szCs w:val="5"/>
                <w:color w:val="auto"/>
              </w:rPr>
            </w:pPr>
          </w:p>
        </w:tc>
        <w:tc>
          <w:tcPr>
            <w:tcW w:w="1400" w:type="dxa"/>
            <w:vAlign w:val="bottom"/>
            <w:tcBorders>
              <w:bottom w:val="single" w:sz="8" w:color="DCDDDE"/>
            </w:tcBorders>
            <w:gridSpan w:val="2"/>
            <w:vMerge w:val="continue"/>
          </w:tcPr>
          <w:p>
            <w:pPr>
              <w:spacing w:after="0"/>
              <w:rPr>
                <w:sz w:val="5"/>
                <w:szCs w:val="5"/>
                <w:color w:val="auto"/>
              </w:rPr>
            </w:pPr>
          </w:p>
        </w:tc>
        <w:tc>
          <w:tcPr>
            <w:tcW w:w="800" w:type="dxa"/>
            <w:vAlign w:val="bottom"/>
            <w:tcBorders>
              <w:bottom w:val="single" w:sz="8" w:color="DCDDDE"/>
            </w:tcBorders>
            <w:vMerge w:val="continue"/>
          </w:tcPr>
          <w:p>
            <w:pPr>
              <w:spacing w:after="0"/>
              <w:rPr>
                <w:sz w:val="5"/>
                <w:szCs w:val="5"/>
                <w:color w:val="auto"/>
              </w:rPr>
            </w:pPr>
          </w:p>
        </w:tc>
        <w:tc>
          <w:tcPr>
            <w:tcW w:w="980" w:type="dxa"/>
            <w:vAlign w:val="bottom"/>
            <w:tcBorders>
              <w:bottom w:val="single" w:sz="8" w:color="DCDDDE"/>
            </w:tcBorders>
            <w:gridSpan w:val="2"/>
            <w:vMerge w:val="continue"/>
          </w:tcPr>
          <w:p>
            <w:pPr>
              <w:spacing w:after="0"/>
              <w:rPr>
                <w:sz w:val="5"/>
                <w:szCs w:val="5"/>
                <w:color w:val="auto"/>
              </w:rPr>
            </w:pPr>
          </w:p>
        </w:tc>
        <w:tc>
          <w:tcPr>
            <w:tcW w:w="920" w:type="dxa"/>
            <w:vAlign w:val="bottom"/>
            <w:tcBorders>
              <w:bottom w:val="single" w:sz="8" w:color="DCDDDE"/>
            </w:tcBorders>
          </w:tcPr>
          <w:p>
            <w:pPr>
              <w:spacing w:after="0"/>
              <w:rPr>
                <w:sz w:val="5"/>
                <w:szCs w:val="5"/>
                <w:color w:val="auto"/>
              </w:rPr>
            </w:pPr>
          </w:p>
        </w:tc>
        <w:tc>
          <w:tcPr>
            <w:tcW w:w="980" w:type="dxa"/>
            <w:vAlign w:val="bottom"/>
            <w:tcBorders>
              <w:bottom w:val="single" w:sz="8" w:color="DCDDDE"/>
            </w:tcBorders>
          </w:tcPr>
          <w:p>
            <w:pPr>
              <w:spacing w:after="0"/>
              <w:rPr>
                <w:sz w:val="5"/>
                <w:szCs w:val="5"/>
                <w:color w:val="auto"/>
              </w:rPr>
            </w:pPr>
          </w:p>
        </w:tc>
        <w:tc>
          <w:tcPr>
            <w:tcW w:w="920" w:type="dxa"/>
            <w:vAlign w:val="bottom"/>
            <w:tcBorders>
              <w:bottom w:val="single" w:sz="8" w:color="DCDDDE"/>
            </w:tcBorders>
          </w:tcPr>
          <w:p>
            <w:pPr>
              <w:spacing w:after="0"/>
              <w:rPr>
                <w:sz w:val="5"/>
                <w:szCs w:val="5"/>
                <w:color w:val="auto"/>
              </w:rPr>
            </w:pPr>
          </w:p>
        </w:tc>
        <w:tc>
          <w:tcPr>
            <w:tcW w:w="340" w:type="dxa"/>
            <w:vAlign w:val="bottom"/>
            <w:tcBorders>
              <w:bottom w:val="single" w:sz="8" w:color="DCDDDE"/>
            </w:tcBorders>
          </w:tcPr>
          <w:p>
            <w:pPr>
              <w:spacing w:after="0"/>
              <w:rPr>
                <w:sz w:val="5"/>
                <w:szCs w:val="5"/>
                <w:color w:val="auto"/>
              </w:rPr>
            </w:pPr>
          </w:p>
        </w:tc>
        <w:tc>
          <w:tcPr>
            <w:tcW w:w="1200" w:type="dxa"/>
            <w:vAlign w:val="bottom"/>
            <w:tcBorders>
              <w:bottom w:val="single" w:sz="8" w:color="DCDDDE"/>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10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40,220</w:t>
            </w:r>
          </w:p>
        </w:tc>
        <w:tc>
          <w:tcPr>
            <w:tcW w:w="1400" w:type="dxa"/>
            <w:vAlign w:val="bottom"/>
            <w:tcBorders>
              <w:bottom w:val="single" w:sz="8" w:color="DCDDDE"/>
            </w:tcBorders>
            <w:gridSpan w:val="2"/>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37.460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03/16/2027</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92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10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55,800</w:t>
            </w:r>
          </w:p>
        </w:tc>
        <w:tc>
          <w:tcPr>
            <w:tcW w:w="1400" w:type="dxa"/>
            <w:vAlign w:val="bottom"/>
            <w:tcBorders>
              <w:bottom w:val="single" w:sz="8" w:color="DCDDDE"/>
            </w:tcBorders>
            <w:gridSpan w:val="2"/>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35.830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03/15/2028</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92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10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45,600</w:t>
            </w:r>
          </w:p>
        </w:tc>
        <w:tc>
          <w:tcPr>
            <w:tcW w:w="1400" w:type="dxa"/>
            <w:vAlign w:val="bottom"/>
            <w:tcBorders>
              <w:bottom w:val="single" w:sz="8" w:color="DCDDDE"/>
            </w:tcBorders>
            <w:gridSpan w:val="2"/>
          </w:tcPr>
          <w:p>
            <w:pPr>
              <w:jc w:val="right"/>
              <w:ind w:right="9"/>
              <w:spacing w:after="0"/>
              <w:rPr>
                <w:sz w:val="20"/>
                <w:szCs w:val="20"/>
                <w:color w:val="auto"/>
              </w:rPr>
            </w:pPr>
            <w:r>
              <w:rPr>
                <w:rFonts w:ascii="Arial" w:cs="Arial" w:eastAsia="Arial" w:hAnsi="Arial"/>
                <w:sz w:val="14"/>
                <w:szCs w:val="14"/>
                <w:color w:val="auto"/>
              </w:rPr>
              <w:t>11,400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40.470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03/14/2029</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92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10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50,700</w:t>
            </w:r>
          </w:p>
        </w:tc>
        <w:tc>
          <w:tcPr>
            <w:tcW w:w="1400" w:type="dxa"/>
            <w:vAlign w:val="bottom"/>
            <w:tcBorders>
              <w:bottom w:val="single" w:sz="8" w:color="DCDDDE"/>
            </w:tcBorders>
            <w:gridSpan w:val="2"/>
          </w:tcPr>
          <w:p>
            <w:pPr>
              <w:jc w:val="right"/>
              <w:ind w:right="9"/>
              <w:spacing w:after="0"/>
              <w:rPr>
                <w:sz w:val="20"/>
                <w:szCs w:val="20"/>
                <w:color w:val="auto"/>
              </w:rPr>
            </w:pPr>
            <w:r>
              <w:rPr>
                <w:rFonts w:ascii="Arial" w:cs="Arial" w:eastAsia="Arial" w:hAnsi="Arial"/>
                <w:sz w:val="14"/>
                <w:szCs w:val="14"/>
                <w:color w:val="auto"/>
              </w:rPr>
              <w:t>33,800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42.520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03/01/2030</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92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Pr>
          <w:p>
            <w:pPr>
              <w:spacing w:after="0"/>
              <w:rPr>
                <w:sz w:val="18"/>
                <w:szCs w:val="18"/>
                <w:color w:val="auto"/>
              </w:rPr>
            </w:pPr>
          </w:p>
        </w:tc>
        <w:tc>
          <w:tcPr>
            <w:tcW w:w="10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22,840</w:t>
            </w:r>
          </w:p>
        </w:tc>
        <w:tc>
          <w:tcPr>
            <w:tcW w:w="1400" w:type="dxa"/>
            <w:vAlign w:val="bottom"/>
            <w:tcBorders>
              <w:bottom w:val="single" w:sz="8" w:color="DCDDDE"/>
            </w:tcBorders>
            <w:gridSpan w:val="2"/>
          </w:tcPr>
          <w:p>
            <w:pPr>
              <w:jc w:val="right"/>
              <w:ind w:right="9"/>
              <w:spacing w:after="0"/>
              <w:rPr>
                <w:sz w:val="20"/>
                <w:szCs w:val="20"/>
                <w:color w:val="auto"/>
              </w:rPr>
            </w:pPr>
            <w:r>
              <w:rPr>
                <w:rFonts w:ascii="Arial" w:cs="Arial" w:eastAsia="Arial" w:hAnsi="Arial"/>
                <w:sz w:val="14"/>
                <w:szCs w:val="14"/>
                <w:color w:val="auto"/>
              </w:rPr>
              <w:t>34,260</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54.450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02/28/2031</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92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106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13,621</w:t>
            </w:r>
          </w:p>
        </w:tc>
        <w:tc>
          <w:tcPr>
            <w:tcW w:w="1400" w:type="dxa"/>
            <w:vAlign w:val="bottom"/>
            <w:tcBorders>
              <w:bottom w:val="single" w:sz="8" w:color="DCDDDE"/>
            </w:tcBorders>
            <w:gridSpan w:val="2"/>
          </w:tcPr>
          <w:p>
            <w:pPr>
              <w:jc w:val="right"/>
              <w:ind w:right="9"/>
              <w:spacing w:after="0"/>
              <w:rPr>
                <w:sz w:val="20"/>
                <w:szCs w:val="20"/>
                <w:color w:val="auto"/>
              </w:rPr>
            </w:pPr>
            <w:r>
              <w:rPr>
                <w:rFonts w:ascii="Arial" w:cs="Arial" w:eastAsia="Arial" w:hAnsi="Arial"/>
                <w:sz w:val="14"/>
                <w:szCs w:val="14"/>
                <w:color w:val="auto"/>
              </w:rPr>
              <w:t>54,484</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46.390</w:t>
            </w:r>
          </w:p>
        </w:tc>
        <w:tc>
          <w:tcPr>
            <w:tcW w:w="980" w:type="dxa"/>
            <w:vAlign w:val="bottom"/>
            <w:tcBorders>
              <w:bottom w:val="single" w:sz="8" w:color="DCDDDE"/>
            </w:tcBorders>
            <w:gridSpan w:val="2"/>
          </w:tcPr>
          <w:p>
            <w:pPr>
              <w:jc w:val="right"/>
              <w:ind w:right="100"/>
              <w:spacing w:after="0"/>
              <w:rPr>
                <w:sz w:val="20"/>
                <w:szCs w:val="20"/>
                <w:color w:val="auto"/>
              </w:rPr>
            </w:pPr>
            <w:r>
              <w:rPr>
                <w:rFonts w:ascii="Arial" w:cs="Arial" w:eastAsia="Arial" w:hAnsi="Arial"/>
                <w:sz w:val="14"/>
                <w:szCs w:val="14"/>
                <w:color w:val="auto"/>
              </w:rPr>
              <w:t>02/29/2032</w:t>
            </w:r>
          </w:p>
        </w:tc>
        <w:tc>
          <w:tcPr>
            <w:tcW w:w="9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spacing w:after="0"/>
              <w:rPr>
                <w:sz w:val="18"/>
                <w:szCs w:val="18"/>
                <w:color w:val="auto"/>
              </w:rPr>
            </w:pPr>
          </w:p>
        </w:tc>
        <w:tc>
          <w:tcPr>
            <w:tcW w:w="920" w:type="dxa"/>
            <w:vAlign w:val="bottom"/>
            <w:tcBorders>
              <w:bottom w:val="single" w:sz="8" w:color="DCDDDE"/>
            </w:tcBorders>
          </w:tcPr>
          <w:p>
            <w:pPr>
              <w:spacing w:after="0"/>
              <w:rPr>
                <w:sz w:val="18"/>
                <w:szCs w:val="18"/>
                <w:color w:val="auto"/>
              </w:rPr>
            </w:pPr>
          </w:p>
        </w:tc>
        <w:tc>
          <w:tcPr>
            <w:tcW w:w="340" w:type="dxa"/>
            <w:vAlign w:val="bottom"/>
            <w:tcBorders>
              <w:bottom w:val="single" w:sz="8" w:color="DCDDDE"/>
            </w:tcBorders>
          </w:tcPr>
          <w:p>
            <w:pPr>
              <w:spacing w:after="0"/>
              <w:rPr>
                <w:sz w:val="18"/>
                <w:szCs w:val="18"/>
                <w:color w:val="auto"/>
              </w:rPr>
            </w:pPr>
          </w:p>
        </w:tc>
        <w:tc>
          <w:tcPr>
            <w:tcW w:w="120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72,030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36.630</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02/28/2033</w:t>
            </w:r>
          </w:p>
        </w:tc>
        <w:tc>
          <w:tcPr>
            <w:tcW w:w="9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jc w:val="both"/>
        <w:ind w:left="320" w:right="220" w:hanging="312"/>
        <w:spacing w:after="0" w:line="244" w:lineRule="auto"/>
        <w:tabs>
          <w:tab w:leader="none" w:pos="320" w:val="left"/>
        </w:tabs>
        <w:numPr>
          <w:ilvl w:val="0"/>
          <w:numId w:val="87"/>
        </w:numPr>
        <w:rPr>
          <w:rFonts w:ascii="Arial" w:cs="Arial" w:eastAsia="Arial" w:hAnsi="Arial"/>
          <w:sz w:val="13"/>
          <w:szCs w:val="13"/>
          <w:color w:val="auto"/>
        </w:rPr>
      </w:pPr>
      <w:r>
        <w:rPr>
          <w:rFonts w:ascii="Arial" w:cs="Arial" w:eastAsia="Arial" w:hAnsi="Arial"/>
          <w:sz w:val="15"/>
          <w:szCs w:val="15"/>
          <w:color w:val="auto"/>
        </w:rPr>
        <w:t>Mr. Cavanagh assigned to a family trust a portion of his vested stock options as follows: 321,732 shares from stock options expiring on May 14, 2025; 419,520 shares from stock options expiring on March 17, 2026; 258,615 shares from stock options expiring on March 16, 2027; and 167,910 shares from stock options expiring on March 15, 2028.</w:t>
      </w:r>
    </w:p>
    <w:p>
      <w:pPr>
        <w:spacing w:after="0" w:line="94" w:lineRule="exact"/>
        <w:rPr>
          <w:rFonts w:ascii="Arial" w:cs="Arial" w:eastAsia="Arial" w:hAnsi="Arial"/>
          <w:sz w:val="13"/>
          <w:szCs w:val="13"/>
          <w:color w:val="auto"/>
        </w:rPr>
      </w:pPr>
    </w:p>
    <w:p>
      <w:pPr>
        <w:ind w:left="320" w:hanging="312"/>
        <w:spacing w:after="0" w:line="234" w:lineRule="auto"/>
        <w:tabs>
          <w:tab w:leader="none" w:pos="320" w:val="left"/>
        </w:tabs>
        <w:numPr>
          <w:ilvl w:val="0"/>
          <w:numId w:val="87"/>
        </w:numPr>
        <w:rPr>
          <w:rFonts w:ascii="Arial" w:cs="Arial" w:eastAsia="Arial" w:hAnsi="Arial"/>
          <w:sz w:val="13"/>
          <w:szCs w:val="13"/>
          <w:color w:val="auto"/>
        </w:rPr>
      </w:pPr>
      <w:r>
        <w:rPr>
          <w:rFonts w:ascii="Arial" w:cs="Arial" w:eastAsia="Arial" w:hAnsi="Arial"/>
          <w:sz w:val="15"/>
          <w:szCs w:val="15"/>
          <w:color w:val="auto"/>
        </w:rPr>
        <w:t>The expiration date occurs one day prior to the tenth anniversary of the grant date. Stock options that expire on or prior to March 1, 2030 have the following vesting schedule: 30%, 15%, 15%, 15%, 5%, 5%, 5%, 5% and 5% on the second, third, fourth, fifth, sixth, seventh, eighth, ninth and nine and a half anniversaries of the grant date, respectively. Stock options that expire on February 28, 2031 have the following vesting schedule: 40%, 20%, 20% and 20% on the second, third, fourth and fifth anniversaries of the grant date, respectively. Stock options that expire on or after February 29, 2032 have the following vesting schedule: 20% on each of the first, second, third, fourth and fifth anniversaries of the grant date. The performance-based stock option granted to Mr. Cavanagh on December 30, 2022 (the “Performance Option”) vests in full on February 1, 2028.</w:t>
      </w:r>
    </w:p>
    <w:p>
      <w:pPr>
        <w:spacing w:after="0" w:line="97" w:lineRule="exact"/>
        <w:rPr>
          <w:rFonts w:ascii="Arial" w:cs="Arial" w:eastAsia="Arial" w:hAnsi="Arial"/>
          <w:sz w:val="13"/>
          <w:szCs w:val="13"/>
          <w:color w:val="auto"/>
        </w:rPr>
      </w:pPr>
    </w:p>
    <w:p>
      <w:pPr>
        <w:jc w:val="both"/>
        <w:ind w:left="320" w:right="300" w:hanging="312"/>
        <w:spacing w:after="0" w:line="264" w:lineRule="auto"/>
        <w:tabs>
          <w:tab w:leader="none" w:pos="320" w:val="left"/>
        </w:tabs>
        <w:numPr>
          <w:ilvl w:val="0"/>
          <w:numId w:val="87"/>
        </w:numPr>
        <w:rPr>
          <w:rFonts w:ascii="Arial" w:cs="Arial" w:eastAsia="Arial" w:hAnsi="Arial"/>
          <w:sz w:val="13"/>
          <w:szCs w:val="13"/>
          <w:color w:val="auto"/>
        </w:rPr>
      </w:pPr>
      <w:r>
        <w:rPr>
          <w:rFonts w:ascii="Arial" w:cs="Arial" w:eastAsia="Arial" w:hAnsi="Arial"/>
          <w:sz w:val="15"/>
          <w:szCs w:val="15"/>
          <w:color w:val="auto"/>
        </w:rPr>
        <w:t>Our equity awards contain provisions for continued vesting upon certain employees attaining retirement eligible status. This table does not reflect accelerated vesting resulting from the attainment of retirement eligible status. See “Potential Payments upon Termination or Change in Control” for additional information.</w:t>
      </w:r>
    </w:p>
    <w:p>
      <w:pPr>
        <w:spacing w:after="0" w:line="23" w:lineRule="exact"/>
        <w:rPr>
          <w:rFonts w:ascii="Arial" w:cs="Arial" w:eastAsia="Arial" w:hAnsi="Arial"/>
          <w:sz w:val="13"/>
          <w:szCs w:val="13"/>
          <w:color w:val="auto"/>
        </w:rPr>
      </w:pPr>
    </w:p>
    <w:p>
      <w:pPr>
        <w:ind w:left="320" w:hanging="312"/>
        <w:spacing w:after="0"/>
        <w:tabs>
          <w:tab w:leader="none" w:pos="320" w:val="left"/>
        </w:tabs>
        <w:numPr>
          <w:ilvl w:val="0"/>
          <w:numId w:val="87"/>
        </w:numPr>
        <w:rPr>
          <w:rFonts w:ascii="Arial" w:cs="Arial" w:eastAsia="Arial" w:hAnsi="Arial"/>
          <w:sz w:val="25"/>
          <w:szCs w:val="25"/>
          <w:color w:val="auto"/>
          <w:vertAlign w:val="superscript"/>
        </w:rPr>
      </w:pPr>
      <w:r>
        <w:rPr>
          <w:rFonts w:ascii="Arial" w:cs="Arial" w:eastAsia="Arial" w:hAnsi="Arial"/>
          <w:sz w:val="15"/>
          <w:szCs w:val="15"/>
          <w:color w:val="auto"/>
        </w:rPr>
        <w:t>The number of shares underlying each outstanding stock unit</w:t>
      </w:r>
      <w:r>
        <w:rPr>
          <w:rFonts w:ascii="Arial" w:cs="Arial" w:eastAsia="Arial" w:hAnsi="Arial"/>
          <w:sz w:val="25"/>
          <w:szCs w:val="25"/>
          <w:color w:val="auto"/>
          <w:vertAlign w:val="superscript"/>
        </w:rPr>
        <w:t>(a)</w:t>
      </w:r>
      <w:r>
        <w:rPr>
          <w:rFonts w:ascii="Arial" w:cs="Arial" w:eastAsia="Arial" w:hAnsi="Arial"/>
          <w:sz w:val="15"/>
          <w:szCs w:val="15"/>
          <w:color w:val="auto"/>
        </w:rPr>
        <w:t xml:space="preserve"> for the NEOs that remain subject to vesting are as follows:</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BRIAN L.</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MICHAEL J.</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JASON S.</w:t>
            </w:r>
          </w:p>
        </w:tc>
        <w:tc>
          <w:tcPr>
            <w:tcW w:w="300" w:type="dxa"/>
            <w:vAlign w:val="bottom"/>
          </w:tcPr>
          <w:p>
            <w:pPr>
              <w:spacing w:after="0"/>
              <w:rPr>
                <w:sz w:val="14"/>
                <w:szCs w:val="14"/>
                <w:color w:val="auto"/>
              </w:rPr>
            </w:pPr>
          </w:p>
        </w:tc>
        <w:tc>
          <w:tcPr>
            <w:tcW w:w="118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THOMAS J.</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JENNIFER</w:t>
            </w:r>
          </w:p>
        </w:tc>
      </w:tr>
      <w:tr>
        <w:trPr>
          <w:trHeight w:val="197"/>
        </w:trPr>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GRANT DATE</w:t>
            </w:r>
          </w:p>
        </w:tc>
        <w:tc>
          <w:tcPr>
            <w:tcW w:w="1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ROBERTS</w:t>
            </w: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CAVANAGH</w:t>
            </w:r>
          </w:p>
        </w:tc>
        <w:tc>
          <w:tcPr>
            <w:tcW w:w="1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ARMSTRONG</w:t>
            </w:r>
          </w:p>
        </w:tc>
        <w:tc>
          <w:tcPr>
            <w:tcW w:w="6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REID</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KHOURY</w:t>
            </w:r>
          </w:p>
        </w:tc>
      </w:tr>
      <w:tr>
        <w:trPr>
          <w:trHeight w:val="207"/>
        </w:trPr>
        <w:tc>
          <w:tcPr>
            <w:tcW w:w="17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01/04/2019</w:t>
            </w:r>
          </w:p>
        </w:tc>
        <w:tc>
          <w:tcPr>
            <w:tcW w:w="12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7"/>
                <w:szCs w:val="17"/>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7"/>
                <w:szCs w:val="17"/>
                <w:color w:val="auto"/>
              </w:rPr>
            </w:pPr>
          </w:p>
        </w:tc>
        <w:tc>
          <w:tcPr>
            <w:tcW w:w="980" w:type="dxa"/>
            <w:vAlign w:val="bottom"/>
            <w:tcBorders>
              <w:bottom w:val="single" w:sz="8" w:color="DCDDDE"/>
            </w:tcBorders>
          </w:tcPr>
          <w:p>
            <w:pPr>
              <w:jc w:val="right"/>
              <w:ind w:right="248"/>
              <w:spacing w:after="0"/>
              <w:rPr>
                <w:sz w:val="20"/>
                <w:szCs w:val="20"/>
                <w:color w:val="auto"/>
              </w:rPr>
            </w:pPr>
            <w:r>
              <w:rPr>
                <w:rFonts w:ascii="Arial" w:cs="Arial" w:eastAsia="Arial" w:hAnsi="Arial"/>
                <w:sz w:val="14"/>
                <w:szCs w:val="14"/>
                <w:color w:val="auto"/>
              </w:rPr>
              <w:t>5,592</w:t>
            </w:r>
          </w:p>
        </w:tc>
        <w:tc>
          <w:tcPr>
            <w:tcW w:w="300" w:type="dxa"/>
            <w:vAlign w:val="bottom"/>
            <w:tcBorders>
              <w:bottom w:val="single" w:sz="8" w:color="DCDDDE"/>
            </w:tcBorders>
          </w:tcPr>
          <w:p>
            <w:pPr>
              <w:spacing w:after="0"/>
              <w:rPr>
                <w:sz w:val="17"/>
                <w:szCs w:val="17"/>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CDDDE"/>
            </w:tcBorders>
          </w:tcPr>
          <w:p>
            <w:pPr>
              <w:spacing w:after="0"/>
              <w:rPr>
                <w:sz w:val="17"/>
                <w:szCs w:val="17"/>
                <w:color w:val="auto"/>
              </w:rPr>
            </w:pPr>
          </w:p>
        </w:tc>
        <w:tc>
          <w:tcPr>
            <w:tcW w:w="66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7"/>
                <w:szCs w:val="17"/>
                <w:color w:val="auto"/>
              </w:rPr>
            </w:pPr>
          </w:p>
        </w:tc>
      </w:tr>
      <w:tr>
        <w:trPr>
          <w:trHeight w:val="209"/>
        </w:trPr>
        <w:tc>
          <w:tcPr>
            <w:tcW w:w="17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02/15/2019</w:t>
            </w:r>
          </w:p>
        </w:tc>
        <w:tc>
          <w:tcPr>
            <w:tcW w:w="12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jc w:val="right"/>
              <w:ind w:right="248"/>
              <w:spacing w:after="0"/>
              <w:rPr>
                <w:sz w:val="20"/>
                <w:szCs w:val="20"/>
                <w:color w:val="auto"/>
              </w:rPr>
            </w:pPr>
            <w:r>
              <w:rPr>
                <w:rFonts w:ascii="Arial" w:cs="Arial" w:eastAsia="Arial" w:hAnsi="Arial"/>
                <w:sz w:val="14"/>
                <w:szCs w:val="14"/>
                <w:color w:val="auto"/>
              </w:rPr>
              <w:t>5,296</w:t>
            </w:r>
          </w:p>
        </w:tc>
        <w:tc>
          <w:tcPr>
            <w:tcW w:w="300" w:type="dxa"/>
            <w:vAlign w:val="bottom"/>
            <w:tcBorders>
              <w:bottom w:val="single" w:sz="8" w:color="DCDDDE"/>
            </w:tcBorders>
          </w:tcPr>
          <w:p>
            <w:pPr>
              <w:spacing w:after="0"/>
              <w:rPr>
                <w:sz w:val="18"/>
                <w:szCs w:val="18"/>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CDDDE"/>
            </w:tcBorders>
          </w:tcPr>
          <w:p>
            <w:pPr>
              <w:spacing w:after="0"/>
              <w:rPr>
                <w:sz w:val="18"/>
                <w:szCs w:val="18"/>
                <w:color w:val="auto"/>
              </w:rPr>
            </w:pPr>
          </w:p>
        </w:tc>
        <w:tc>
          <w:tcPr>
            <w:tcW w:w="66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r>
      <w:tr>
        <w:trPr>
          <w:trHeight w:val="210"/>
        </w:trPr>
        <w:tc>
          <w:tcPr>
            <w:tcW w:w="17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03/15/2019</w:t>
            </w:r>
          </w:p>
        </w:tc>
        <w:tc>
          <w:tcPr>
            <w:tcW w:w="12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66,100</w:t>
            </w:r>
          </w:p>
        </w:tc>
        <w:tc>
          <w:tcPr>
            <w:tcW w:w="320" w:type="dxa"/>
            <w:vAlign w:val="bottom"/>
            <w:tcBorders>
              <w:bottom w:val="single" w:sz="8" w:color="DCDDDE"/>
            </w:tcBorders>
          </w:tcPr>
          <w:p>
            <w:pPr>
              <w:jc w:val="right"/>
              <w:ind w:right="80"/>
              <w:spacing w:after="0"/>
              <w:rPr>
                <w:sz w:val="20"/>
                <w:szCs w:val="20"/>
                <w:color w:val="auto"/>
              </w:rPr>
            </w:pPr>
            <w:r>
              <w:rPr>
                <w:rFonts w:ascii="Arial" w:cs="Arial" w:eastAsia="Arial" w:hAnsi="Arial"/>
                <w:sz w:val="12"/>
                <w:szCs w:val="12"/>
                <w:color w:val="auto"/>
              </w:rPr>
              <w:t>(b)</w:t>
            </w: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83,400</w:t>
            </w:r>
          </w:p>
        </w:tc>
        <w:tc>
          <w:tcPr>
            <w:tcW w:w="320" w:type="dxa"/>
            <w:vAlign w:val="bottom"/>
            <w:tcBorders>
              <w:bottom w:val="single" w:sz="8" w:color="DCDDDE"/>
            </w:tcBorders>
          </w:tcPr>
          <w:p>
            <w:pPr>
              <w:jc w:val="right"/>
              <w:ind w:right="80"/>
              <w:spacing w:after="0"/>
              <w:rPr>
                <w:sz w:val="20"/>
                <w:szCs w:val="20"/>
                <w:color w:val="auto"/>
              </w:rPr>
            </w:pPr>
            <w:r>
              <w:rPr>
                <w:rFonts w:ascii="Arial" w:cs="Arial" w:eastAsia="Arial" w:hAnsi="Arial"/>
                <w:sz w:val="12"/>
                <w:szCs w:val="12"/>
                <w:color w:val="auto"/>
              </w:rPr>
              <w:t>(b)</w:t>
            </w:r>
          </w:p>
        </w:tc>
        <w:tc>
          <w:tcPr>
            <w:tcW w:w="980" w:type="dxa"/>
            <w:vAlign w:val="bottom"/>
            <w:tcBorders>
              <w:bottom w:val="single" w:sz="8" w:color="DCDDDE"/>
            </w:tcBorders>
          </w:tcPr>
          <w:p>
            <w:pPr>
              <w:jc w:val="right"/>
              <w:ind w:right="248"/>
              <w:spacing w:after="0"/>
              <w:rPr>
                <w:sz w:val="20"/>
                <w:szCs w:val="20"/>
                <w:color w:val="auto"/>
              </w:rPr>
            </w:pPr>
            <w:r>
              <w:rPr>
                <w:rFonts w:ascii="Arial" w:cs="Arial" w:eastAsia="Arial" w:hAnsi="Arial"/>
                <w:sz w:val="14"/>
                <w:szCs w:val="14"/>
                <w:color w:val="auto"/>
              </w:rPr>
              <w:t>6,440</w:t>
            </w:r>
          </w:p>
        </w:tc>
        <w:tc>
          <w:tcPr>
            <w:tcW w:w="300" w:type="dxa"/>
            <w:vAlign w:val="bottom"/>
            <w:tcBorders>
              <w:bottom w:val="single" w:sz="8" w:color="DCDDDE"/>
            </w:tcBorders>
          </w:tcPr>
          <w:p>
            <w:pPr>
              <w:spacing w:after="0"/>
              <w:rPr>
                <w:sz w:val="18"/>
                <w:szCs w:val="18"/>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CDDDE"/>
            </w:tcBorders>
          </w:tcPr>
          <w:p>
            <w:pPr>
              <w:spacing w:after="0"/>
              <w:rPr>
                <w:sz w:val="18"/>
                <w:szCs w:val="18"/>
                <w:color w:val="auto"/>
              </w:rPr>
            </w:pPr>
          </w:p>
        </w:tc>
        <w:tc>
          <w:tcPr>
            <w:tcW w:w="66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4,440</w:t>
            </w:r>
          </w:p>
        </w:tc>
        <w:tc>
          <w:tcPr>
            <w:tcW w:w="320" w:type="dxa"/>
            <w:vAlign w:val="bottom"/>
            <w:tcBorders>
              <w:bottom w:val="single" w:sz="8" w:color="DCDDDE"/>
            </w:tcBorders>
          </w:tcPr>
          <w:p>
            <w:pPr>
              <w:spacing w:after="0"/>
              <w:rPr>
                <w:sz w:val="18"/>
                <w:szCs w:val="18"/>
                <w:color w:val="auto"/>
              </w:rPr>
            </w:pPr>
          </w:p>
        </w:tc>
      </w:tr>
      <w:tr>
        <w:trPr>
          <w:trHeight w:val="210"/>
        </w:trPr>
        <w:tc>
          <w:tcPr>
            <w:tcW w:w="17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03/29/2019</w:t>
            </w:r>
          </w:p>
        </w:tc>
        <w:tc>
          <w:tcPr>
            <w:tcW w:w="12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jc w:val="right"/>
              <w:ind w:right="2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CDDDE"/>
            </w:tcBorders>
          </w:tcPr>
          <w:p>
            <w:pPr>
              <w:spacing w:after="0"/>
              <w:rPr>
                <w:sz w:val="18"/>
                <w:szCs w:val="18"/>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CDDDE"/>
            </w:tcBorders>
          </w:tcPr>
          <w:p>
            <w:pPr>
              <w:spacing w:after="0"/>
              <w:rPr>
                <w:sz w:val="18"/>
                <w:szCs w:val="18"/>
                <w:color w:val="auto"/>
              </w:rPr>
            </w:pPr>
          </w:p>
        </w:tc>
        <w:tc>
          <w:tcPr>
            <w:tcW w:w="66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2,408</w:t>
            </w:r>
          </w:p>
        </w:tc>
        <w:tc>
          <w:tcPr>
            <w:tcW w:w="320" w:type="dxa"/>
            <w:vAlign w:val="bottom"/>
            <w:tcBorders>
              <w:bottom w:val="single" w:sz="8" w:color="DCDDDE"/>
            </w:tcBorders>
          </w:tcPr>
          <w:p>
            <w:pPr>
              <w:spacing w:after="0"/>
              <w:rPr>
                <w:sz w:val="18"/>
                <w:szCs w:val="18"/>
                <w:color w:val="auto"/>
              </w:rPr>
            </w:pPr>
          </w:p>
        </w:tc>
      </w:tr>
      <w:tr>
        <w:trPr>
          <w:trHeight w:val="209"/>
        </w:trPr>
        <w:tc>
          <w:tcPr>
            <w:tcW w:w="17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07/05/2019</w:t>
            </w:r>
          </w:p>
        </w:tc>
        <w:tc>
          <w:tcPr>
            <w:tcW w:w="12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jc w:val="right"/>
              <w:ind w:right="2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CDDDE"/>
            </w:tcBorders>
          </w:tcPr>
          <w:p>
            <w:pPr>
              <w:spacing w:after="0"/>
              <w:rPr>
                <w:sz w:val="18"/>
                <w:szCs w:val="18"/>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31,200</w:t>
            </w:r>
          </w:p>
        </w:tc>
        <w:tc>
          <w:tcPr>
            <w:tcW w:w="500" w:type="dxa"/>
            <w:vAlign w:val="bottom"/>
            <w:tcBorders>
              <w:bottom w:val="single" w:sz="8" w:color="DCDDDE"/>
            </w:tcBorders>
          </w:tcPr>
          <w:p>
            <w:pPr>
              <w:spacing w:after="0"/>
              <w:rPr>
                <w:sz w:val="18"/>
                <w:szCs w:val="18"/>
                <w:color w:val="auto"/>
              </w:rPr>
            </w:pPr>
          </w:p>
        </w:tc>
        <w:tc>
          <w:tcPr>
            <w:tcW w:w="66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r>
      <w:tr>
        <w:trPr>
          <w:trHeight w:val="210"/>
        </w:trPr>
        <w:tc>
          <w:tcPr>
            <w:tcW w:w="17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03/02/2020</w:t>
            </w:r>
          </w:p>
        </w:tc>
        <w:tc>
          <w:tcPr>
            <w:tcW w:w="12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171,393</w:t>
            </w:r>
          </w:p>
        </w:tc>
        <w:tc>
          <w:tcPr>
            <w:tcW w:w="320" w:type="dxa"/>
            <w:vAlign w:val="bottom"/>
            <w:tcBorders>
              <w:bottom w:val="single" w:sz="8" w:color="DCDDDE"/>
            </w:tcBorders>
          </w:tcPr>
          <w:p>
            <w:pPr>
              <w:jc w:val="right"/>
              <w:ind w:right="80"/>
              <w:spacing w:after="0"/>
              <w:rPr>
                <w:sz w:val="20"/>
                <w:szCs w:val="20"/>
                <w:color w:val="auto"/>
              </w:rPr>
            </w:pPr>
            <w:r>
              <w:rPr>
                <w:rFonts w:ascii="Arial" w:cs="Arial" w:eastAsia="Arial" w:hAnsi="Arial"/>
                <w:sz w:val="12"/>
                <w:szCs w:val="12"/>
                <w:color w:val="auto"/>
              </w:rPr>
              <w:t>(b)</w:t>
            </w: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113,987</w:t>
            </w:r>
          </w:p>
        </w:tc>
        <w:tc>
          <w:tcPr>
            <w:tcW w:w="320" w:type="dxa"/>
            <w:vAlign w:val="bottom"/>
            <w:tcBorders>
              <w:bottom w:val="single" w:sz="8" w:color="DCDDDE"/>
            </w:tcBorders>
          </w:tcPr>
          <w:p>
            <w:pPr>
              <w:jc w:val="right"/>
              <w:ind w:right="80"/>
              <w:spacing w:after="0"/>
              <w:rPr>
                <w:sz w:val="20"/>
                <w:szCs w:val="20"/>
                <w:color w:val="auto"/>
              </w:rPr>
            </w:pPr>
            <w:r>
              <w:rPr>
                <w:rFonts w:ascii="Arial" w:cs="Arial" w:eastAsia="Arial" w:hAnsi="Arial"/>
                <w:sz w:val="12"/>
                <w:szCs w:val="12"/>
                <w:color w:val="auto"/>
              </w:rPr>
              <w:t>(b)</w:t>
            </w:r>
          </w:p>
        </w:tc>
        <w:tc>
          <w:tcPr>
            <w:tcW w:w="980" w:type="dxa"/>
            <w:vAlign w:val="bottom"/>
            <w:tcBorders>
              <w:bottom w:val="single" w:sz="8" w:color="DCDDDE"/>
            </w:tcBorders>
          </w:tcPr>
          <w:p>
            <w:pPr>
              <w:jc w:val="right"/>
              <w:ind w:right="2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CDDDE"/>
            </w:tcBorders>
          </w:tcPr>
          <w:p>
            <w:pPr>
              <w:spacing w:after="0"/>
              <w:rPr>
                <w:sz w:val="18"/>
                <w:szCs w:val="18"/>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29,095</w:t>
            </w:r>
          </w:p>
        </w:tc>
        <w:tc>
          <w:tcPr>
            <w:tcW w:w="500" w:type="dxa"/>
            <w:vAlign w:val="bottom"/>
            <w:tcBorders>
              <w:bottom w:val="single" w:sz="8" w:color="DCDDDE"/>
            </w:tcBorders>
          </w:tcPr>
          <w:p>
            <w:pPr>
              <w:spacing w:after="0"/>
              <w:rPr>
                <w:sz w:val="18"/>
                <w:szCs w:val="18"/>
                <w:color w:val="auto"/>
              </w:rPr>
            </w:pPr>
          </w:p>
        </w:tc>
        <w:tc>
          <w:tcPr>
            <w:tcW w:w="66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7,095</w:t>
            </w:r>
          </w:p>
        </w:tc>
        <w:tc>
          <w:tcPr>
            <w:tcW w:w="320" w:type="dxa"/>
            <w:vAlign w:val="bottom"/>
            <w:tcBorders>
              <w:bottom w:val="single" w:sz="8" w:color="DCDDDE"/>
            </w:tcBorders>
          </w:tcPr>
          <w:p>
            <w:pPr>
              <w:spacing w:after="0"/>
              <w:rPr>
                <w:sz w:val="18"/>
                <w:szCs w:val="18"/>
                <w:color w:val="auto"/>
              </w:rPr>
            </w:pPr>
          </w:p>
        </w:tc>
      </w:tr>
      <w:tr>
        <w:trPr>
          <w:trHeight w:val="209"/>
        </w:trPr>
        <w:tc>
          <w:tcPr>
            <w:tcW w:w="17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05/22/2020</w:t>
            </w:r>
          </w:p>
        </w:tc>
        <w:tc>
          <w:tcPr>
            <w:tcW w:w="12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jc w:val="right"/>
              <w:ind w:right="2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CDDDE"/>
            </w:tcBorders>
          </w:tcPr>
          <w:p>
            <w:pPr>
              <w:spacing w:after="0"/>
              <w:rPr>
                <w:sz w:val="18"/>
                <w:szCs w:val="18"/>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CDDDE"/>
            </w:tcBorders>
          </w:tcPr>
          <w:p>
            <w:pPr>
              <w:spacing w:after="0"/>
              <w:rPr>
                <w:sz w:val="18"/>
                <w:szCs w:val="18"/>
                <w:color w:val="auto"/>
              </w:rPr>
            </w:pPr>
          </w:p>
        </w:tc>
        <w:tc>
          <w:tcPr>
            <w:tcW w:w="66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21,296</w:t>
            </w:r>
          </w:p>
        </w:tc>
        <w:tc>
          <w:tcPr>
            <w:tcW w:w="320" w:type="dxa"/>
            <w:vAlign w:val="bottom"/>
            <w:tcBorders>
              <w:bottom w:val="single" w:sz="8" w:color="DCDDDE"/>
            </w:tcBorders>
          </w:tcPr>
          <w:p>
            <w:pPr>
              <w:spacing w:after="0"/>
              <w:rPr>
                <w:sz w:val="18"/>
                <w:szCs w:val="18"/>
                <w:color w:val="auto"/>
              </w:rPr>
            </w:pPr>
          </w:p>
        </w:tc>
      </w:tr>
      <w:tr>
        <w:trPr>
          <w:trHeight w:val="210"/>
        </w:trPr>
        <w:tc>
          <w:tcPr>
            <w:tcW w:w="17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06/05/2020</w:t>
            </w:r>
          </w:p>
        </w:tc>
        <w:tc>
          <w:tcPr>
            <w:tcW w:w="12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jc w:val="right"/>
              <w:ind w:right="248"/>
              <w:spacing w:after="0"/>
              <w:rPr>
                <w:sz w:val="20"/>
                <w:szCs w:val="20"/>
                <w:color w:val="auto"/>
              </w:rPr>
            </w:pPr>
            <w:r>
              <w:rPr>
                <w:rFonts w:ascii="Arial" w:cs="Arial" w:eastAsia="Arial" w:hAnsi="Arial"/>
                <w:sz w:val="14"/>
                <w:szCs w:val="14"/>
                <w:color w:val="auto"/>
              </w:rPr>
              <w:t>13,068</w:t>
            </w:r>
          </w:p>
        </w:tc>
        <w:tc>
          <w:tcPr>
            <w:tcW w:w="300" w:type="dxa"/>
            <w:vAlign w:val="bottom"/>
            <w:tcBorders>
              <w:bottom w:val="single" w:sz="8" w:color="DCDDDE"/>
            </w:tcBorders>
          </w:tcPr>
          <w:p>
            <w:pPr>
              <w:spacing w:after="0"/>
              <w:rPr>
                <w:sz w:val="18"/>
                <w:szCs w:val="18"/>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CDDDE"/>
            </w:tcBorders>
          </w:tcPr>
          <w:p>
            <w:pPr>
              <w:spacing w:after="0"/>
              <w:rPr>
                <w:sz w:val="18"/>
                <w:szCs w:val="18"/>
                <w:color w:val="auto"/>
              </w:rPr>
            </w:pPr>
          </w:p>
        </w:tc>
        <w:tc>
          <w:tcPr>
            <w:tcW w:w="66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r>
      <w:tr>
        <w:trPr>
          <w:trHeight w:val="210"/>
        </w:trPr>
        <w:tc>
          <w:tcPr>
            <w:tcW w:w="17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03/01/2021</w:t>
            </w:r>
          </w:p>
        </w:tc>
        <w:tc>
          <w:tcPr>
            <w:tcW w:w="12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584,250</w:t>
            </w:r>
          </w:p>
        </w:tc>
        <w:tc>
          <w:tcPr>
            <w:tcW w:w="320" w:type="dxa"/>
            <w:vAlign w:val="bottom"/>
            <w:tcBorders>
              <w:bottom w:val="single" w:sz="8" w:color="DCDDDE"/>
            </w:tcBorders>
          </w:tcPr>
          <w:p>
            <w:pPr>
              <w:jc w:val="right"/>
              <w:ind w:right="80"/>
              <w:spacing w:after="0"/>
              <w:rPr>
                <w:sz w:val="20"/>
                <w:szCs w:val="20"/>
                <w:color w:val="auto"/>
              </w:rPr>
            </w:pPr>
            <w:r>
              <w:rPr>
                <w:rFonts w:ascii="Arial" w:cs="Arial" w:eastAsia="Arial" w:hAnsi="Arial"/>
                <w:sz w:val="12"/>
                <w:szCs w:val="12"/>
                <w:color w:val="auto"/>
              </w:rPr>
              <w:t>(c)</w:t>
            </w: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435,500</w:t>
            </w:r>
          </w:p>
        </w:tc>
        <w:tc>
          <w:tcPr>
            <w:tcW w:w="320" w:type="dxa"/>
            <w:vAlign w:val="bottom"/>
            <w:tcBorders>
              <w:bottom w:val="single" w:sz="8" w:color="DCDDDE"/>
            </w:tcBorders>
          </w:tcPr>
          <w:p>
            <w:pPr>
              <w:jc w:val="right"/>
              <w:ind w:right="80"/>
              <w:spacing w:after="0"/>
              <w:rPr>
                <w:sz w:val="20"/>
                <w:szCs w:val="20"/>
                <w:color w:val="auto"/>
              </w:rPr>
            </w:pPr>
            <w:r>
              <w:rPr>
                <w:rFonts w:ascii="Arial" w:cs="Arial" w:eastAsia="Arial" w:hAnsi="Arial"/>
                <w:sz w:val="12"/>
                <w:szCs w:val="12"/>
                <w:color w:val="auto"/>
              </w:rPr>
              <w:t>(c)</w:t>
            </w:r>
          </w:p>
        </w:tc>
        <w:tc>
          <w:tcPr>
            <w:tcW w:w="980" w:type="dxa"/>
            <w:vAlign w:val="bottom"/>
            <w:tcBorders>
              <w:bottom w:val="single" w:sz="8" w:color="DCDDDE"/>
            </w:tcBorders>
          </w:tcPr>
          <w:p>
            <w:pPr>
              <w:jc w:val="right"/>
              <w:ind w:right="248"/>
              <w:spacing w:after="0"/>
              <w:rPr>
                <w:sz w:val="20"/>
                <w:szCs w:val="20"/>
                <w:color w:val="auto"/>
              </w:rPr>
            </w:pPr>
            <w:r>
              <w:rPr>
                <w:rFonts w:ascii="Arial" w:cs="Arial" w:eastAsia="Arial" w:hAnsi="Arial"/>
                <w:sz w:val="14"/>
                <w:szCs w:val="14"/>
                <w:color w:val="auto"/>
              </w:rPr>
              <w:t>9,660</w:t>
            </w:r>
          </w:p>
        </w:tc>
        <w:tc>
          <w:tcPr>
            <w:tcW w:w="300" w:type="dxa"/>
            <w:vAlign w:val="bottom"/>
            <w:tcBorders>
              <w:bottom w:val="single" w:sz="8" w:color="DCDDDE"/>
            </w:tcBorders>
          </w:tcPr>
          <w:p>
            <w:pPr>
              <w:spacing w:after="0"/>
              <w:rPr>
                <w:sz w:val="18"/>
                <w:szCs w:val="18"/>
                <w:color w:val="auto"/>
              </w:rPr>
            </w:pP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137,750</w:t>
            </w:r>
          </w:p>
        </w:tc>
        <w:tc>
          <w:tcPr>
            <w:tcW w:w="500" w:type="dxa"/>
            <w:vAlign w:val="bottom"/>
            <w:tcBorders>
              <w:bottom w:val="single" w:sz="8" w:color="DCDDDE"/>
            </w:tcBorders>
          </w:tcPr>
          <w:p>
            <w:pPr>
              <w:jc w:val="right"/>
              <w:ind w:right="77"/>
              <w:spacing w:after="0"/>
              <w:rPr>
                <w:sz w:val="20"/>
                <w:szCs w:val="20"/>
                <w:color w:val="auto"/>
              </w:rPr>
            </w:pPr>
            <w:r>
              <w:rPr>
                <w:rFonts w:ascii="Arial" w:cs="Arial" w:eastAsia="Arial" w:hAnsi="Arial"/>
                <w:sz w:val="12"/>
                <w:szCs w:val="12"/>
                <w:color w:val="auto"/>
              </w:rPr>
              <w:t>(c)</w:t>
            </w:r>
          </w:p>
        </w:tc>
        <w:tc>
          <w:tcPr>
            <w:tcW w:w="66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7,070</w:t>
            </w:r>
          </w:p>
        </w:tc>
        <w:tc>
          <w:tcPr>
            <w:tcW w:w="320" w:type="dxa"/>
            <w:vAlign w:val="bottom"/>
            <w:tcBorders>
              <w:bottom w:val="single" w:sz="8" w:color="DCDDDE"/>
            </w:tcBorders>
          </w:tcPr>
          <w:p>
            <w:pPr>
              <w:spacing w:after="0"/>
              <w:rPr>
                <w:sz w:val="18"/>
                <w:szCs w:val="18"/>
                <w:color w:val="auto"/>
              </w:rPr>
            </w:pPr>
          </w:p>
        </w:tc>
      </w:tr>
      <w:tr>
        <w:trPr>
          <w:trHeight w:val="209"/>
        </w:trPr>
        <w:tc>
          <w:tcPr>
            <w:tcW w:w="17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01/14/2022</w:t>
            </w:r>
          </w:p>
        </w:tc>
        <w:tc>
          <w:tcPr>
            <w:tcW w:w="12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c>
          <w:tcPr>
            <w:tcW w:w="980" w:type="dxa"/>
            <w:vAlign w:val="bottom"/>
            <w:tcBorders>
              <w:bottom w:val="single" w:sz="8" w:color="DCDDDE"/>
            </w:tcBorders>
          </w:tcPr>
          <w:p>
            <w:pPr>
              <w:jc w:val="right"/>
              <w:ind w:right="248"/>
              <w:spacing w:after="0"/>
              <w:rPr>
                <w:sz w:val="20"/>
                <w:szCs w:val="20"/>
                <w:color w:val="auto"/>
              </w:rPr>
            </w:pPr>
            <w:r>
              <w:rPr>
                <w:rFonts w:ascii="Arial" w:cs="Arial" w:eastAsia="Arial" w:hAnsi="Arial"/>
                <w:sz w:val="14"/>
                <w:szCs w:val="14"/>
                <w:color w:val="auto"/>
              </w:rPr>
              <w:t>30,960</w:t>
            </w:r>
          </w:p>
        </w:tc>
        <w:tc>
          <w:tcPr>
            <w:tcW w:w="300" w:type="dxa"/>
            <w:vAlign w:val="bottom"/>
            <w:tcBorders>
              <w:bottom w:val="single" w:sz="8" w:color="DCDDDE"/>
            </w:tcBorders>
          </w:tcPr>
          <w:p>
            <w:pPr>
              <w:jc w:val="right"/>
              <w:ind w:right="80"/>
              <w:spacing w:after="0"/>
              <w:rPr>
                <w:sz w:val="20"/>
                <w:szCs w:val="20"/>
                <w:color w:val="auto"/>
              </w:rPr>
            </w:pPr>
            <w:r>
              <w:rPr>
                <w:rFonts w:ascii="Arial" w:cs="Arial" w:eastAsia="Arial" w:hAnsi="Arial"/>
                <w:sz w:val="12"/>
                <w:szCs w:val="12"/>
                <w:color w:val="auto"/>
                <w:w w:val="95"/>
              </w:rPr>
              <w:t>(e)</w:t>
            </w: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DCDDDE"/>
            </w:tcBorders>
          </w:tcPr>
          <w:p>
            <w:pPr>
              <w:spacing w:after="0"/>
              <w:rPr>
                <w:sz w:val="18"/>
                <w:szCs w:val="18"/>
                <w:color w:val="auto"/>
              </w:rPr>
            </w:pPr>
          </w:p>
        </w:tc>
        <w:tc>
          <w:tcPr>
            <w:tcW w:w="66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CDDDE"/>
            </w:tcBorders>
          </w:tcPr>
          <w:p>
            <w:pPr>
              <w:spacing w:after="0"/>
              <w:rPr>
                <w:sz w:val="18"/>
                <w:szCs w:val="18"/>
                <w:color w:val="auto"/>
              </w:rPr>
            </w:pPr>
          </w:p>
        </w:tc>
      </w:tr>
      <w:tr>
        <w:trPr>
          <w:trHeight w:val="210"/>
        </w:trPr>
        <w:tc>
          <w:tcPr>
            <w:tcW w:w="1720" w:type="dxa"/>
            <w:vAlign w:val="bottom"/>
            <w:tcBorders>
              <w:bottom w:val="single" w:sz="8" w:color="DCDDDE"/>
            </w:tcBorders>
          </w:tcPr>
          <w:p>
            <w:pPr>
              <w:ind w:left="60"/>
              <w:spacing w:after="0"/>
              <w:rPr>
                <w:sz w:val="20"/>
                <w:szCs w:val="20"/>
                <w:color w:val="auto"/>
              </w:rPr>
            </w:pPr>
            <w:r>
              <w:rPr>
                <w:rFonts w:ascii="Arial" w:cs="Arial" w:eastAsia="Arial" w:hAnsi="Arial"/>
                <w:sz w:val="14"/>
                <w:szCs w:val="14"/>
                <w:color w:val="auto"/>
              </w:rPr>
              <w:t>03/01/2022</w:t>
            </w:r>
          </w:p>
        </w:tc>
        <w:tc>
          <w:tcPr>
            <w:tcW w:w="12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685,500</w:t>
            </w:r>
          </w:p>
        </w:tc>
        <w:tc>
          <w:tcPr>
            <w:tcW w:w="320" w:type="dxa"/>
            <w:vAlign w:val="bottom"/>
            <w:tcBorders>
              <w:bottom w:val="single" w:sz="8" w:color="DCDDDE"/>
            </w:tcBorders>
          </w:tcPr>
          <w:p>
            <w:pPr>
              <w:jc w:val="right"/>
              <w:ind w:right="80"/>
              <w:spacing w:after="0"/>
              <w:rPr>
                <w:sz w:val="20"/>
                <w:szCs w:val="20"/>
                <w:color w:val="auto"/>
              </w:rPr>
            </w:pPr>
            <w:r>
              <w:rPr>
                <w:rFonts w:ascii="Arial" w:cs="Arial" w:eastAsia="Arial" w:hAnsi="Arial"/>
                <w:sz w:val="12"/>
                <w:szCs w:val="12"/>
                <w:color w:val="auto"/>
              </w:rPr>
              <w:t>(d)</w:t>
            </w:r>
          </w:p>
        </w:tc>
        <w:tc>
          <w:tcPr>
            <w:tcW w:w="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510,887</w:t>
            </w:r>
          </w:p>
        </w:tc>
        <w:tc>
          <w:tcPr>
            <w:tcW w:w="320" w:type="dxa"/>
            <w:vAlign w:val="bottom"/>
            <w:tcBorders>
              <w:bottom w:val="single" w:sz="8" w:color="DCDDDE"/>
            </w:tcBorders>
          </w:tcPr>
          <w:p>
            <w:pPr>
              <w:jc w:val="right"/>
              <w:ind w:right="80"/>
              <w:spacing w:after="0"/>
              <w:rPr>
                <w:sz w:val="20"/>
                <w:szCs w:val="20"/>
                <w:color w:val="auto"/>
              </w:rPr>
            </w:pPr>
            <w:r>
              <w:rPr>
                <w:rFonts w:ascii="Arial" w:cs="Arial" w:eastAsia="Arial" w:hAnsi="Arial"/>
                <w:sz w:val="12"/>
                <w:szCs w:val="12"/>
                <w:color w:val="auto"/>
              </w:rPr>
              <w:t>(d)</w:t>
            </w:r>
          </w:p>
        </w:tc>
        <w:tc>
          <w:tcPr>
            <w:tcW w:w="980" w:type="dxa"/>
            <w:vAlign w:val="bottom"/>
            <w:tcBorders>
              <w:bottom w:val="single" w:sz="8" w:color="DCDDDE"/>
            </w:tcBorders>
          </w:tcPr>
          <w:p>
            <w:pPr>
              <w:jc w:val="right"/>
              <w:ind w:right="248"/>
              <w:spacing w:after="0"/>
              <w:rPr>
                <w:sz w:val="20"/>
                <w:szCs w:val="20"/>
                <w:color w:val="auto"/>
              </w:rPr>
            </w:pPr>
            <w:r>
              <w:rPr>
                <w:rFonts w:ascii="Arial" w:cs="Arial" w:eastAsia="Arial" w:hAnsi="Arial"/>
                <w:sz w:val="14"/>
                <w:szCs w:val="14"/>
                <w:color w:val="auto"/>
              </w:rPr>
              <w:t>17,248</w:t>
            </w:r>
          </w:p>
        </w:tc>
        <w:tc>
          <w:tcPr>
            <w:tcW w:w="300" w:type="dxa"/>
            <w:vAlign w:val="bottom"/>
            <w:tcBorders>
              <w:bottom w:val="single" w:sz="8" w:color="DCDDDE"/>
            </w:tcBorders>
          </w:tcPr>
          <w:p>
            <w:pPr>
              <w:jc w:val="right"/>
              <w:ind w:right="80"/>
              <w:spacing w:after="0"/>
              <w:rPr>
                <w:sz w:val="20"/>
                <w:szCs w:val="20"/>
                <w:color w:val="auto"/>
              </w:rPr>
            </w:pPr>
            <w:r>
              <w:rPr>
                <w:rFonts w:ascii="Arial" w:cs="Arial" w:eastAsia="Arial" w:hAnsi="Arial"/>
                <w:sz w:val="12"/>
                <w:szCs w:val="12"/>
                <w:color w:val="auto"/>
                <w:w w:val="95"/>
              </w:rPr>
              <w:t>(e)</w:t>
            </w:r>
          </w:p>
        </w:tc>
        <w:tc>
          <w:tcPr>
            <w:tcW w:w="6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161,675</w:t>
            </w:r>
          </w:p>
        </w:tc>
        <w:tc>
          <w:tcPr>
            <w:tcW w:w="500" w:type="dxa"/>
            <w:vAlign w:val="bottom"/>
            <w:tcBorders>
              <w:bottom w:val="single" w:sz="8" w:color="DCDDDE"/>
            </w:tcBorders>
          </w:tcPr>
          <w:p>
            <w:pPr>
              <w:jc w:val="right"/>
              <w:ind w:right="77"/>
              <w:spacing w:after="0"/>
              <w:rPr>
                <w:sz w:val="20"/>
                <w:szCs w:val="20"/>
                <w:color w:val="auto"/>
              </w:rPr>
            </w:pPr>
            <w:r>
              <w:rPr>
                <w:rFonts w:ascii="Arial" w:cs="Arial" w:eastAsia="Arial" w:hAnsi="Arial"/>
                <w:sz w:val="12"/>
                <w:szCs w:val="12"/>
                <w:color w:val="auto"/>
              </w:rPr>
              <w:t>(d)</w:t>
            </w:r>
          </w:p>
        </w:tc>
        <w:tc>
          <w:tcPr>
            <w:tcW w:w="66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10,348</w:t>
            </w:r>
          </w:p>
        </w:tc>
        <w:tc>
          <w:tcPr>
            <w:tcW w:w="320" w:type="dxa"/>
            <w:vAlign w:val="bottom"/>
            <w:tcBorders>
              <w:bottom w:val="single" w:sz="8" w:color="DCDDDE"/>
            </w:tcBorders>
          </w:tcPr>
          <w:p>
            <w:pPr>
              <w:jc w:val="right"/>
              <w:ind w:right="20"/>
              <w:spacing w:after="0"/>
              <w:rPr>
                <w:sz w:val="20"/>
                <w:szCs w:val="20"/>
                <w:color w:val="auto"/>
              </w:rPr>
            </w:pPr>
            <w:r>
              <w:rPr>
                <w:rFonts w:ascii="Arial" w:cs="Arial" w:eastAsia="Arial" w:hAnsi="Arial"/>
                <w:sz w:val="12"/>
                <w:szCs w:val="12"/>
                <w:color w:val="auto"/>
              </w:rPr>
              <w:t>(e)</w:t>
            </w:r>
          </w:p>
        </w:tc>
      </w:tr>
      <w:tr>
        <w:trPr>
          <w:trHeight w:val="210"/>
        </w:trPr>
        <w:tc>
          <w:tcPr>
            <w:tcW w:w="17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03/01/2023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941,862</w:t>
            </w:r>
          </w:p>
        </w:tc>
        <w:tc>
          <w:tcPr>
            <w:tcW w:w="3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(f)</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716,637</w:t>
            </w:r>
          </w:p>
        </w:tc>
        <w:tc>
          <w:tcPr>
            <w:tcW w:w="3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(f)</w:t>
            </w:r>
          </w:p>
        </w:tc>
        <w:tc>
          <w:tcPr>
            <w:tcW w:w="9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204,762</w:t>
            </w:r>
          </w:p>
        </w:tc>
        <w:tc>
          <w:tcPr>
            <w:tcW w:w="3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(f)</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204,762</w:t>
            </w: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2"/>
                <w:szCs w:val="12"/>
                <w:color w:val="auto"/>
              </w:rPr>
              <w:t>(f)</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61,437</w:t>
            </w:r>
          </w:p>
        </w:tc>
        <w:tc>
          <w:tcPr>
            <w:tcW w:w="3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(f)</w:t>
            </w: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44</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2" w:lineRule="exact"/>
        <w:rPr>
          <w:sz w:val="20"/>
          <w:szCs w:val="20"/>
          <w:color w:val="auto"/>
        </w:rPr>
      </w:pPr>
    </w:p>
    <w:p>
      <w:pPr>
        <w:ind w:left="580" w:right="60" w:hanging="302"/>
        <w:spacing w:after="0" w:line="264" w:lineRule="auto"/>
        <w:tabs>
          <w:tab w:leader="none" w:pos="580" w:val="left"/>
        </w:tabs>
        <w:numPr>
          <w:ilvl w:val="0"/>
          <w:numId w:val="88"/>
        </w:numPr>
        <w:rPr>
          <w:rFonts w:ascii="Arial" w:cs="Arial" w:eastAsia="Arial" w:hAnsi="Arial"/>
          <w:sz w:val="13"/>
          <w:szCs w:val="13"/>
          <w:color w:val="auto"/>
        </w:rPr>
      </w:pPr>
      <w:r>
        <w:rPr>
          <w:rFonts w:ascii="Arial" w:cs="Arial" w:eastAsia="Arial" w:hAnsi="Arial"/>
          <w:sz w:val="15"/>
          <w:szCs w:val="15"/>
          <w:color w:val="auto"/>
        </w:rPr>
        <w:t>Except as otherwise described in footnotes below, all stock units granted as of the respective grant date had the following vesting schedule: 15%, 15%, 15%, 15% and 40% on the 13-month, second, third, fourth and fifth anniversaries of the grant date, respectively.</w:t>
      </w:r>
    </w:p>
    <w:p>
      <w:pPr>
        <w:spacing w:after="0" w:line="12" w:lineRule="exact"/>
        <w:rPr>
          <w:rFonts w:ascii="Arial" w:cs="Arial" w:eastAsia="Arial" w:hAnsi="Arial"/>
          <w:sz w:val="13"/>
          <w:szCs w:val="13"/>
          <w:color w:val="auto"/>
        </w:rPr>
      </w:pPr>
    </w:p>
    <w:p>
      <w:pPr>
        <w:ind w:left="580" w:right="100" w:hanging="302"/>
        <w:spacing w:after="0" w:line="264" w:lineRule="auto"/>
        <w:tabs>
          <w:tab w:leader="none" w:pos="580" w:val="left"/>
        </w:tabs>
        <w:numPr>
          <w:ilvl w:val="0"/>
          <w:numId w:val="88"/>
        </w:numPr>
        <w:rPr>
          <w:rFonts w:ascii="Arial" w:cs="Arial" w:eastAsia="Arial" w:hAnsi="Arial"/>
          <w:sz w:val="13"/>
          <w:szCs w:val="13"/>
          <w:color w:val="auto"/>
        </w:rPr>
      </w:pPr>
      <w:r>
        <w:rPr>
          <w:rFonts w:ascii="Arial" w:cs="Arial" w:eastAsia="Arial" w:hAnsi="Arial"/>
          <w:sz w:val="15"/>
          <w:szCs w:val="15"/>
          <w:color w:val="auto"/>
        </w:rPr>
        <w:t>Reflects the number of shares underlying PSUs that, as of December 31, 2023, had been achieved following attainment of the performance condition, which resulted in all remaining tranches vesting at the maximum of 125% of the award.</w:t>
      </w:r>
    </w:p>
    <w:p>
      <w:pPr>
        <w:spacing w:after="0" w:line="12" w:lineRule="exact"/>
        <w:rPr>
          <w:rFonts w:ascii="Arial" w:cs="Arial" w:eastAsia="Arial" w:hAnsi="Arial"/>
          <w:sz w:val="13"/>
          <w:szCs w:val="13"/>
          <w:color w:val="auto"/>
        </w:rPr>
      </w:pPr>
    </w:p>
    <w:p>
      <w:pPr>
        <w:ind w:left="580" w:right="260" w:hanging="302"/>
        <w:spacing w:after="0" w:line="244" w:lineRule="auto"/>
        <w:tabs>
          <w:tab w:leader="none" w:pos="580" w:val="left"/>
        </w:tabs>
        <w:numPr>
          <w:ilvl w:val="0"/>
          <w:numId w:val="88"/>
        </w:numPr>
        <w:rPr>
          <w:rFonts w:ascii="Arial" w:cs="Arial" w:eastAsia="Arial" w:hAnsi="Arial"/>
          <w:sz w:val="13"/>
          <w:szCs w:val="13"/>
          <w:color w:val="auto"/>
        </w:rPr>
      </w:pPr>
      <w:r>
        <w:rPr>
          <w:rFonts w:ascii="Arial" w:cs="Arial" w:eastAsia="Arial" w:hAnsi="Arial"/>
          <w:sz w:val="15"/>
          <w:szCs w:val="15"/>
          <w:color w:val="auto"/>
        </w:rPr>
        <w:t>Reflects the number of shares underlying PSUs that, as of December 31, 2023, may be achieved assuming maximum attainment of the performance condition, which would result in 250% vesting of the award. The CHC Committee certified actual performance achievement of the PSUs on March 4, 2024 which resulted in 131% vesting of the award. The PSUs vested 100% on the three-year anniversary of the date of grant.</w:t>
      </w:r>
    </w:p>
    <w:p>
      <w:pPr>
        <w:spacing w:after="0" w:line="27" w:lineRule="exact"/>
        <w:rPr>
          <w:rFonts w:ascii="Arial" w:cs="Arial" w:eastAsia="Arial" w:hAnsi="Arial"/>
          <w:sz w:val="13"/>
          <w:szCs w:val="13"/>
          <w:color w:val="auto"/>
        </w:rPr>
      </w:pPr>
    </w:p>
    <w:p>
      <w:pPr>
        <w:ind w:left="580" w:right="100" w:hanging="302"/>
        <w:spacing w:after="0" w:line="244" w:lineRule="auto"/>
        <w:tabs>
          <w:tab w:leader="none" w:pos="580" w:val="left"/>
        </w:tabs>
        <w:numPr>
          <w:ilvl w:val="0"/>
          <w:numId w:val="88"/>
        </w:numPr>
        <w:rPr>
          <w:rFonts w:ascii="Arial" w:cs="Arial" w:eastAsia="Arial" w:hAnsi="Arial"/>
          <w:sz w:val="13"/>
          <w:szCs w:val="13"/>
          <w:color w:val="auto"/>
        </w:rPr>
      </w:pPr>
      <w:r>
        <w:rPr>
          <w:rFonts w:ascii="Arial" w:cs="Arial" w:eastAsia="Arial" w:hAnsi="Arial"/>
          <w:sz w:val="15"/>
          <w:szCs w:val="15"/>
          <w:color w:val="auto"/>
        </w:rPr>
        <w:t>Reflects the number of shares underlying PSUs that, as of December 31, 2023, may be achieved assuming maximum attainment of the performance condition, which would result in 250% vesting of the award. The CHC Committee will certify actual performance achievement of the PSUs in early 2025. The PSUs vest 100% on the three-year anniversary of the date of grant.</w:t>
      </w:r>
    </w:p>
    <w:p>
      <w:pPr>
        <w:spacing w:after="0" w:line="27" w:lineRule="exact"/>
        <w:rPr>
          <w:rFonts w:ascii="Arial" w:cs="Arial" w:eastAsia="Arial" w:hAnsi="Arial"/>
          <w:sz w:val="13"/>
          <w:szCs w:val="13"/>
          <w:color w:val="auto"/>
        </w:rPr>
      </w:pPr>
    </w:p>
    <w:p>
      <w:pPr>
        <w:ind w:left="580" w:right="480" w:hanging="302"/>
        <w:spacing w:after="0" w:line="264" w:lineRule="auto"/>
        <w:tabs>
          <w:tab w:leader="none" w:pos="580" w:val="left"/>
        </w:tabs>
        <w:numPr>
          <w:ilvl w:val="0"/>
          <w:numId w:val="88"/>
        </w:numPr>
        <w:rPr>
          <w:rFonts w:ascii="Arial" w:cs="Arial" w:eastAsia="Arial" w:hAnsi="Arial"/>
          <w:sz w:val="13"/>
          <w:szCs w:val="13"/>
          <w:color w:val="auto"/>
        </w:rPr>
      </w:pPr>
      <w:r>
        <w:rPr>
          <w:rFonts w:ascii="Arial" w:cs="Arial" w:eastAsia="Arial" w:hAnsi="Arial"/>
          <w:sz w:val="15"/>
          <w:szCs w:val="15"/>
          <w:color w:val="auto"/>
        </w:rPr>
        <w:t>The stock units granted as of the respective grant date had the following vesting schedule: 20% on each of the 13-month, second, third, fourth and fifth anniversaries of the grant date.</w:t>
      </w:r>
    </w:p>
    <w:p>
      <w:pPr>
        <w:spacing w:after="0" w:line="12" w:lineRule="exact"/>
        <w:rPr>
          <w:rFonts w:ascii="Arial" w:cs="Arial" w:eastAsia="Arial" w:hAnsi="Arial"/>
          <w:sz w:val="13"/>
          <w:szCs w:val="13"/>
          <w:color w:val="auto"/>
        </w:rPr>
      </w:pPr>
    </w:p>
    <w:p>
      <w:pPr>
        <w:ind w:left="580" w:right="100" w:hanging="302"/>
        <w:spacing w:after="0" w:line="244" w:lineRule="auto"/>
        <w:tabs>
          <w:tab w:leader="none" w:pos="580" w:val="left"/>
        </w:tabs>
        <w:numPr>
          <w:ilvl w:val="0"/>
          <w:numId w:val="88"/>
        </w:numPr>
        <w:rPr>
          <w:rFonts w:ascii="Arial" w:cs="Arial" w:eastAsia="Arial" w:hAnsi="Arial"/>
          <w:sz w:val="13"/>
          <w:szCs w:val="13"/>
          <w:color w:val="auto"/>
        </w:rPr>
      </w:pPr>
      <w:r>
        <w:rPr>
          <w:rFonts w:ascii="Arial" w:cs="Arial" w:eastAsia="Arial" w:hAnsi="Arial"/>
          <w:sz w:val="15"/>
          <w:szCs w:val="15"/>
          <w:color w:val="auto"/>
        </w:rPr>
        <w:t>Reflects the number of shares underlying PSUs that, as of December 31, 2023, may be achieved assuming maximum attainment of the performance condition, which would result in 250% vesting of the award. The CHC Committee will certify actual performance achievement of the PSUs in early 2026. The PSUs as of the grant date had the following vesting schedule: 100% vests on the 3-year anniversary of the date of grant.</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Option Exercises and Stock Vested</w:t>
      </w:r>
    </w:p>
    <w:p>
      <w:pPr>
        <w:spacing w:after="0" w:line="229" w:lineRule="exact"/>
        <w:rPr>
          <w:sz w:val="20"/>
          <w:szCs w:val="20"/>
          <w:color w:val="auto"/>
        </w:rPr>
      </w:pPr>
    </w:p>
    <w:p>
      <w:pPr>
        <w:jc w:val="both"/>
        <w:ind w:right="600"/>
        <w:spacing w:after="0" w:line="253" w:lineRule="auto"/>
        <w:rPr>
          <w:sz w:val="20"/>
          <w:szCs w:val="20"/>
          <w:color w:val="auto"/>
        </w:rPr>
      </w:pPr>
      <w:r>
        <w:rPr>
          <w:rFonts w:ascii="Arial" w:cs="Arial" w:eastAsia="Arial" w:hAnsi="Arial"/>
          <w:sz w:val="18"/>
          <w:szCs w:val="18"/>
          <w:color w:val="auto"/>
        </w:rPr>
        <w:t>The following table provides information, for each of our NEOs, on the number of options exercised and the value realized upon such exercise, and the number of shares of Class A common stock resulting from the vesting of stock awards and the value realized before payment of any applicable withholding tax during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280" w:type="dxa"/>
            <w:vAlign w:val="bottom"/>
          </w:tcPr>
          <w:p>
            <w:pPr>
              <w:spacing w:after="0"/>
              <w:rPr>
                <w:sz w:val="17"/>
                <w:szCs w:val="17"/>
                <w:color w:val="auto"/>
              </w:rPr>
            </w:pPr>
          </w:p>
        </w:tc>
        <w:tc>
          <w:tcPr>
            <w:tcW w:w="228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OPTION AWARDS</w:t>
            </w:r>
          </w:p>
        </w:tc>
        <w:tc>
          <w:tcPr>
            <w:tcW w:w="260" w:type="dxa"/>
            <w:vAlign w:val="bottom"/>
          </w:tcPr>
          <w:p>
            <w:pPr>
              <w:spacing w:after="0"/>
              <w:rPr>
                <w:sz w:val="17"/>
                <w:szCs w:val="17"/>
                <w:color w:val="auto"/>
              </w:rPr>
            </w:pPr>
          </w:p>
        </w:tc>
        <w:tc>
          <w:tcPr>
            <w:tcW w:w="242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rPr>
              <w:t>STOCK AWARDS</w:t>
            </w:r>
          </w:p>
        </w:tc>
      </w:tr>
      <w:tr>
        <w:trPr>
          <w:trHeight w:val="174"/>
        </w:trPr>
        <w:tc>
          <w:tcPr>
            <w:tcW w:w="628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NUMBER OF</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NUMBER OF</w:t>
            </w: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VALUE</w:t>
            </w:r>
          </w:p>
        </w:tc>
      </w:tr>
      <w:tr>
        <w:trPr>
          <w:trHeight w:val="162"/>
        </w:trPr>
        <w:tc>
          <w:tcPr>
            <w:tcW w:w="62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REALIZED ON</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SHARES</w:t>
            </w: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REALIZED ON</w:t>
            </w:r>
          </w:p>
        </w:tc>
      </w:tr>
      <w:tr>
        <w:trPr>
          <w:trHeight w:val="162"/>
        </w:trPr>
        <w:tc>
          <w:tcPr>
            <w:tcW w:w="62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ACQUIRED ON</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EXERCISE</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ACQUIRED</w:t>
            </w: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VESTING</w:t>
            </w:r>
          </w:p>
        </w:tc>
      </w:tr>
      <w:tr>
        <w:trPr>
          <w:trHeight w:val="197"/>
        </w:trPr>
        <w:tc>
          <w:tcPr>
            <w:tcW w:w="6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EXERCISE</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ON VESTING</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37"/>
        </w:trPr>
        <w:tc>
          <w:tcPr>
            <w:tcW w:w="628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Brian L. Roberts</w:t>
            </w:r>
          </w:p>
        </w:tc>
        <w:tc>
          <w:tcPr>
            <w:tcW w:w="116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1,212,000</w:t>
            </w:r>
          </w:p>
        </w:tc>
        <w:tc>
          <w:tcPr>
            <w:tcW w:w="1380" w:type="dxa"/>
            <w:vAlign w:val="bottom"/>
            <w:tcBorders>
              <w:bottom w:val="single" w:sz="8" w:color="DCDDDE"/>
            </w:tcBorders>
            <w:gridSpan w:val="2"/>
          </w:tcPr>
          <w:p>
            <w:pPr>
              <w:jc w:val="right"/>
              <w:ind w:right="260"/>
              <w:spacing w:after="0"/>
              <w:rPr>
                <w:sz w:val="20"/>
                <w:szCs w:val="20"/>
                <w:color w:val="auto"/>
              </w:rPr>
            </w:pPr>
            <w:r>
              <w:rPr>
                <w:rFonts w:ascii="Arial" w:cs="Arial" w:eastAsia="Arial" w:hAnsi="Arial"/>
                <w:sz w:val="14"/>
                <w:szCs w:val="14"/>
                <w:color w:val="auto"/>
              </w:rPr>
              <w:t>23,331,000</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146,180</w:t>
            </w:r>
          </w:p>
        </w:tc>
        <w:tc>
          <w:tcPr>
            <w:tcW w:w="540" w:type="dxa"/>
            <w:vAlign w:val="bottom"/>
            <w:tcBorders>
              <w:bottom w:val="single" w:sz="8" w:color="DCDDDE"/>
            </w:tcBorders>
          </w:tcPr>
          <w:p>
            <w:pPr>
              <w:jc w:val="right"/>
              <w:ind w:right="300"/>
              <w:spacing w:after="0"/>
              <w:rPr>
                <w:sz w:val="20"/>
                <w:szCs w:val="20"/>
                <w:color w:val="auto"/>
              </w:rPr>
            </w:pPr>
            <w:r>
              <w:rPr>
                <w:rFonts w:ascii="Arial" w:cs="Arial" w:eastAsia="Arial" w:hAnsi="Arial"/>
                <w:sz w:val="12"/>
                <w:szCs w:val="12"/>
                <w:color w:val="auto"/>
              </w:rPr>
              <w:t>(1)</w:t>
            </w:r>
          </w:p>
        </w:tc>
        <w:tc>
          <w:tcPr>
            <w:tcW w:w="118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5,322,075</w:t>
            </w:r>
          </w:p>
        </w:tc>
      </w:tr>
      <w:tr>
        <w:trPr>
          <w:trHeight w:val="209"/>
        </w:trPr>
        <w:tc>
          <w:tcPr>
            <w:tcW w:w="628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Michael J. Cavanagh</w:t>
            </w:r>
          </w:p>
        </w:tc>
        <w:tc>
          <w:tcPr>
            <w:tcW w:w="116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CDDDE"/>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118,162</w:t>
            </w:r>
          </w:p>
        </w:tc>
        <w:tc>
          <w:tcPr>
            <w:tcW w:w="54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4,293,316</w:t>
            </w:r>
          </w:p>
        </w:tc>
      </w:tr>
      <w:tr>
        <w:trPr>
          <w:trHeight w:val="209"/>
        </w:trPr>
        <w:tc>
          <w:tcPr>
            <w:tcW w:w="628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Jason S. Armstrong</w:t>
            </w:r>
          </w:p>
        </w:tc>
        <w:tc>
          <w:tcPr>
            <w:tcW w:w="116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27,200</w:t>
            </w:r>
          </w:p>
        </w:tc>
        <w:tc>
          <w:tcPr>
            <w:tcW w:w="1380" w:type="dxa"/>
            <w:vAlign w:val="bottom"/>
            <w:tcBorders>
              <w:bottom w:val="single" w:sz="8" w:color="DCDDDE"/>
            </w:tcBorders>
            <w:gridSpan w:val="2"/>
          </w:tcPr>
          <w:p>
            <w:pPr>
              <w:jc w:val="right"/>
              <w:ind w:right="260"/>
              <w:spacing w:after="0"/>
              <w:rPr>
                <w:sz w:val="20"/>
                <w:szCs w:val="20"/>
                <w:color w:val="auto"/>
              </w:rPr>
            </w:pPr>
            <w:r>
              <w:rPr>
                <w:rFonts w:ascii="Arial" w:cs="Arial" w:eastAsia="Arial" w:hAnsi="Arial"/>
                <w:sz w:val="14"/>
                <w:szCs w:val="14"/>
                <w:color w:val="auto"/>
              </w:rPr>
              <w:t>478,856</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46,091</w:t>
            </w:r>
          </w:p>
        </w:tc>
        <w:tc>
          <w:tcPr>
            <w:tcW w:w="54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1,730,607</w:t>
            </w:r>
          </w:p>
        </w:tc>
      </w:tr>
      <w:tr>
        <w:trPr>
          <w:trHeight w:val="237"/>
        </w:trPr>
        <w:tc>
          <w:tcPr>
            <w:tcW w:w="628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Thomas J. Reid</w:t>
            </w:r>
          </w:p>
        </w:tc>
        <w:tc>
          <w:tcPr>
            <w:tcW w:w="116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DCDDDE"/>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19,635</w:t>
            </w:r>
          </w:p>
        </w:tc>
        <w:tc>
          <w:tcPr>
            <w:tcW w:w="540" w:type="dxa"/>
            <w:vAlign w:val="bottom"/>
            <w:tcBorders>
              <w:bottom w:val="single" w:sz="8" w:color="DCDDDE"/>
            </w:tcBorders>
          </w:tcPr>
          <w:p>
            <w:pPr>
              <w:jc w:val="right"/>
              <w:ind w:right="300"/>
              <w:spacing w:after="0"/>
              <w:rPr>
                <w:sz w:val="20"/>
                <w:szCs w:val="20"/>
                <w:color w:val="auto"/>
              </w:rPr>
            </w:pPr>
            <w:r>
              <w:rPr>
                <w:rFonts w:ascii="Arial" w:cs="Arial" w:eastAsia="Arial" w:hAnsi="Arial"/>
                <w:sz w:val="12"/>
                <w:szCs w:val="12"/>
                <w:color w:val="auto"/>
              </w:rPr>
              <w:t>(1)</w:t>
            </w:r>
          </w:p>
        </w:tc>
        <w:tc>
          <w:tcPr>
            <w:tcW w:w="118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778,514</w:t>
            </w:r>
          </w:p>
        </w:tc>
      </w:tr>
      <w:tr>
        <w:trPr>
          <w:trHeight w:val="210"/>
        </w:trPr>
        <w:tc>
          <w:tcPr>
            <w:tcW w:w="62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Jennifer Khoury</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18,893</w:t>
            </w: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720,066</w:t>
            </w:r>
          </w:p>
        </w:tc>
      </w:tr>
    </w:tbl>
    <w:p>
      <w:pPr>
        <w:spacing w:after="0" w:line="50" w:lineRule="exact"/>
        <w:rPr>
          <w:sz w:val="20"/>
          <w:szCs w:val="20"/>
          <w:color w:val="auto"/>
        </w:rPr>
      </w:pPr>
    </w:p>
    <w:p>
      <w:pPr>
        <w:ind w:left="320" w:hanging="312"/>
        <w:spacing w:after="0" w:line="236" w:lineRule="auto"/>
        <w:tabs>
          <w:tab w:leader="none" w:pos="320" w:val="left"/>
        </w:tabs>
        <w:numPr>
          <w:ilvl w:val="0"/>
          <w:numId w:val="89"/>
        </w:numPr>
        <w:rPr>
          <w:rFonts w:ascii="Arial" w:cs="Arial" w:eastAsia="Arial" w:hAnsi="Arial"/>
          <w:sz w:val="13"/>
          <w:szCs w:val="13"/>
          <w:color w:val="auto"/>
        </w:rPr>
      </w:pPr>
      <w:r>
        <w:rPr>
          <w:rFonts w:ascii="Arial" w:cs="Arial" w:eastAsia="Arial" w:hAnsi="Arial"/>
          <w:sz w:val="15"/>
          <w:szCs w:val="15"/>
          <w:color w:val="auto"/>
        </w:rPr>
        <w:t>Mr. Roberts deferred the receipt of shares relating to 23,164 and 69,763 PSUs that vested on March 15, 2023 and March 16, 2023, respectively, and Mr. Reid deferred the receipt of shares relating to 11,700 RSUs that vested on July 5, 2023. The value of the stock units realized on vesting is based on the value of a share of Class A common stock on the vesting date, regardless of whether the receipt of the underlying shares had been deferred. The actual value of the stock units realized upon settlement may be different than the value reflected in this table. The value realized on vesting also is reflected in the “Executive Contributions in Last FY” column of the “Nonqualified Deferred Compensation in and as of Fiscal Year-End” table immediately below.</w:t>
      </w: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color w:val="auto"/>
        </w:rPr>
        <w:t>Nonqualified Deferred Compensation in and as of Fiscal Year-End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on the nonqualified deferred compensation of our NEOs in and as of the end of 2023.</w:t>
      </w:r>
      <w:r>
        <w:rPr>
          <w:rFonts w:ascii="Arial" w:cs="Arial" w:eastAsia="Arial" w:hAnsi="Arial"/>
          <w:sz w:val="29"/>
          <w:szCs w:val="29"/>
          <w:color w:val="auto"/>
          <w:vertAlign w:val="superscript"/>
        </w:rPr>
        <w:t>(1)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372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EXECUTIVE</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AGGREGATE</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AGGREGATE</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840" w:type="dxa"/>
            <w:vAlign w:val="bottom"/>
          </w:tcPr>
          <w:p>
            <w:pPr>
              <w:spacing w:after="0"/>
              <w:rPr>
                <w:sz w:val="14"/>
                <w:szCs w:val="14"/>
                <w:color w:val="auto"/>
              </w:rPr>
            </w:pPr>
          </w:p>
        </w:tc>
        <w:tc>
          <w:tcPr>
            <w:tcW w:w="372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CONTRIBUTIONS</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EARNINGS IN</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WITHDRAWALS/</w:t>
            </w:r>
          </w:p>
        </w:tc>
        <w:tc>
          <w:tcPr>
            <w:tcW w:w="1140" w:type="dxa"/>
            <w:vAlign w:val="bottom"/>
          </w:tcPr>
          <w:p>
            <w:pPr>
              <w:jc w:val="right"/>
              <w:ind w:right="9"/>
              <w:spacing w:after="0"/>
              <w:rPr>
                <w:sz w:val="20"/>
                <w:szCs w:val="20"/>
                <w:color w:val="auto"/>
              </w:rPr>
            </w:pPr>
            <w:r>
              <w:rPr>
                <w:rFonts w:ascii="Arial" w:cs="Arial" w:eastAsia="Arial" w:hAnsi="Arial"/>
                <w:sz w:val="14"/>
                <w:szCs w:val="14"/>
                <w:b w:val="1"/>
                <w:bCs w:val="1"/>
                <w:color w:val="auto"/>
              </w:rPr>
              <w:t>BALANCE AT</w:t>
            </w:r>
          </w:p>
        </w:tc>
      </w:tr>
      <w:tr>
        <w:trPr>
          <w:trHeight w:val="180"/>
        </w:trPr>
        <w:tc>
          <w:tcPr>
            <w:tcW w:w="3840" w:type="dxa"/>
            <w:vAlign w:val="bottom"/>
          </w:tcPr>
          <w:p>
            <w:pPr>
              <w:spacing w:after="0"/>
              <w:rPr>
                <w:sz w:val="15"/>
                <w:szCs w:val="15"/>
                <w:color w:val="auto"/>
              </w:rPr>
            </w:pPr>
          </w:p>
        </w:tc>
        <w:tc>
          <w:tcPr>
            <w:tcW w:w="3720" w:type="dxa"/>
            <w:vAlign w:val="bottom"/>
            <w:gridSpan w:val="2"/>
          </w:tcPr>
          <w:p>
            <w:pPr>
              <w:jc w:val="right"/>
              <w:ind w:right="76"/>
              <w:spacing w:after="0" w:line="180" w:lineRule="exact"/>
              <w:rPr>
                <w:sz w:val="20"/>
                <w:szCs w:val="20"/>
                <w:color w:val="auto"/>
              </w:rPr>
            </w:pPr>
            <w:r>
              <w:rPr>
                <w:rFonts w:ascii="Arial" w:cs="Arial" w:eastAsia="Arial" w:hAnsi="Arial"/>
                <w:sz w:val="13"/>
                <w:szCs w:val="13"/>
                <w:b w:val="1"/>
                <w:bCs w:val="1"/>
                <w:color w:val="auto"/>
              </w:rPr>
              <w:t>IN LAST FY</w:t>
            </w:r>
            <w:r>
              <w:rPr>
                <w:rFonts w:ascii="Arial" w:cs="Arial" w:eastAsia="Arial" w:hAnsi="Arial"/>
                <w:sz w:val="20"/>
                <w:szCs w:val="20"/>
                <w:b w:val="1"/>
                <w:bCs w:val="1"/>
                <w:color w:val="auto"/>
                <w:vertAlign w:val="superscript"/>
              </w:rPr>
              <w:t>(2)</w:t>
            </w: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rPr>
              <w:t>LAST FY</w:t>
            </w:r>
          </w:p>
        </w:tc>
        <w:tc>
          <w:tcPr>
            <w:tcW w:w="1360" w:type="dxa"/>
            <w:vAlign w:val="bottom"/>
          </w:tcPr>
          <w:p>
            <w:pPr>
              <w:jc w:val="right"/>
              <w:ind w:right="48"/>
              <w:spacing w:after="0"/>
              <w:rPr>
                <w:sz w:val="20"/>
                <w:szCs w:val="20"/>
                <w:color w:val="auto"/>
              </w:rPr>
            </w:pPr>
            <w:r>
              <w:rPr>
                <w:rFonts w:ascii="Arial" w:cs="Arial" w:eastAsia="Arial" w:hAnsi="Arial"/>
                <w:sz w:val="14"/>
                <w:szCs w:val="14"/>
                <w:b w:val="1"/>
                <w:bCs w:val="1"/>
                <w:color w:val="auto"/>
              </w:rPr>
              <w:t>DISTRIBUTIONS</w:t>
            </w:r>
          </w:p>
        </w:tc>
        <w:tc>
          <w:tcPr>
            <w:tcW w:w="1140" w:type="dxa"/>
            <w:vAlign w:val="bottom"/>
          </w:tcPr>
          <w:p>
            <w:pPr>
              <w:jc w:val="right"/>
              <w:ind w:right="9"/>
              <w:spacing w:after="0" w:line="180" w:lineRule="exact"/>
              <w:rPr>
                <w:sz w:val="20"/>
                <w:szCs w:val="20"/>
                <w:color w:val="auto"/>
              </w:rPr>
            </w:pPr>
            <w:r>
              <w:rPr>
                <w:rFonts w:ascii="Arial" w:cs="Arial" w:eastAsia="Arial" w:hAnsi="Arial"/>
                <w:sz w:val="13"/>
                <w:szCs w:val="13"/>
                <w:b w:val="1"/>
                <w:bCs w:val="1"/>
                <w:color w:val="auto"/>
              </w:rPr>
              <w:t>LAST FYE</w:t>
            </w:r>
            <w:r>
              <w:rPr>
                <w:rFonts w:ascii="Arial" w:cs="Arial" w:eastAsia="Arial" w:hAnsi="Arial"/>
                <w:sz w:val="20"/>
                <w:szCs w:val="20"/>
                <w:b w:val="1"/>
                <w:bCs w:val="1"/>
                <w:color w:val="auto"/>
                <w:vertAlign w:val="superscript"/>
              </w:rPr>
              <w:t>(2)</w:t>
            </w:r>
          </w:p>
        </w:tc>
      </w:tr>
      <w:tr>
        <w:trPr>
          <w:trHeight w:val="197"/>
        </w:trPr>
        <w:tc>
          <w:tcPr>
            <w:tcW w:w="3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NAME</w:t>
            </w:r>
          </w:p>
        </w:tc>
        <w:tc>
          <w:tcPr>
            <w:tcW w:w="3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r>
      <w:tr>
        <w:trPr>
          <w:trHeight w:val="237"/>
        </w:trPr>
        <w:tc>
          <w:tcPr>
            <w:tcW w:w="384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Brian L. Roberts</w:t>
            </w:r>
          </w:p>
        </w:tc>
        <w:tc>
          <w:tcPr>
            <w:tcW w:w="3200" w:type="dxa"/>
            <w:vAlign w:val="bottom"/>
            <w:tcBorders>
              <w:bottom w:val="single" w:sz="8" w:color="DCDDDE"/>
            </w:tcBorders>
          </w:tcPr>
          <w:p>
            <w:pPr>
              <w:jc w:val="right"/>
              <w:ind w:right="149"/>
              <w:spacing w:after="0"/>
              <w:rPr>
                <w:sz w:val="20"/>
                <w:szCs w:val="20"/>
                <w:color w:val="auto"/>
              </w:rPr>
            </w:pPr>
            <w:r>
              <w:rPr>
                <w:rFonts w:ascii="Arial" w:cs="Arial" w:eastAsia="Arial" w:hAnsi="Arial"/>
                <w:sz w:val="14"/>
                <w:szCs w:val="14"/>
                <w:color w:val="auto"/>
              </w:rPr>
              <w:t>3,359,567</w:t>
            </w:r>
          </w:p>
        </w:tc>
        <w:tc>
          <w:tcPr>
            <w:tcW w:w="520" w:type="dxa"/>
            <w:vAlign w:val="bottom"/>
            <w:tcBorders>
              <w:bottom w:val="single" w:sz="8" w:color="DCDDDE"/>
            </w:tcBorders>
          </w:tcPr>
          <w:p>
            <w:pPr>
              <w:jc w:val="right"/>
              <w:ind w:right="76"/>
              <w:spacing w:after="0"/>
              <w:rPr>
                <w:sz w:val="20"/>
                <w:szCs w:val="20"/>
                <w:color w:val="auto"/>
              </w:rPr>
            </w:pPr>
            <w:r>
              <w:rPr>
                <w:rFonts w:ascii="Arial" w:cs="Arial" w:eastAsia="Arial" w:hAnsi="Arial"/>
                <w:sz w:val="12"/>
                <w:szCs w:val="12"/>
                <w:color w:val="auto"/>
              </w:rPr>
              <w:t>(1)</w:t>
            </w:r>
          </w:p>
        </w:tc>
        <w:tc>
          <w:tcPr>
            <w:tcW w:w="1180" w:type="dxa"/>
            <w:vAlign w:val="bottom"/>
            <w:tcBorders>
              <w:bottom w:val="single" w:sz="8" w:color="DCDDDE"/>
            </w:tcBorders>
          </w:tcPr>
          <w:p>
            <w:pPr>
              <w:jc w:val="right"/>
              <w:ind w:right="28"/>
              <w:spacing w:after="0"/>
              <w:rPr>
                <w:sz w:val="20"/>
                <w:szCs w:val="20"/>
                <w:color w:val="auto"/>
              </w:rPr>
            </w:pPr>
            <w:r>
              <w:rPr>
                <w:rFonts w:ascii="Arial" w:cs="Arial" w:eastAsia="Arial" w:hAnsi="Arial"/>
                <w:sz w:val="14"/>
                <w:szCs w:val="14"/>
                <w:color w:val="auto"/>
              </w:rPr>
              <w:t>23,471,056</w:t>
            </w:r>
          </w:p>
        </w:tc>
        <w:tc>
          <w:tcPr>
            <w:tcW w:w="1360" w:type="dxa"/>
            <w:vAlign w:val="bottom"/>
            <w:tcBorders>
              <w:bottom w:val="single" w:sz="8" w:color="DCDDDE"/>
            </w:tcBorders>
          </w:tcPr>
          <w:p>
            <w:pPr>
              <w:jc w:val="right"/>
              <w:ind w:right="48"/>
              <w:spacing w:after="0"/>
              <w:rPr>
                <w:sz w:val="20"/>
                <w:szCs w:val="20"/>
                <w:color w:val="auto"/>
              </w:rPr>
            </w:pPr>
            <w:r>
              <w:rPr>
                <w:rFonts w:ascii="Arial" w:cs="Arial" w:eastAsia="Arial" w:hAnsi="Arial"/>
                <w:sz w:val="14"/>
                <w:szCs w:val="14"/>
                <w:color w:val="auto"/>
              </w:rPr>
              <w:t>(768,846)</w:t>
            </w:r>
          </w:p>
        </w:tc>
        <w:tc>
          <w:tcPr>
            <w:tcW w:w="11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141,066,426</w:t>
            </w:r>
          </w:p>
        </w:tc>
      </w:tr>
      <w:tr>
        <w:trPr>
          <w:trHeight w:val="209"/>
        </w:trPr>
        <w:tc>
          <w:tcPr>
            <w:tcW w:w="384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Michael J. Cavanagh</w:t>
            </w:r>
          </w:p>
        </w:tc>
        <w:tc>
          <w:tcPr>
            <w:tcW w:w="3200" w:type="dxa"/>
            <w:vAlign w:val="bottom"/>
            <w:tcBorders>
              <w:bottom w:val="single" w:sz="8" w:color="DCDDDE"/>
            </w:tcBorders>
          </w:tcPr>
          <w:p>
            <w:pPr>
              <w:jc w:val="right"/>
              <w:ind w:right="14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jc w:val="right"/>
              <w:ind w:right="28"/>
              <w:spacing w:after="0"/>
              <w:rPr>
                <w:sz w:val="20"/>
                <w:szCs w:val="20"/>
                <w:color w:val="auto"/>
              </w:rPr>
            </w:pPr>
            <w:r>
              <w:rPr>
                <w:rFonts w:ascii="Arial" w:cs="Arial" w:eastAsia="Arial" w:hAnsi="Arial"/>
                <w:sz w:val="14"/>
                <w:szCs w:val="14"/>
                <w:color w:val="auto"/>
              </w:rPr>
              <w:t>5,684,382</w:t>
            </w:r>
          </w:p>
        </w:tc>
        <w:tc>
          <w:tcPr>
            <w:tcW w:w="1360" w:type="dxa"/>
            <w:vAlign w:val="bottom"/>
            <w:tcBorders>
              <w:bottom w:val="single" w:sz="8" w:color="DCDDDE"/>
            </w:tcBorders>
          </w:tcPr>
          <w:p>
            <w:pPr>
              <w:jc w:val="right"/>
              <w:ind w:right="48"/>
              <w:spacing w:after="0"/>
              <w:rPr>
                <w:sz w:val="20"/>
                <w:szCs w:val="20"/>
                <w:color w:val="auto"/>
              </w:rPr>
            </w:pPr>
            <w:r>
              <w:rPr>
                <w:rFonts w:ascii="Arial" w:cs="Arial" w:eastAsia="Arial" w:hAnsi="Arial"/>
                <w:sz w:val="14"/>
                <w:szCs w:val="14"/>
                <w:color w:val="auto"/>
              </w:rPr>
              <w:t>(10,147,012)</w:t>
            </w:r>
          </w:p>
        </w:tc>
        <w:tc>
          <w:tcPr>
            <w:tcW w:w="11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49,875,868</w:t>
            </w:r>
          </w:p>
        </w:tc>
      </w:tr>
      <w:tr>
        <w:trPr>
          <w:trHeight w:val="210"/>
        </w:trPr>
        <w:tc>
          <w:tcPr>
            <w:tcW w:w="384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Jason S. Armstrong</w:t>
            </w:r>
          </w:p>
        </w:tc>
        <w:tc>
          <w:tcPr>
            <w:tcW w:w="3200" w:type="dxa"/>
            <w:vAlign w:val="bottom"/>
            <w:tcBorders>
              <w:bottom w:val="single" w:sz="8" w:color="DCDDDE"/>
            </w:tcBorders>
          </w:tcPr>
          <w:p>
            <w:pPr>
              <w:jc w:val="right"/>
              <w:ind w:right="149"/>
              <w:spacing w:after="0"/>
              <w:rPr>
                <w:sz w:val="20"/>
                <w:szCs w:val="20"/>
                <w:color w:val="auto"/>
              </w:rPr>
            </w:pPr>
            <w:r>
              <w:rPr>
                <w:rFonts w:ascii="Arial" w:cs="Arial" w:eastAsia="Arial" w:hAnsi="Arial"/>
                <w:sz w:val="14"/>
                <w:szCs w:val="14"/>
                <w:color w:val="auto"/>
              </w:rPr>
              <w:t>1,050,000</w:t>
            </w:r>
          </w:p>
        </w:tc>
        <w:tc>
          <w:tcPr>
            <w:tcW w:w="520" w:type="dxa"/>
            <w:vAlign w:val="bottom"/>
            <w:tcBorders>
              <w:bottom w:val="single" w:sz="8" w:color="DCDDDE"/>
            </w:tcBorders>
          </w:tcPr>
          <w:p>
            <w:pPr>
              <w:spacing w:after="0"/>
              <w:rPr>
                <w:sz w:val="18"/>
                <w:szCs w:val="18"/>
                <w:color w:val="auto"/>
              </w:rPr>
            </w:pPr>
          </w:p>
        </w:tc>
        <w:tc>
          <w:tcPr>
            <w:tcW w:w="1180" w:type="dxa"/>
            <w:vAlign w:val="bottom"/>
            <w:tcBorders>
              <w:bottom w:val="single" w:sz="8" w:color="DCDDDE"/>
            </w:tcBorders>
          </w:tcPr>
          <w:p>
            <w:pPr>
              <w:jc w:val="right"/>
              <w:ind w:right="28"/>
              <w:spacing w:after="0"/>
              <w:rPr>
                <w:sz w:val="20"/>
                <w:szCs w:val="20"/>
                <w:color w:val="auto"/>
              </w:rPr>
            </w:pPr>
            <w:r>
              <w:rPr>
                <w:rFonts w:ascii="Arial" w:cs="Arial" w:eastAsia="Arial" w:hAnsi="Arial"/>
                <w:sz w:val="14"/>
                <w:szCs w:val="14"/>
                <w:color w:val="auto"/>
              </w:rPr>
              <w:t>1,178,231</w:t>
            </w:r>
          </w:p>
        </w:tc>
        <w:tc>
          <w:tcPr>
            <w:tcW w:w="1360" w:type="dxa"/>
            <w:vAlign w:val="bottom"/>
            <w:tcBorders>
              <w:bottom w:val="single" w:sz="8" w:color="DCDDDE"/>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11,551,321</w:t>
            </w:r>
          </w:p>
        </w:tc>
      </w:tr>
      <w:tr>
        <w:trPr>
          <w:trHeight w:val="236"/>
        </w:trPr>
        <w:tc>
          <w:tcPr>
            <w:tcW w:w="384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Thomas J. Reid</w:t>
            </w:r>
          </w:p>
        </w:tc>
        <w:tc>
          <w:tcPr>
            <w:tcW w:w="3200" w:type="dxa"/>
            <w:vAlign w:val="bottom"/>
            <w:tcBorders>
              <w:bottom w:val="single" w:sz="8" w:color="DCDDDE"/>
            </w:tcBorders>
          </w:tcPr>
          <w:p>
            <w:pPr>
              <w:jc w:val="right"/>
              <w:ind w:right="149"/>
              <w:spacing w:after="0"/>
              <w:rPr>
                <w:sz w:val="20"/>
                <w:szCs w:val="20"/>
                <w:color w:val="auto"/>
              </w:rPr>
            </w:pPr>
            <w:r>
              <w:rPr>
                <w:rFonts w:ascii="Arial" w:cs="Arial" w:eastAsia="Arial" w:hAnsi="Arial"/>
                <w:sz w:val="14"/>
                <w:szCs w:val="14"/>
                <w:color w:val="auto"/>
              </w:rPr>
              <w:t>485,316</w:t>
            </w:r>
          </w:p>
        </w:tc>
        <w:tc>
          <w:tcPr>
            <w:tcW w:w="520" w:type="dxa"/>
            <w:vAlign w:val="bottom"/>
            <w:tcBorders>
              <w:bottom w:val="single" w:sz="8" w:color="DCDDDE"/>
            </w:tcBorders>
          </w:tcPr>
          <w:p>
            <w:pPr>
              <w:jc w:val="right"/>
              <w:ind w:right="76"/>
              <w:spacing w:after="0"/>
              <w:rPr>
                <w:sz w:val="20"/>
                <w:szCs w:val="20"/>
                <w:color w:val="auto"/>
              </w:rPr>
            </w:pPr>
            <w:r>
              <w:rPr>
                <w:rFonts w:ascii="Arial" w:cs="Arial" w:eastAsia="Arial" w:hAnsi="Arial"/>
                <w:sz w:val="12"/>
                <w:szCs w:val="12"/>
                <w:color w:val="auto"/>
              </w:rPr>
              <w:t>(1)</w:t>
            </w:r>
          </w:p>
        </w:tc>
        <w:tc>
          <w:tcPr>
            <w:tcW w:w="1180" w:type="dxa"/>
            <w:vAlign w:val="bottom"/>
            <w:tcBorders>
              <w:bottom w:val="single" w:sz="8" w:color="DCDDDE"/>
            </w:tcBorders>
          </w:tcPr>
          <w:p>
            <w:pPr>
              <w:jc w:val="right"/>
              <w:ind w:right="28"/>
              <w:spacing w:after="0"/>
              <w:rPr>
                <w:sz w:val="20"/>
                <w:szCs w:val="20"/>
                <w:color w:val="auto"/>
              </w:rPr>
            </w:pPr>
            <w:r>
              <w:rPr>
                <w:rFonts w:ascii="Arial" w:cs="Arial" w:eastAsia="Arial" w:hAnsi="Arial"/>
                <w:sz w:val="14"/>
                <w:szCs w:val="14"/>
                <w:color w:val="auto"/>
              </w:rPr>
              <w:t>358,878</w:t>
            </w:r>
          </w:p>
        </w:tc>
        <w:tc>
          <w:tcPr>
            <w:tcW w:w="1360" w:type="dxa"/>
            <w:vAlign w:val="bottom"/>
            <w:tcBorders>
              <w:bottom w:val="single" w:sz="8" w:color="DCDDDE"/>
            </w:tcBorders>
          </w:tcPr>
          <w:p>
            <w:pPr>
              <w:jc w:val="right"/>
              <w:ind w:right="48"/>
              <w:spacing w:after="0"/>
              <w:rPr>
                <w:sz w:val="20"/>
                <w:szCs w:val="20"/>
                <w:color w:val="auto"/>
              </w:rPr>
            </w:pPr>
            <w:r>
              <w:rPr>
                <w:rFonts w:ascii="Arial" w:cs="Arial" w:eastAsia="Arial" w:hAnsi="Arial"/>
                <w:sz w:val="14"/>
                <w:szCs w:val="14"/>
                <w:color w:val="auto"/>
              </w:rPr>
              <w:t>(1,106,278)</w:t>
            </w:r>
          </w:p>
        </w:tc>
        <w:tc>
          <w:tcPr>
            <w:tcW w:w="1140" w:type="dxa"/>
            <w:vAlign w:val="bottom"/>
            <w:tcBorders>
              <w:bottom w:val="single" w:sz="8" w:color="DCDDDE"/>
            </w:tcBorders>
          </w:tcPr>
          <w:p>
            <w:pPr>
              <w:jc w:val="right"/>
              <w:ind w:right="9"/>
              <w:spacing w:after="0"/>
              <w:rPr>
                <w:sz w:val="20"/>
                <w:szCs w:val="20"/>
                <w:color w:val="auto"/>
              </w:rPr>
            </w:pPr>
            <w:r>
              <w:rPr>
                <w:rFonts w:ascii="Arial" w:cs="Arial" w:eastAsia="Arial" w:hAnsi="Arial"/>
                <w:sz w:val="14"/>
                <w:szCs w:val="14"/>
                <w:color w:val="auto"/>
              </w:rPr>
              <w:t>1,697,943</w:t>
            </w:r>
          </w:p>
        </w:tc>
      </w:tr>
      <w:tr>
        <w:trPr>
          <w:trHeight w:val="210"/>
        </w:trPr>
        <w:tc>
          <w:tcPr>
            <w:tcW w:w="3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Jennifer Khoury</w:t>
            </w:r>
          </w:p>
        </w:tc>
        <w:tc>
          <w:tcPr>
            <w:tcW w:w="32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166,673</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3,570,482</w:t>
            </w:r>
          </w:p>
        </w:tc>
      </w:tr>
    </w:tbl>
    <w:p>
      <w:pPr>
        <w:spacing w:after="0" w:line="50" w:lineRule="exact"/>
        <w:rPr>
          <w:sz w:val="20"/>
          <w:szCs w:val="20"/>
          <w:color w:val="auto"/>
        </w:rPr>
      </w:pPr>
    </w:p>
    <w:p>
      <w:pPr>
        <w:ind w:left="320" w:right="200" w:hanging="312"/>
        <w:spacing w:after="0" w:line="244" w:lineRule="auto"/>
        <w:tabs>
          <w:tab w:leader="none" w:pos="320" w:val="left"/>
        </w:tabs>
        <w:numPr>
          <w:ilvl w:val="0"/>
          <w:numId w:val="90"/>
        </w:numPr>
        <w:rPr>
          <w:rFonts w:ascii="Arial" w:cs="Arial" w:eastAsia="Arial" w:hAnsi="Arial"/>
          <w:sz w:val="13"/>
          <w:szCs w:val="13"/>
          <w:color w:val="auto"/>
        </w:rPr>
      </w:pPr>
      <w:r>
        <w:rPr>
          <w:rFonts w:ascii="Arial" w:cs="Arial" w:eastAsia="Arial" w:hAnsi="Arial"/>
          <w:sz w:val="15"/>
          <w:szCs w:val="15"/>
          <w:color w:val="auto"/>
        </w:rPr>
        <w:t>Amounts in this table have been deferred under our deferred compensation plans, except for deferrals of stock units with respect to shares of Class A common stock under our restricted stock plan. Eligible employees and directors may participate in these plans. Amounts credited to an NEO’s account are invested notionally in a third-party mutual or exchange fund or our company’s common stock fund.</w:t>
      </w:r>
    </w:p>
    <w:p>
      <w:pPr>
        <w:spacing w:after="0" w:line="206" w:lineRule="exact"/>
        <w:rPr>
          <w:sz w:val="20"/>
          <w:szCs w:val="20"/>
          <w:color w:val="auto"/>
        </w:rPr>
      </w:pPr>
    </w:p>
    <w:p>
      <w:pPr>
        <w:ind w:left="360" w:hanging="352"/>
        <w:spacing w:after="0"/>
        <w:tabs>
          <w:tab w:leader="none" w:pos="360" w:val="left"/>
        </w:tabs>
        <w:numPr>
          <w:ilvl w:val="0"/>
          <w:numId w:val="9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2" w:lineRule="exact"/>
        <w:rPr>
          <w:sz w:val="20"/>
          <w:szCs w:val="20"/>
          <w:color w:val="auto"/>
        </w:rPr>
      </w:pPr>
    </w:p>
    <w:p>
      <w:pPr>
        <w:ind w:left="320" w:right="140"/>
        <w:spacing w:after="0" w:line="236" w:lineRule="auto"/>
        <w:rPr>
          <w:sz w:val="20"/>
          <w:szCs w:val="20"/>
          <w:color w:val="auto"/>
        </w:rPr>
      </w:pPr>
      <w:r>
        <w:rPr>
          <w:rFonts w:ascii="Arial" w:cs="Arial" w:eastAsia="Arial" w:hAnsi="Arial"/>
          <w:sz w:val="15"/>
          <w:szCs w:val="15"/>
          <w:color w:val="auto"/>
        </w:rPr>
        <w:t>Under our restricted stock plan, eligible employees may defer the receipt of shares that may, subject to an award of stock units, vest in the future. Upon vesting, deferred stock units are invested in our company stock fund. An employee who has elected to defer stock units may also make a “diversification election” of the shares subject to such stock units to have the value of such stock units transferred to our deferred compensation plans. Pursuant to our restricted stock plan, (i) Mr. Roberts deferred the settlement of 23,164 PSUs and 69,763 PSUs that vested on March 15, 2023 and March 16, 2023, respectively, and (ii) Mr. Reid deferred the settlement of 11,700 RSUs that vested on July 5, 2023.</w:t>
      </w:r>
    </w:p>
    <w:p>
      <w:pPr>
        <w:spacing w:after="0" w:line="29" w:lineRule="exact"/>
        <w:rPr>
          <w:sz w:val="20"/>
          <w:szCs w:val="20"/>
          <w:color w:val="auto"/>
        </w:rPr>
      </w:pPr>
    </w:p>
    <w:p>
      <w:pPr>
        <w:ind w:left="320" w:right="120"/>
        <w:spacing w:after="0" w:line="236" w:lineRule="auto"/>
        <w:rPr>
          <w:sz w:val="20"/>
          <w:szCs w:val="20"/>
          <w:color w:val="auto"/>
        </w:rPr>
      </w:pPr>
      <w:r>
        <w:rPr>
          <w:rFonts w:ascii="Arial" w:cs="Arial" w:eastAsia="Arial" w:hAnsi="Arial"/>
          <w:sz w:val="15"/>
          <w:szCs w:val="15"/>
          <w:color w:val="auto"/>
        </w:rPr>
        <w:t>The amounts shown in the “Executive Contributions in Last FY” column reflect the aggregate value of (i) stock units that were deferred in 2023 as of their respective vesting dates and (ii) amounts deemed invested in third-party mutual or exchange funds under our deferred compensation plans; the amounts shown in the “Aggregate Earnings in Last FY” column reflect the value of any aggregate gain or loss in 2023. During 2023, (i) the annual rates of return under the third-party mutual or exchange funds were as follows: 5.5%, 26.3%, 45.3%, 5.0%, 15.6%, 5.1% and 2.2%, and (ii) the annual rate of return under our company stock fund was 29.1%. No amounts represent interest earned in excess of 120% of the long-term applicable federal rate.</w:t>
      </w:r>
    </w:p>
    <w:p>
      <w:pPr>
        <w:spacing w:after="0" w:line="29" w:lineRule="exact"/>
        <w:rPr>
          <w:sz w:val="20"/>
          <w:szCs w:val="20"/>
          <w:color w:val="auto"/>
        </w:rPr>
      </w:pPr>
    </w:p>
    <w:p>
      <w:pPr>
        <w:ind w:left="320" w:right="100" w:hanging="312"/>
        <w:spacing w:after="0" w:line="234" w:lineRule="auto"/>
        <w:tabs>
          <w:tab w:leader="none" w:pos="320" w:val="left"/>
        </w:tabs>
        <w:numPr>
          <w:ilvl w:val="0"/>
          <w:numId w:val="92"/>
        </w:numPr>
        <w:rPr>
          <w:rFonts w:ascii="Arial" w:cs="Arial" w:eastAsia="Arial" w:hAnsi="Arial"/>
          <w:sz w:val="13"/>
          <w:szCs w:val="13"/>
          <w:color w:val="auto"/>
        </w:rPr>
      </w:pPr>
      <w:r>
        <w:rPr>
          <w:rFonts w:ascii="Arial" w:cs="Arial" w:eastAsia="Arial" w:hAnsi="Arial"/>
          <w:sz w:val="15"/>
          <w:szCs w:val="15"/>
          <w:color w:val="auto"/>
        </w:rPr>
        <w:t>These amounts (other than amounts related to deferrals of stock units) are reported as compensation in the “Summary Compensation Table” above under the columns “Salary” and “Non-Equity Incentive Plan Compensation.” All amounts contributed in prior years under our deferred compensation plans have been reported in the Summary Compensation Table in previously filed proxy statements in the year earned to the extent an individual was an NEO for purposes of the SEC’s executive compensation disclosure. The grant date fair value of stock units deferred under our restricted stock plan has been reported in the year granted in the Summary Compensation Table in previously filed proxy statements, to the extent an individual was an NEO for purposes of the SEC’s executive compensation disclosure. Fiscal year-end balances for each fund include net transfers between funds that occurred during the year.</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Agreements with Our Named Executive Officers</w:t>
      </w:r>
    </w:p>
    <w:p>
      <w:pPr>
        <w:spacing w:after="0" w:line="22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Each of our active NEOs has an employment agreement with us. Mr. Roberts’ agreement was effective as of August 1, 2017 and provides for an initial term of employment through July 31, 2020, which term will be extended automatically by one additional day for each day that elapses after August 1, 2017 (so that the term of the agreement will always be three years), unless otherwise terminated by either party in accordance with the employment agreement. Mr. Cavanagh’s agreement was entered into as of January 1, 2023 and secures his employment through December 31, 2027. Mr. Armstrong’s agreement was entered into as of January 6, 2023 and secures his employment through December 31, 2027. Mr. Reid’s new employment agreement was entered into as of January 1, 2024 and secures his employment through December 31, 2028. Ms. Khoury’s agreement was entered into as of January 1, 2023 and secures her employment through December 31, 2027.</w:t>
      </w:r>
    </w:p>
    <w:p>
      <w:pPr>
        <w:spacing w:after="0" w:line="18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Each of the employment agreements provides for a base salary either as specified in the agreement or otherwise then in effect. An NEO’s salary may not be reduced, except under an overall plan to reduce their salary on a basis consistent with other senior executives at their respective levels. The NEOs also are eligible to receive an annual performance bonus, payable in cash, of a percentage of their respective base salaries for the applicable year. The current target bonus opportunities for Messrs. Roberts and Cavanagh are 300%, for Mr. Reid 250%, for Mr. Armstrong 200% and for Ms. Khoury 150%, in each case of their respective base salaries. Our NEOs are also entitled to receive certain severance benefits under their respective agreements in the event of a qualifying termination of employment as described under the “Potential Payments upon Termination or Change in Control” table below.</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Under the agreements, each NEO has agreed not to compete with us during their employment and, in the event their employment terminates other than by us without cause or by them with good reason, for one year after termination of their employment.</w:t>
      </w:r>
    </w:p>
    <w:p>
      <w:pPr>
        <w:spacing w:after="0" w:line="15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Each of our NEOs has agreed not to solicit our employees or customers for one year after termination of their employment and is subject to confidentiality covenants. Each has agreed to maintain the confidentiality of our information and not to use such information, except for our benefit, at all times during and after their employment with us.</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color w:val="auto"/>
        </w:rPr>
        <w:t>Potential Payments upon Termination or Change in Control</w:t>
      </w:r>
    </w:p>
    <w:p>
      <w:pPr>
        <w:spacing w:after="0" w:line="22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table below describes the payments and benefits to which each of our active NEOs would have been entitled (i) had their employment terminated on December 31, 2023 (a) by us without cause or by them with good reason, (b) because of their death, (c) due to their disability or (d) upon their retirement or (ii) upon a change in control. In addition to the specific payments and benefits described below for each NEO, our NEOs also would have been entitled to receive any benefits due under the terms of our benefit plans and programs, including our deferred compensation plans described in further detail in the “Nonqualified Deferred Compensation in and as of Fiscal Year-End” table above. All amounts are estimates only, and actual amounts will vary depending upon the facts and circumstances applicable at the time of the triggering event.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46</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ACCELERATION/</w:t>
            </w:r>
          </w:p>
        </w:tc>
        <w:tc>
          <w:tcPr>
            <w:tcW w:w="1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CONTINUED</w:t>
            </w:r>
          </w:p>
        </w:tc>
        <w:tc>
          <w:tcPr>
            <w:tcW w:w="12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ACCELERATION/</w:t>
            </w: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VESTING &amp;</w:t>
            </w:r>
          </w:p>
        </w:tc>
        <w:tc>
          <w:tcPr>
            <w:tcW w:w="12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EXERCISABILITY</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CONTINUED</w:t>
            </w: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460" w:type="dxa"/>
            <w:vAlign w:val="bottom"/>
          </w:tcPr>
          <w:p>
            <w:pPr>
              <w:spacing w:after="0"/>
              <w:rPr>
                <w:sz w:val="15"/>
                <w:szCs w:val="15"/>
                <w:color w:val="auto"/>
              </w:rPr>
            </w:pPr>
          </w:p>
        </w:tc>
        <w:tc>
          <w:tcPr>
            <w:tcW w:w="204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rPr>
              <w:t>BASE SALARY</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ANNUAL</w:t>
            </w:r>
          </w:p>
        </w:tc>
        <w:tc>
          <w:tcPr>
            <w:tcW w:w="1120" w:type="dxa"/>
            <w:vAlign w:val="bottom"/>
          </w:tcPr>
          <w:p>
            <w:pPr>
              <w:jc w:val="right"/>
              <w:ind w:right="29"/>
              <w:spacing w:after="0"/>
              <w:rPr>
                <w:sz w:val="20"/>
                <w:szCs w:val="20"/>
                <w:color w:val="auto"/>
              </w:rPr>
            </w:pPr>
            <w:r>
              <w:rPr>
                <w:rFonts w:ascii="Arial" w:cs="Arial" w:eastAsia="Arial" w:hAnsi="Arial"/>
                <w:sz w:val="13"/>
                <w:szCs w:val="13"/>
                <w:b w:val="1"/>
                <w:bCs w:val="1"/>
                <w:color w:val="auto"/>
              </w:rPr>
              <w:t>ACCRUED</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OF UNVESTED</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VESTING OF</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HEALTH</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120" w:type="dxa"/>
            <w:vAlign w:val="bottom"/>
          </w:tcPr>
          <w:p>
            <w:pPr>
              <w:jc w:val="right"/>
              <w:ind w:right="9"/>
              <w:spacing w:after="0"/>
              <w:rPr>
                <w:sz w:val="20"/>
                <w:szCs w:val="20"/>
                <w:color w:val="auto"/>
              </w:rPr>
            </w:pPr>
            <w:r>
              <w:rPr>
                <w:rFonts w:ascii="Arial" w:cs="Arial" w:eastAsia="Arial" w:hAnsi="Arial"/>
                <w:sz w:val="13"/>
                <w:szCs w:val="13"/>
                <w:b w:val="1"/>
                <w:bCs w:val="1"/>
                <w:color w:val="auto"/>
              </w:rPr>
              <w:t>CASH BONUS</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ANNUAL CASH</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STOCK</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UNVESTED</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BENEFIT</w:t>
            </w:r>
          </w:p>
        </w:tc>
        <w:tc>
          <w:tcPr>
            <w:tcW w:w="920" w:type="dxa"/>
            <w:vAlign w:val="bottom"/>
            <w:vMerge w:val="restart"/>
          </w:tcPr>
          <w:p>
            <w:pPr>
              <w:jc w:val="right"/>
              <w:ind w:right="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1"/>
        </w:trPr>
        <w:tc>
          <w:tcPr>
            <w:tcW w:w="24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NAME</w:t>
            </w:r>
          </w:p>
        </w:tc>
        <w:tc>
          <w:tcPr>
            <w:tcW w:w="2040" w:type="dxa"/>
            <w:vAlign w:val="bottom"/>
          </w:tcPr>
          <w:p>
            <w:pPr>
              <w:jc w:val="right"/>
              <w:spacing w:after="0"/>
              <w:rPr>
                <w:sz w:val="20"/>
                <w:szCs w:val="20"/>
                <w:color w:val="auto"/>
              </w:rPr>
            </w:pPr>
            <w:r>
              <w:rPr>
                <w:rFonts w:ascii="Arial" w:cs="Arial" w:eastAsia="Arial" w:hAnsi="Arial"/>
                <w:sz w:val="13"/>
                <w:szCs w:val="13"/>
                <w:b w:val="1"/>
                <w:bCs w:val="1"/>
                <w:color w:val="auto"/>
              </w:rPr>
              <w:t>CONTINUATION</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CONTINUATION</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BONUS</w:t>
            </w:r>
          </w:p>
        </w:tc>
        <w:tc>
          <w:tcPr>
            <w:tcW w:w="1220" w:type="dxa"/>
            <w:vAlign w:val="bottom"/>
          </w:tcPr>
          <w:p>
            <w:pPr>
              <w:jc w:val="right"/>
              <w:ind w:right="10"/>
              <w:spacing w:after="0" w:line="161"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8"/>
                <w:szCs w:val="18"/>
                <w:b w:val="1"/>
                <w:bCs w:val="1"/>
                <w:color w:val="auto"/>
                <w:vertAlign w:val="superscript"/>
              </w:rPr>
              <w:t>(1)</w:t>
            </w:r>
          </w:p>
        </w:tc>
        <w:tc>
          <w:tcPr>
            <w:tcW w:w="1220" w:type="dxa"/>
            <w:vAlign w:val="bottom"/>
          </w:tcPr>
          <w:p>
            <w:pPr>
              <w:jc w:val="right"/>
              <w:ind w:right="29"/>
              <w:spacing w:after="0" w:line="161" w:lineRule="exact"/>
              <w:rPr>
                <w:sz w:val="20"/>
                <w:szCs w:val="20"/>
                <w:color w:val="auto"/>
              </w:rPr>
            </w:pPr>
            <w:r>
              <w:rPr>
                <w:rFonts w:ascii="Arial" w:cs="Arial" w:eastAsia="Arial" w:hAnsi="Arial"/>
                <w:sz w:val="11"/>
                <w:szCs w:val="11"/>
                <w:b w:val="1"/>
                <w:bCs w:val="1"/>
                <w:color w:val="auto"/>
              </w:rPr>
              <w:t>STOCK UNITS</w:t>
            </w:r>
            <w:r>
              <w:rPr>
                <w:rFonts w:ascii="Arial" w:cs="Arial" w:eastAsia="Arial" w:hAnsi="Arial"/>
                <w:sz w:val="18"/>
                <w:szCs w:val="18"/>
                <w:b w:val="1"/>
                <w:bCs w:val="1"/>
                <w:color w:val="auto"/>
                <w:vertAlign w:val="superscript"/>
              </w:rPr>
              <w:t>(1)</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CONTINUATION</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6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0"/>
        </w:trPr>
        <w:tc>
          <w:tcPr>
            <w:tcW w:w="246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Brian L. Roberts</w:t>
            </w:r>
          </w:p>
        </w:tc>
        <w:tc>
          <w:tcPr>
            <w:tcW w:w="204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220" w:type="dxa"/>
            <w:vAlign w:val="bottom"/>
            <w:tcBorders>
              <w:bottom w:val="single" w:sz="8" w:color="DCDDDE"/>
            </w:tcBorders>
          </w:tcPr>
          <w:p>
            <w:pPr>
              <w:spacing w:after="0"/>
              <w:rPr>
                <w:sz w:val="18"/>
                <w:szCs w:val="18"/>
                <w:color w:val="auto"/>
              </w:rPr>
            </w:pPr>
          </w:p>
        </w:tc>
        <w:tc>
          <w:tcPr>
            <w:tcW w:w="1220" w:type="dxa"/>
            <w:vAlign w:val="bottom"/>
            <w:tcBorders>
              <w:bottom w:val="single" w:sz="8" w:color="DCDDDE"/>
            </w:tcBorders>
          </w:tcPr>
          <w:p>
            <w:pPr>
              <w:spacing w:after="0"/>
              <w:rPr>
                <w:sz w:val="18"/>
                <w:szCs w:val="18"/>
                <w:color w:val="auto"/>
              </w:rPr>
            </w:pPr>
          </w:p>
        </w:tc>
        <w:tc>
          <w:tcPr>
            <w:tcW w:w="1140" w:type="dxa"/>
            <w:vAlign w:val="bottom"/>
            <w:tcBorders>
              <w:bottom w:val="single" w:sz="8" w:color="DCDDDE"/>
            </w:tcBorders>
          </w:tcPr>
          <w:p>
            <w:pPr>
              <w:spacing w:after="0"/>
              <w:rPr>
                <w:sz w:val="18"/>
                <w:szCs w:val="18"/>
                <w:color w:val="auto"/>
              </w:rPr>
            </w:pPr>
          </w:p>
        </w:tc>
        <w:tc>
          <w:tcPr>
            <w:tcW w:w="92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80"/>
              <w:spacing w:after="0"/>
              <w:rPr>
                <w:sz w:val="20"/>
                <w:szCs w:val="20"/>
                <w:color w:val="auto"/>
              </w:rPr>
            </w:pPr>
            <w:r>
              <w:rPr>
                <w:rFonts w:ascii="Arial" w:cs="Arial" w:eastAsia="Arial" w:hAnsi="Arial"/>
                <w:sz w:val="14"/>
                <w:szCs w:val="14"/>
                <w:color w:val="auto"/>
              </w:rPr>
              <w:t>Without Cause/</w:t>
            </w:r>
          </w:p>
        </w:tc>
        <w:tc>
          <w:tcPr>
            <w:tcW w:w="2040" w:type="dxa"/>
            <w:vAlign w:val="bottom"/>
          </w:tcPr>
          <w:p>
            <w:pPr>
              <w:jc w:val="right"/>
              <w:spacing w:after="0"/>
              <w:rPr>
                <w:sz w:val="20"/>
                <w:szCs w:val="20"/>
                <w:color w:val="auto"/>
              </w:rPr>
            </w:pPr>
            <w:r>
              <w:rPr>
                <w:rFonts w:ascii="Arial" w:cs="Arial" w:eastAsia="Arial" w:hAnsi="Arial"/>
                <w:sz w:val="14"/>
                <w:szCs w:val="14"/>
                <w:color w:val="auto"/>
              </w:rPr>
              <w:t>7,500,000</w:t>
            </w:r>
          </w:p>
        </w:tc>
        <w:tc>
          <w:tcPr>
            <w:tcW w:w="112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120" w:type="dxa"/>
            <w:vAlign w:val="bottom"/>
          </w:tcPr>
          <w:p>
            <w:pPr>
              <w:jc w:val="right"/>
              <w:spacing w:after="0"/>
              <w:rPr>
                <w:sz w:val="20"/>
                <w:szCs w:val="20"/>
                <w:color w:val="auto"/>
              </w:rPr>
            </w:pPr>
            <w:r>
              <w:rPr>
                <w:rFonts w:ascii="Arial" w:cs="Arial" w:eastAsia="Arial" w:hAnsi="Arial"/>
                <w:sz w:val="14"/>
                <w:szCs w:val="14"/>
                <w:color w:val="auto"/>
              </w:rPr>
              <w:t>7,500,000</w:t>
            </w:r>
          </w:p>
        </w:tc>
        <w:tc>
          <w:tcPr>
            <w:tcW w:w="1220" w:type="dxa"/>
            <w:vAlign w:val="bottom"/>
          </w:tcPr>
          <w:p>
            <w:pPr>
              <w:jc w:val="right"/>
              <w:spacing w:after="0"/>
              <w:rPr>
                <w:sz w:val="20"/>
                <w:szCs w:val="20"/>
                <w:color w:val="auto"/>
              </w:rPr>
            </w:pPr>
            <w:r>
              <w:rPr>
                <w:rFonts w:ascii="Arial" w:cs="Arial" w:eastAsia="Arial" w:hAnsi="Arial"/>
                <w:sz w:val="14"/>
                <w:szCs w:val="14"/>
                <w:color w:val="auto"/>
              </w:rPr>
              <w:t>15,799,956</w:t>
            </w:r>
          </w:p>
        </w:tc>
        <w:tc>
          <w:tcPr>
            <w:tcW w:w="1220" w:type="dxa"/>
            <w:vAlign w:val="bottom"/>
          </w:tcPr>
          <w:p>
            <w:pPr>
              <w:jc w:val="right"/>
              <w:spacing w:after="0"/>
              <w:rPr>
                <w:sz w:val="20"/>
                <w:szCs w:val="20"/>
                <w:color w:val="auto"/>
              </w:rPr>
            </w:pPr>
            <w:r>
              <w:rPr>
                <w:rFonts w:ascii="Arial" w:cs="Arial" w:eastAsia="Arial" w:hAnsi="Arial"/>
                <w:sz w:val="14"/>
                <w:szCs w:val="14"/>
                <w:color w:val="auto"/>
              </w:rPr>
              <w:t>49,205,751</w:t>
            </w:r>
          </w:p>
        </w:tc>
        <w:tc>
          <w:tcPr>
            <w:tcW w:w="1140" w:type="dxa"/>
            <w:vAlign w:val="bottom"/>
          </w:tcPr>
          <w:p>
            <w:pPr>
              <w:jc w:val="right"/>
              <w:spacing w:after="0"/>
              <w:rPr>
                <w:sz w:val="20"/>
                <w:szCs w:val="20"/>
                <w:color w:val="auto"/>
              </w:rPr>
            </w:pPr>
            <w:r>
              <w:rPr>
                <w:rFonts w:ascii="Arial" w:cs="Arial" w:eastAsia="Arial" w:hAnsi="Arial"/>
                <w:sz w:val="14"/>
                <w:szCs w:val="14"/>
                <w:color w:val="auto"/>
              </w:rPr>
              <w:t>36,608</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102,542,315</w:t>
            </w:r>
          </w:p>
        </w:tc>
        <w:tc>
          <w:tcPr>
            <w:tcW w:w="0" w:type="dxa"/>
            <w:vAlign w:val="bottom"/>
          </w:tcPr>
          <w:p>
            <w:pPr>
              <w:spacing w:after="0"/>
              <w:rPr>
                <w:sz w:val="1"/>
                <w:szCs w:val="1"/>
                <w:color w:val="auto"/>
              </w:rPr>
            </w:pPr>
          </w:p>
        </w:tc>
      </w:tr>
      <w:tr>
        <w:trPr>
          <w:trHeight w:val="228"/>
        </w:trPr>
        <w:tc>
          <w:tcPr>
            <w:tcW w:w="2460" w:type="dxa"/>
            <w:vAlign w:val="bottom"/>
            <w:tcBorders>
              <w:bottom w:val="single" w:sz="8" w:color="DCDDDE"/>
            </w:tcBorders>
          </w:tcPr>
          <w:p>
            <w:pPr>
              <w:ind w:left="80"/>
              <w:spacing w:after="0" w:line="229" w:lineRule="exact"/>
              <w:rPr>
                <w:sz w:val="20"/>
                <w:szCs w:val="20"/>
                <w:color w:val="auto"/>
              </w:rPr>
            </w:pPr>
            <w:r>
              <w:rPr>
                <w:rFonts w:ascii="Arial" w:cs="Arial" w:eastAsia="Arial" w:hAnsi="Arial"/>
                <w:sz w:val="14"/>
                <w:szCs w:val="14"/>
                <w:color w:val="auto"/>
              </w:rPr>
              <w:t>With Good Reason</w:t>
            </w:r>
            <w:r>
              <w:rPr>
                <w:rFonts w:ascii="Arial" w:cs="Arial" w:eastAsia="Arial" w:hAnsi="Arial"/>
                <w:sz w:val="23"/>
                <w:szCs w:val="23"/>
                <w:color w:val="auto"/>
                <w:vertAlign w:val="superscript"/>
              </w:rPr>
              <w:t>(2)</w:t>
            </w:r>
          </w:p>
        </w:tc>
        <w:tc>
          <w:tcPr>
            <w:tcW w:w="204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220" w:type="dxa"/>
            <w:vAlign w:val="bottom"/>
            <w:tcBorders>
              <w:bottom w:val="single" w:sz="8" w:color="DCDDDE"/>
            </w:tcBorders>
          </w:tcPr>
          <w:p>
            <w:pPr>
              <w:spacing w:after="0"/>
              <w:rPr>
                <w:sz w:val="19"/>
                <w:szCs w:val="19"/>
                <w:color w:val="auto"/>
              </w:rPr>
            </w:pPr>
          </w:p>
        </w:tc>
        <w:tc>
          <w:tcPr>
            <w:tcW w:w="1220" w:type="dxa"/>
            <w:vAlign w:val="bottom"/>
            <w:tcBorders>
              <w:bottom w:val="single" w:sz="8" w:color="DCDDDE"/>
            </w:tcBorders>
          </w:tcPr>
          <w:p>
            <w:pPr>
              <w:spacing w:after="0"/>
              <w:rPr>
                <w:sz w:val="19"/>
                <w:szCs w:val="19"/>
                <w:color w:val="auto"/>
              </w:rPr>
            </w:pPr>
          </w:p>
        </w:tc>
        <w:tc>
          <w:tcPr>
            <w:tcW w:w="1140" w:type="dxa"/>
            <w:vAlign w:val="bottom"/>
            <w:tcBorders>
              <w:bottom w:val="single" w:sz="8" w:color="DCDDDE"/>
            </w:tcBorders>
          </w:tcPr>
          <w:p>
            <w:pPr>
              <w:spacing w:after="0"/>
              <w:rPr>
                <w:sz w:val="19"/>
                <w:szCs w:val="19"/>
                <w:color w:val="auto"/>
              </w:rPr>
            </w:pPr>
          </w:p>
        </w:tc>
        <w:tc>
          <w:tcPr>
            <w:tcW w:w="920" w:type="dxa"/>
            <w:vAlign w:val="bottom"/>
            <w:tcBorders>
              <w:bottom w:val="single" w:sz="8" w:color="DCDDDE"/>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60" w:type="dxa"/>
            <w:vAlign w:val="bottom"/>
            <w:tcBorders>
              <w:bottom w:val="single" w:sz="8" w:color="DCDDDE"/>
            </w:tcBorders>
          </w:tcPr>
          <w:p>
            <w:pPr>
              <w:ind w:left="80"/>
              <w:spacing w:after="0" w:line="236" w:lineRule="exact"/>
              <w:rPr>
                <w:sz w:val="20"/>
                <w:szCs w:val="20"/>
                <w:color w:val="auto"/>
              </w:rPr>
            </w:pPr>
            <w:r>
              <w:rPr>
                <w:rFonts w:ascii="Arial" w:cs="Arial" w:eastAsia="Arial" w:hAnsi="Arial"/>
                <w:sz w:val="14"/>
                <w:szCs w:val="14"/>
                <w:color w:val="auto"/>
              </w:rPr>
              <w:t>Death</w:t>
            </w:r>
            <w:r>
              <w:rPr>
                <w:rFonts w:ascii="Arial" w:cs="Arial" w:eastAsia="Arial" w:hAnsi="Arial"/>
                <w:sz w:val="23"/>
                <w:szCs w:val="23"/>
                <w:color w:val="auto"/>
                <w:vertAlign w:val="superscript"/>
              </w:rPr>
              <w:t>(3)</w:t>
            </w:r>
          </w:p>
        </w:tc>
        <w:tc>
          <w:tcPr>
            <w:tcW w:w="2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7,500,000</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15,799,956</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49,205,751</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207,448</w:t>
            </w:r>
          </w:p>
        </w:tc>
        <w:tc>
          <w:tcPr>
            <w:tcW w:w="9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72,713,155</w:t>
            </w:r>
          </w:p>
        </w:tc>
        <w:tc>
          <w:tcPr>
            <w:tcW w:w="0" w:type="dxa"/>
            <w:vAlign w:val="bottom"/>
          </w:tcPr>
          <w:p>
            <w:pPr>
              <w:spacing w:after="0"/>
              <w:rPr>
                <w:sz w:val="1"/>
                <w:szCs w:val="1"/>
                <w:color w:val="auto"/>
              </w:rPr>
            </w:pPr>
          </w:p>
        </w:tc>
      </w:tr>
      <w:tr>
        <w:trPr>
          <w:trHeight w:val="291"/>
        </w:trPr>
        <w:tc>
          <w:tcPr>
            <w:tcW w:w="2460" w:type="dxa"/>
            <w:vAlign w:val="bottom"/>
            <w:tcBorders>
              <w:bottom w:val="single" w:sz="8" w:color="DCDDDE"/>
            </w:tcBorders>
          </w:tcPr>
          <w:p>
            <w:pPr>
              <w:ind w:left="80"/>
              <w:spacing w:after="0"/>
              <w:rPr>
                <w:sz w:val="20"/>
                <w:szCs w:val="20"/>
                <w:color w:val="auto"/>
              </w:rPr>
            </w:pPr>
            <w:r>
              <w:rPr>
                <w:rFonts w:ascii="Arial" w:cs="Arial" w:eastAsia="Arial" w:hAnsi="Arial"/>
                <w:sz w:val="14"/>
                <w:szCs w:val="14"/>
                <w:color w:val="auto"/>
              </w:rPr>
              <w:t>Disability</w:t>
            </w:r>
            <w:r>
              <w:rPr>
                <w:rFonts w:ascii="Arial" w:cs="Arial" w:eastAsia="Arial" w:hAnsi="Arial"/>
                <w:sz w:val="23"/>
                <w:szCs w:val="23"/>
                <w:color w:val="auto"/>
                <w:vertAlign w:val="superscript"/>
              </w:rPr>
              <w:t>(4)</w:t>
            </w:r>
          </w:p>
        </w:tc>
        <w:tc>
          <w:tcPr>
            <w:tcW w:w="2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7,500,000</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22,500,000</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7,500,000</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15,799,956</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49,205,751</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102,505,707</w:t>
            </w:r>
          </w:p>
        </w:tc>
        <w:tc>
          <w:tcPr>
            <w:tcW w:w="0" w:type="dxa"/>
            <w:vAlign w:val="bottom"/>
          </w:tcPr>
          <w:p>
            <w:pPr>
              <w:spacing w:after="0"/>
              <w:rPr>
                <w:sz w:val="1"/>
                <w:szCs w:val="1"/>
                <w:color w:val="auto"/>
              </w:rPr>
            </w:pPr>
          </w:p>
        </w:tc>
      </w:tr>
      <w:tr>
        <w:trPr>
          <w:trHeight w:val="236"/>
        </w:trPr>
        <w:tc>
          <w:tcPr>
            <w:tcW w:w="2460" w:type="dxa"/>
            <w:vAlign w:val="bottom"/>
            <w:tcBorders>
              <w:bottom w:val="single" w:sz="8" w:color="DCDDDE"/>
            </w:tcBorders>
          </w:tcPr>
          <w:p>
            <w:pPr>
              <w:ind w:left="8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2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15,799,956</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49,205,751</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65,005,707</w:t>
            </w:r>
          </w:p>
        </w:tc>
        <w:tc>
          <w:tcPr>
            <w:tcW w:w="0" w:type="dxa"/>
            <w:vAlign w:val="bottom"/>
          </w:tcPr>
          <w:p>
            <w:pPr>
              <w:spacing w:after="0"/>
              <w:rPr>
                <w:sz w:val="1"/>
                <w:szCs w:val="1"/>
                <w:color w:val="auto"/>
              </w:rPr>
            </w:pPr>
          </w:p>
        </w:tc>
      </w:tr>
      <w:tr>
        <w:trPr>
          <w:trHeight w:val="237"/>
        </w:trPr>
        <w:tc>
          <w:tcPr>
            <w:tcW w:w="2460" w:type="dxa"/>
            <w:vAlign w:val="bottom"/>
            <w:tcBorders>
              <w:bottom w:val="single" w:sz="8" w:color="auto"/>
            </w:tcBorders>
          </w:tcPr>
          <w:p>
            <w:pPr>
              <w:ind w:left="8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46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Michael J. Cavanagh</w:t>
            </w:r>
          </w:p>
        </w:tc>
        <w:tc>
          <w:tcPr>
            <w:tcW w:w="204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220" w:type="dxa"/>
            <w:vAlign w:val="bottom"/>
            <w:tcBorders>
              <w:bottom w:val="single" w:sz="8" w:color="DCDDDE"/>
            </w:tcBorders>
          </w:tcPr>
          <w:p>
            <w:pPr>
              <w:spacing w:after="0"/>
              <w:rPr>
                <w:sz w:val="18"/>
                <w:szCs w:val="18"/>
                <w:color w:val="auto"/>
              </w:rPr>
            </w:pPr>
          </w:p>
        </w:tc>
        <w:tc>
          <w:tcPr>
            <w:tcW w:w="1220" w:type="dxa"/>
            <w:vAlign w:val="bottom"/>
            <w:tcBorders>
              <w:bottom w:val="single" w:sz="8" w:color="DCDDDE"/>
            </w:tcBorders>
          </w:tcPr>
          <w:p>
            <w:pPr>
              <w:spacing w:after="0"/>
              <w:rPr>
                <w:sz w:val="18"/>
                <w:szCs w:val="18"/>
                <w:color w:val="auto"/>
              </w:rPr>
            </w:pPr>
          </w:p>
        </w:tc>
        <w:tc>
          <w:tcPr>
            <w:tcW w:w="1140" w:type="dxa"/>
            <w:vAlign w:val="bottom"/>
            <w:tcBorders>
              <w:bottom w:val="single" w:sz="8" w:color="DCDDDE"/>
            </w:tcBorders>
          </w:tcPr>
          <w:p>
            <w:pPr>
              <w:spacing w:after="0"/>
              <w:rPr>
                <w:sz w:val="18"/>
                <w:szCs w:val="18"/>
                <w:color w:val="auto"/>
              </w:rPr>
            </w:pPr>
          </w:p>
        </w:tc>
        <w:tc>
          <w:tcPr>
            <w:tcW w:w="92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80"/>
              <w:spacing w:after="0"/>
              <w:rPr>
                <w:sz w:val="20"/>
                <w:szCs w:val="20"/>
                <w:color w:val="auto"/>
              </w:rPr>
            </w:pPr>
            <w:r>
              <w:rPr>
                <w:rFonts w:ascii="Arial" w:cs="Arial" w:eastAsia="Arial" w:hAnsi="Arial"/>
                <w:sz w:val="14"/>
                <w:szCs w:val="14"/>
                <w:color w:val="auto"/>
              </w:rPr>
              <w:t>Without Cause/</w:t>
            </w:r>
          </w:p>
        </w:tc>
        <w:tc>
          <w:tcPr>
            <w:tcW w:w="2040" w:type="dxa"/>
            <w:vAlign w:val="bottom"/>
          </w:tcPr>
          <w:p>
            <w:pPr>
              <w:jc w:val="right"/>
              <w:spacing w:after="0"/>
              <w:rPr>
                <w:sz w:val="20"/>
                <w:szCs w:val="20"/>
                <w:color w:val="auto"/>
              </w:rPr>
            </w:pPr>
            <w:r>
              <w:rPr>
                <w:rFonts w:ascii="Arial" w:cs="Arial" w:eastAsia="Arial" w:hAnsi="Arial"/>
                <w:sz w:val="14"/>
                <w:szCs w:val="14"/>
                <w:color w:val="auto"/>
              </w:rPr>
              <w:t>5,000,000</w:t>
            </w:r>
          </w:p>
        </w:tc>
        <w:tc>
          <w:tcPr>
            <w:tcW w:w="1120" w:type="dxa"/>
            <w:vAlign w:val="bottom"/>
          </w:tcPr>
          <w:p>
            <w:pPr>
              <w:jc w:val="right"/>
              <w:spacing w:after="0"/>
              <w:rPr>
                <w:sz w:val="20"/>
                <w:szCs w:val="20"/>
                <w:color w:val="auto"/>
              </w:rPr>
            </w:pPr>
            <w:r>
              <w:rPr>
                <w:rFonts w:ascii="Arial" w:cs="Arial" w:eastAsia="Arial" w:hAnsi="Arial"/>
                <w:sz w:val="14"/>
                <w:szCs w:val="14"/>
                <w:color w:val="auto"/>
              </w:rPr>
              <w:t>7,500,000</w:t>
            </w:r>
          </w:p>
        </w:tc>
        <w:tc>
          <w:tcPr>
            <w:tcW w:w="1120" w:type="dxa"/>
            <w:vAlign w:val="bottom"/>
          </w:tcPr>
          <w:p>
            <w:pPr>
              <w:jc w:val="right"/>
              <w:spacing w:after="0"/>
              <w:rPr>
                <w:sz w:val="20"/>
                <w:szCs w:val="20"/>
                <w:color w:val="auto"/>
              </w:rPr>
            </w:pPr>
            <w:r>
              <w:rPr>
                <w:rFonts w:ascii="Arial" w:cs="Arial" w:eastAsia="Arial" w:hAnsi="Arial"/>
                <w:sz w:val="14"/>
                <w:szCs w:val="14"/>
                <w:color w:val="auto"/>
              </w:rPr>
              <w:t>7,391,538</w:t>
            </w:r>
          </w:p>
        </w:tc>
        <w:tc>
          <w:tcPr>
            <w:tcW w:w="1220" w:type="dxa"/>
            <w:vAlign w:val="bottom"/>
          </w:tcPr>
          <w:p>
            <w:pPr>
              <w:jc w:val="right"/>
              <w:spacing w:after="0"/>
              <w:rPr>
                <w:sz w:val="20"/>
                <w:szCs w:val="20"/>
                <w:color w:val="auto"/>
              </w:rPr>
            </w:pPr>
            <w:r>
              <w:rPr>
                <w:rFonts w:ascii="Arial" w:cs="Arial" w:eastAsia="Arial" w:hAnsi="Arial"/>
                <w:sz w:val="14"/>
                <w:szCs w:val="14"/>
                <w:color w:val="auto"/>
              </w:rPr>
              <w:t>3,740,085</w:t>
            </w:r>
          </w:p>
        </w:tc>
        <w:tc>
          <w:tcPr>
            <w:tcW w:w="1220" w:type="dxa"/>
            <w:vAlign w:val="bottom"/>
          </w:tcPr>
          <w:p>
            <w:pPr>
              <w:jc w:val="right"/>
              <w:spacing w:after="0"/>
              <w:rPr>
                <w:sz w:val="20"/>
                <w:szCs w:val="20"/>
                <w:color w:val="auto"/>
              </w:rPr>
            </w:pPr>
            <w:r>
              <w:rPr>
                <w:rFonts w:ascii="Arial" w:cs="Arial" w:eastAsia="Arial" w:hAnsi="Arial"/>
                <w:sz w:val="14"/>
                <w:szCs w:val="14"/>
                <w:color w:val="auto"/>
              </w:rPr>
              <w:t>12,658,925</w:t>
            </w:r>
          </w:p>
        </w:tc>
        <w:tc>
          <w:tcPr>
            <w:tcW w:w="1140" w:type="dxa"/>
            <w:vAlign w:val="bottom"/>
          </w:tcPr>
          <w:p>
            <w:pPr>
              <w:jc w:val="right"/>
              <w:spacing w:after="0"/>
              <w:rPr>
                <w:sz w:val="20"/>
                <w:szCs w:val="20"/>
                <w:color w:val="auto"/>
              </w:rPr>
            </w:pPr>
            <w:r>
              <w:rPr>
                <w:rFonts w:ascii="Arial" w:cs="Arial" w:eastAsia="Arial" w:hAnsi="Arial"/>
                <w:sz w:val="14"/>
                <w:szCs w:val="14"/>
                <w:color w:val="auto"/>
              </w:rPr>
              <w:t>23,594</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36,314,142</w:t>
            </w:r>
          </w:p>
        </w:tc>
        <w:tc>
          <w:tcPr>
            <w:tcW w:w="0" w:type="dxa"/>
            <w:vAlign w:val="bottom"/>
          </w:tcPr>
          <w:p>
            <w:pPr>
              <w:spacing w:after="0"/>
              <w:rPr>
                <w:sz w:val="1"/>
                <w:szCs w:val="1"/>
                <w:color w:val="auto"/>
              </w:rPr>
            </w:pPr>
          </w:p>
        </w:tc>
      </w:tr>
      <w:tr>
        <w:trPr>
          <w:trHeight w:val="228"/>
        </w:trPr>
        <w:tc>
          <w:tcPr>
            <w:tcW w:w="2460" w:type="dxa"/>
            <w:vAlign w:val="bottom"/>
            <w:tcBorders>
              <w:bottom w:val="single" w:sz="8" w:color="DCDDDE"/>
            </w:tcBorders>
          </w:tcPr>
          <w:p>
            <w:pPr>
              <w:ind w:left="80"/>
              <w:spacing w:after="0" w:line="229" w:lineRule="exact"/>
              <w:rPr>
                <w:sz w:val="20"/>
                <w:szCs w:val="20"/>
                <w:color w:val="auto"/>
              </w:rPr>
            </w:pPr>
            <w:r>
              <w:rPr>
                <w:rFonts w:ascii="Arial" w:cs="Arial" w:eastAsia="Arial" w:hAnsi="Arial"/>
                <w:sz w:val="14"/>
                <w:szCs w:val="14"/>
                <w:color w:val="auto"/>
              </w:rPr>
              <w:t>With Good Reason</w:t>
            </w:r>
            <w:r>
              <w:rPr>
                <w:rFonts w:ascii="Arial" w:cs="Arial" w:eastAsia="Arial" w:hAnsi="Arial"/>
                <w:sz w:val="23"/>
                <w:szCs w:val="23"/>
                <w:color w:val="auto"/>
                <w:vertAlign w:val="superscript"/>
              </w:rPr>
              <w:t>(7)</w:t>
            </w:r>
          </w:p>
        </w:tc>
        <w:tc>
          <w:tcPr>
            <w:tcW w:w="204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220" w:type="dxa"/>
            <w:vAlign w:val="bottom"/>
            <w:tcBorders>
              <w:bottom w:val="single" w:sz="8" w:color="DCDDDE"/>
            </w:tcBorders>
          </w:tcPr>
          <w:p>
            <w:pPr>
              <w:spacing w:after="0"/>
              <w:rPr>
                <w:sz w:val="19"/>
                <w:szCs w:val="19"/>
                <w:color w:val="auto"/>
              </w:rPr>
            </w:pPr>
          </w:p>
        </w:tc>
        <w:tc>
          <w:tcPr>
            <w:tcW w:w="1220" w:type="dxa"/>
            <w:vAlign w:val="bottom"/>
            <w:tcBorders>
              <w:bottom w:val="single" w:sz="8" w:color="DCDDDE"/>
            </w:tcBorders>
          </w:tcPr>
          <w:p>
            <w:pPr>
              <w:spacing w:after="0"/>
              <w:rPr>
                <w:sz w:val="19"/>
                <w:szCs w:val="19"/>
                <w:color w:val="auto"/>
              </w:rPr>
            </w:pPr>
          </w:p>
        </w:tc>
        <w:tc>
          <w:tcPr>
            <w:tcW w:w="1140" w:type="dxa"/>
            <w:vAlign w:val="bottom"/>
            <w:tcBorders>
              <w:bottom w:val="single" w:sz="8" w:color="DCDDDE"/>
            </w:tcBorders>
          </w:tcPr>
          <w:p>
            <w:pPr>
              <w:spacing w:after="0"/>
              <w:rPr>
                <w:sz w:val="19"/>
                <w:szCs w:val="19"/>
                <w:color w:val="auto"/>
              </w:rPr>
            </w:pPr>
          </w:p>
        </w:tc>
        <w:tc>
          <w:tcPr>
            <w:tcW w:w="920" w:type="dxa"/>
            <w:vAlign w:val="bottom"/>
            <w:tcBorders>
              <w:bottom w:val="single" w:sz="8" w:color="DCDDDE"/>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60" w:type="dxa"/>
            <w:vAlign w:val="bottom"/>
            <w:tcBorders>
              <w:bottom w:val="single" w:sz="8" w:color="DCDDDE"/>
            </w:tcBorders>
          </w:tcPr>
          <w:p>
            <w:pPr>
              <w:ind w:left="80"/>
              <w:spacing w:after="0" w:line="236" w:lineRule="exact"/>
              <w:rPr>
                <w:sz w:val="20"/>
                <w:szCs w:val="20"/>
                <w:color w:val="auto"/>
              </w:rPr>
            </w:pPr>
            <w:r>
              <w:rPr>
                <w:rFonts w:ascii="Arial" w:cs="Arial" w:eastAsia="Arial" w:hAnsi="Arial"/>
                <w:sz w:val="14"/>
                <w:szCs w:val="14"/>
                <w:color w:val="auto"/>
              </w:rPr>
              <w:t>Death/Disability</w:t>
            </w:r>
            <w:r>
              <w:rPr>
                <w:rFonts w:ascii="Arial" w:cs="Arial" w:eastAsia="Arial" w:hAnsi="Arial"/>
                <w:sz w:val="23"/>
                <w:szCs w:val="23"/>
                <w:color w:val="auto"/>
                <w:vertAlign w:val="superscript"/>
              </w:rPr>
              <w:t>(8)</w:t>
            </w:r>
          </w:p>
        </w:tc>
        <w:tc>
          <w:tcPr>
            <w:tcW w:w="2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625,000</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7,391,538</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29,861,103</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37,824,878</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75,702,519</w:t>
            </w:r>
          </w:p>
        </w:tc>
        <w:tc>
          <w:tcPr>
            <w:tcW w:w="0" w:type="dxa"/>
            <w:vAlign w:val="bottom"/>
          </w:tcPr>
          <w:p>
            <w:pPr>
              <w:spacing w:after="0"/>
              <w:rPr>
                <w:sz w:val="1"/>
                <w:szCs w:val="1"/>
                <w:color w:val="auto"/>
              </w:rPr>
            </w:pPr>
          </w:p>
        </w:tc>
      </w:tr>
      <w:tr>
        <w:trPr>
          <w:trHeight w:val="237"/>
        </w:trPr>
        <w:tc>
          <w:tcPr>
            <w:tcW w:w="2460" w:type="dxa"/>
            <w:vAlign w:val="bottom"/>
            <w:tcBorders>
              <w:bottom w:val="single" w:sz="8" w:color="DCDDDE"/>
            </w:tcBorders>
          </w:tcPr>
          <w:p>
            <w:pPr>
              <w:ind w:left="8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2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460" w:type="dxa"/>
            <w:vAlign w:val="bottom"/>
            <w:tcBorders>
              <w:bottom w:val="single" w:sz="8" w:color="auto"/>
            </w:tcBorders>
          </w:tcPr>
          <w:p>
            <w:pPr>
              <w:ind w:left="8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46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Jason S. Armstrong</w:t>
            </w:r>
          </w:p>
        </w:tc>
        <w:tc>
          <w:tcPr>
            <w:tcW w:w="204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220" w:type="dxa"/>
            <w:vAlign w:val="bottom"/>
            <w:tcBorders>
              <w:bottom w:val="single" w:sz="8" w:color="DCDDDE"/>
            </w:tcBorders>
          </w:tcPr>
          <w:p>
            <w:pPr>
              <w:spacing w:after="0"/>
              <w:rPr>
                <w:sz w:val="18"/>
                <w:szCs w:val="18"/>
                <w:color w:val="auto"/>
              </w:rPr>
            </w:pPr>
          </w:p>
        </w:tc>
        <w:tc>
          <w:tcPr>
            <w:tcW w:w="1220" w:type="dxa"/>
            <w:vAlign w:val="bottom"/>
            <w:tcBorders>
              <w:bottom w:val="single" w:sz="8" w:color="DCDDDE"/>
            </w:tcBorders>
          </w:tcPr>
          <w:p>
            <w:pPr>
              <w:spacing w:after="0"/>
              <w:rPr>
                <w:sz w:val="18"/>
                <w:szCs w:val="18"/>
                <w:color w:val="auto"/>
              </w:rPr>
            </w:pPr>
          </w:p>
        </w:tc>
        <w:tc>
          <w:tcPr>
            <w:tcW w:w="1140" w:type="dxa"/>
            <w:vAlign w:val="bottom"/>
            <w:tcBorders>
              <w:bottom w:val="single" w:sz="8" w:color="DCDDDE"/>
            </w:tcBorders>
          </w:tcPr>
          <w:p>
            <w:pPr>
              <w:spacing w:after="0"/>
              <w:rPr>
                <w:sz w:val="18"/>
                <w:szCs w:val="18"/>
                <w:color w:val="auto"/>
              </w:rPr>
            </w:pPr>
          </w:p>
        </w:tc>
        <w:tc>
          <w:tcPr>
            <w:tcW w:w="92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80"/>
              <w:spacing w:after="0"/>
              <w:rPr>
                <w:sz w:val="20"/>
                <w:szCs w:val="20"/>
                <w:color w:val="auto"/>
              </w:rPr>
            </w:pPr>
            <w:r>
              <w:rPr>
                <w:rFonts w:ascii="Arial" w:cs="Arial" w:eastAsia="Arial" w:hAnsi="Arial"/>
                <w:sz w:val="14"/>
                <w:szCs w:val="14"/>
                <w:color w:val="auto"/>
              </w:rPr>
              <w:t>Without Cause/</w:t>
            </w:r>
          </w:p>
        </w:tc>
        <w:tc>
          <w:tcPr>
            <w:tcW w:w="2040" w:type="dxa"/>
            <w:vAlign w:val="bottom"/>
          </w:tcPr>
          <w:p>
            <w:pPr>
              <w:jc w:val="right"/>
              <w:spacing w:after="0"/>
              <w:rPr>
                <w:sz w:val="20"/>
                <w:szCs w:val="20"/>
                <w:color w:val="auto"/>
              </w:rPr>
            </w:pPr>
            <w:r>
              <w:rPr>
                <w:rFonts w:ascii="Arial" w:cs="Arial" w:eastAsia="Arial" w:hAnsi="Arial"/>
                <w:sz w:val="14"/>
                <w:szCs w:val="14"/>
                <w:color w:val="auto"/>
              </w:rPr>
              <w:t>3,600,000</w:t>
            </w:r>
          </w:p>
        </w:tc>
        <w:tc>
          <w:tcPr>
            <w:tcW w:w="1120" w:type="dxa"/>
            <w:vAlign w:val="bottom"/>
          </w:tcPr>
          <w:p>
            <w:pPr>
              <w:jc w:val="right"/>
              <w:spacing w:after="0"/>
              <w:rPr>
                <w:sz w:val="20"/>
                <w:szCs w:val="20"/>
                <w:color w:val="auto"/>
              </w:rPr>
            </w:pPr>
            <w:r>
              <w:rPr>
                <w:rFonts w:ascii="Arial" w:cs="Arial" w:eastAsia="Arial" w:hAnsi="Arial"/>
                <w:sz w:val="14"/>
                <w:szCs w:val="14"/>
                <w:color w:val="auto"/>
              </w:rPr>
              <w:t>3,600,000</w:t>
            </w:r>
          </w:p>
        </w:tc>
        <w:tc>
          <w:tcPr>
            <w:tcW w:w="1120" w:type="dxa"/>
            <w:vAlign w:val="bottom"/>
          </w:tcPr>
          <w:p>
            <w:pPr>
              <w:jc w:val="right"/>
              <w:spacing w:after="0"/>
              <w:rPr>
                <w:sz w:val="20"/>
                <w:szCs w:val="20"/>
                <w:color w:val="auto"/>
              </w:rPr>
            </w:pPr>
            <w:r>
              <w:rPr>
                <w:rFonts w:ascii="Arial" w:cs="Arial" w:eastAsia="Arial" w:hAnsi="Arial"/>
                <w:sz w:val="14"/>
                <w:szCs w:val="14"/>
                <w:color w:val="auto"/>
              </w:rPr>
              <w:t>3,554,716</w:t>
            </w:r>
          </w:p>
        </w:tc>
        <w:tc>
          <w:tcPr>
            <w:tcW w:w="1220" w:type="dxa"/>
            <w:vAlign w:val="bottom"/>
          </w:tcPr>
          <w:p>
            <w:pPr>
              <w:jc w:val="right"/>
              <w:spacing w:after="0"/>
              <w:rPr>
                <w:sz w:val="20"/>
                <w:szCs w:val="20"/>
                <w:color w:val="auto"/>
              </w:rPr>
            </w:pPr>
            <w:r>
              <w:rPr>
                <w:rFonts w:ascii="Arial" w:cs="Arial" w:eastAsia="Arial" w:hAnsi="Arial"/>
                <w:sz w:val="14"/>
                <w:szCs w:val="14"/>
                <w:color w:val="auto"/>
              </w:rPr>
              <w:t>402,136</w:t>
            </w:r>
          </w:p>
        </w:tc>
        <w:tc>
          <w:tcPr>
            <w:tcW w:w="1220" w:type="dxa"/>
            <w:vAlign w:val="bottom"/>
          </w:tcPr>
          <w:p>
            <w:pPr>
              <w:jc w:val="right"/>
              <w:spacing w:after="0"/>
              <w:rPr>
                <w:sz w:val="20"/>
                <w:szCs w:val="20"/>
                <w:color w:val="auto"/>
              </w:rPr>
            </w:pPr>
            <w:r>
              <w:rPr>
                <w:rFonts w:ascii="Arial" w:cs="Arial" w:eastAsia="Arial" w:hAnsi="Arial"/>
                <w:sz w:val="14"/>
                <w:szCs w:val="14"/>
                <w:color w:val="auto"/>
              </w:rPr>
              <w:t>1,535,364</w:t>
            </w:r>
          </w:p>
        </w:tc>
        <w:tc>
          <w:tcPr>
            <w:tcW w:w="1140" w:type="dxa"/>
            <w:vAlign w:val="bottom"/>
          </w:tcPr>
          <w:p>
            <w:pPr>
              <w:jc w:val="right"/>
              <w:spacing w:after="0"/>
              <w:rPr>
                <w:sz w:val="20"/>
                <w:szCs w:val="20"/>
                <w:color w:val="auto"/>
              </w:rPr>
            </w:pPr>
            <w:r>
              <w:rPr>
                <w:rFonts w:ascii="Arial" w:cs="Arial" w:eastAsia="Arial" w:hAnsi="Arial"/>
                <w:sz w:val="14"/>
                <w:szCs w:val="14"/>
                <w:color w:val="auto"/>
              </w:rPr>
              <w:t>23,325</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12,715,541</w:t>
            </w:r>
          </w:p>
        </w:tc>
        <w:tc>
          <w:tcPr>
            <w:tcW w:w="0" w:type="dxa"/>
            <w:vAlign w:val="bottom"/>
          </w:tcPr>
          <w:p>
            <w:pPr>
              <w:spacing w:after="0"/>
              <w:rPr>
                <w:sz w:val="1"/>
                <w:szCs w:val="1"/>
                <w:color w:val="auto"/>
              </w:rPr>
            </w:pPr>
          </w:p>
        </w:tc>
      </w:tr>
      <w:tr>
        <w:trPr>
          <w:trHeight w:val="228"/>
        </w:trPr>
        <w:tc>
          <w:tcPr>
            <w:tcW w:w="2460" w:type="dxa"/>
            <w:vAlign w:val="bottom"/>
            <w:tcBorders>
              <w:bottom w:val="single" w:sz="8" w:color="DCDDDE"/>
            </w:tcBorders>
          </w:tcPr>
          <w:p>
            <w:pPr>
              <w:ind w:left="80"/>
              <w:spacing w:after="0" w:line="229" w:lineRule="exact"/>
              <w:rPr>
                <w:sz w:val="20"/>
                <w:szCs w:val="20"/>
                <w:color w:val="auto"/>
              </w:rPr>
            </w:pPr>
            <w:r>
              <w:rPr>
                <w:rFonts w:ascii="Arial" w:cs="Arial" w:eastAsia="Arial" w:hAnsi="Arial"/>
                <w:sz w:val="14"/>
                <w:szCs w:val="14"/>
                <w:color w:val="auto"/>
              </w:rPr>
              <w:t>With Good Reason</w:t>
            </w:r>
            <w:r>
              <w:rPr>
                <w:rFonts w:ascii="Arial" w:cs="Arial" w:eastAsia="Arial" w:hAnsi="Arial"/>
                <w:sz w:val="23"/>
                <w:szCs w:val="23"/>
                <w:color w:val="auto"/>
                <w:vertAlign w:val="superscript"/>
              </w:rPr>
              <w:t>(7)</w:t>
            </w:r>
          </w:p>
        </w:tc>
        <w:tc>
          <w:tcPr>
            <w:tcW w:w="204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220" w:type="dxa"/>
            <w:vAlign w:val="bottom"/>
            <w:tcBorders>
              <w:bottom w:val="single" w:sz="8" w:color="DCDDDE"/>
            </w:tcBorders>
          </w:tcPr>
          <w:p>
            <w:pPr>
              <w:spacing w:after="0"/>
              <w:rPr>
                <w:sz w:val="19"/>
                <w:szCs w:val="19"/>
                <w:color w:val="auto"/>
              </w:rPr>
            </w:pPr>
          </w:p>
        </w:tc>
        <w:tc>
          <w:tcPr>
            <w:tcW w:w="1220" w:type="dxa"/>
            <w:vAlign w:val="bottom"/>
            <w:tcBorders>
              <w:bottom w:val="single" w:sz="8" w:color="DCDDDE"/>
            </w:tcBorders>
          </w:tcPr>
          <w:p>
            <w:pPr>
              <w:spacing w:after="0"/>
              <w:rPr>
                <w:sz w:val="19"/>
                <w:szCs w:val="19"/>
                <w:color w:val="auto"/>
              </w:rPr>
            </w:pPr>
          </w:p>
        </w:tc>
        <w:tc>
          <w:tcPr>
            <w:tcW w:w="1140" w:type="dxa"/>
            <w:vAlign w:val="bottom"/>
            <w:tcBorders>
              <w:bottom w:val="single" w:sz="8" w:color="DCDDDE"/>
            </w:tcBorders>
          </w:tcPr>
          <w:p>
            <w:pPr>
              <w:spacing w:after="0"/>
              <w:rPr>
                <w:sz w:val="19"/>
                <w:szCs w:val="19"/>
                <w:color w:val="auto"/>
              </w:rPr>
            </w:pPr>
          </w:p>
        </w:tc>
        <w:tc>
          <w:tcPr>
            <w:tcW w:w="920" w:type="dxa"/>
            <w:vAlign w:val="bottom"/>
            <w:tcBorders>
              <w:bottom w:val="single" w:sz="8" w:color="DCDDDE"/>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60" w:type="dxa"/>
            <w:vAlign w:val="bottom"/>
            <w:tcBorders>
              <w:bottom w:val="single" w:sz="8" w:color="DCDDDE"/>
            </w:tcBorders>
          </w:tcPr>
          <w:p>
            <w:pPr>
              <w:ind w:left="80"/>
              <w:spacing w:after="0" w:line="236" w:lineRule="exact"/>
              <w:rPr>
                <w:sz w:val="20"/>
                <w:szCs w:val="20"/>
                <w:color w:val="auto"/>
              </w:rPr>
            </w:pPr>
            <w:r>
              <w:rPr>
                <w:rFonts w:ascii="Arial" w:cs="Arial" w:eastAsia="Arial" w:hAnsi="Arial"/>
                <w:sz w:val="14"/>
                <w:szCs w:val="14"/>
                <w:color w:val="auto"/>
              </w:rPr>
              <w:t>Death/Disability</w:t>
            </w:r>
            <w:r>
              <w:rPr>
                <w:rFonts w:ascii="Arial" w:cs="Arial" w:eastAsia="Arial" w:hAnsi="Arial"/>
                <w:sz w:val="23"/>
                <w:szCs w:val="23"/>
                <w:color w:val="auto"/>
                <w:vertAlign w:val="superscript"/>
              </w:rPr>
              <w:t>(8)</w:t>
            </w:r>
          </w:p>
        </w:tc>
        <w:tc>
          <w:tcPr>
            <w:tcW w:w="2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450,000</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3,554,716</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1,788,954</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7,461,911</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13,255,581</w:t>
            </w:r>
          </w:p>
        </w:tc>
        <w:tc>
          <w:tcPr>
            <w:tcW w:w="0" w:type="dxa"/>
            <w:vAlign w:val="bottom"/>
          </w:tcPr>
          <w:p>
            <w:pPr>
              <w:spacing w:after="0"/>
              <w:rPr>
                <w:sz w:val="1"/>
                <w:szCs w:val="1"/>
                <w:color w:val="auto"/>
              </w:rPr>
            </w:pPr>
          </w:p>
        </w:tc>
      </w:tr>
      <w:tr>
        <w:trPr>
          <w:trHeight w:val="237"/>
        </w:trPr>
        <w:tc>
          <w:tcPr>
            <w:tcW w:w="2460" w:type="dxa"/>
            <w:vAlign w:val="bottom"/>
            <w:tcBorders>
              <w:bottom w:val="single" w:sz="8" w:color="DCDDDE"/>
            </w:tcBorders>
          </w:tcPr>
          <w:p>
            <w:pPr>
              <w:ind w:left="8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2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460" w:type="dxa"/>
            <w:vAlign w:val="bottom"/>
            <w:tcBorders>
              <w:bottom w:val="single" w:sz="8" w:color="auto"/>
            </w:tcBorders>
          </w:tcPr>
          <w:p>
            <w:pPr>
              <w:ind w:left="8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46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Thomas J. Reid</w:t>
            </w:r>
          </w:p>
        </w:tc>
        <w:tc>
          <w:tcPr>
            <w:tcW w:w="204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220" w:type="dxa"/>
            <w:vAlign w:val="bottom"/>
            <w:tcBorders>
              <w:bottom w:val="single" w:sz="8" w:color="DCDDDE"/>
            </w:tcBorders>
          </w:tcPr>
          <w:p>
            <w:pPr>
              <w:spacing w:after="0"/>
              <w:rPr>
                <w:sz w:val="18"/>
                <w:szCs w:val="18"/>
                <w:color w:val="auto"/>
              </w:rPr>
            </w:pPr>
          </w:p>
        </w:tc>
        <w:tc>
          <w:tcPr>
            <w:tcW w:w="1220" w:type="dxa"/>
            <w:vAlign w:val="bottom"/>
            <w:tcBorders>
              <w:bottom w:val="single" w:sz="8" w:color="DCDDDE"/>
            </w:tcBorders>
          </w:tcPr>
          <w:p>
            <w:pPr>
              <w:spacing w:after="0"/>
              <w:rPr>
                <w:sz w:val="18"/>
                <w:szCs w:val="18"/>
                <w:color w:val="auto"/>
              </w:rPr>
            </w:pPr>
          </w:p>
        </w:tc>
        <w:tc>
          <w:tcPr>
            <w:tcW w:w="1140" w:type="dxa"/>
            <w:vAlign w:val="bottom"/>
            <w:tcBorders>
              <w:bottom w:val="single" w:sz="8" w:color="DCDDDE"/>
            </w:tcBorders>
          </w:tcPr>
          <w:p>
            <w:pPr>
              <w:spacing w:after="0"/>
              <w:rPr>
                <w:sz w:val="18"/>
                <w:szCs w:val="18"/>
                <w:color w:val="auto"/>
              </w:rPr>
            </w:pPr>
          </w:p>
        </w:tc>
        <w:tc>
          <w:tcPr>
            <w:tcW w:w="92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80"/>
              <w:spacing w:after="0"/>
              <w:rPr>
                <w:sz w:val="20"/>
                <w:szCs w:val="20"/>
                <w:color w:val="auto"/>
              </w:rPr>
            </w:pPr>
            <w:r>
              <w:rPr>
                <w:rFonts w:ascii="Arial" w:cs="Arial" w:eastAsia="Arial" w:hAnsi="Arial"/>
                <w:sz w:val="14"/>
                <w:szCs w:val="14"/>
                <w:color w:val="auto"/>
              </w:rPr>
              <w:t>Without Cause/</w:t>
            </w:r>
          </w:p>
        </w:tc>
        <w:tc>
          <w:tcPr>
            <w:tcW w:w="2040" w:type="dxa"/>
            <w:vAlign w:val="bottom"/>
          </w:tcPr>
          <w:p>
            <w:pPr>
              <w:jc w:val="right"/>
              <w:spacing w:after="0"/>
              <w:rPr>
                <w:sz w:val="20"/>
                <w:szCs w:val="20"/>
                <w:color w:val="auto"/>
              </w:rPr>
            </w:pPr>
            <w:r>
              <w:rPr>
                <w:rFonts w:ascii="Arial" w:cs="Arial" w:eastAsia="Arial" w:hAnsi="Arial"/>
                <w:sz w:val="14"/>
                <w:szCs w:val="14"/>
                <w:color w:val="auto"/>
              </w:rPr>
              <w:t>3,600,160</w:t>
            </w:r>
          </w:p>
        </w:tc>
        <w:tc>
          <w:tcPr>
            <w:tcW w:w="1120" w:type="dxa"/>
            <w:vAlign w:val="bottom"/>
          </w:tcPr>
          <w:p>
            <w:pPr>
              <w:jc w:val="right"/>
              <w:spacing w:after="0"/>
              <w:rPr>
                <w:sz w:val="20"/>
                <w:szCs w:val="20"/>
                <w:color w:val="auto"/>
              </w:rPr>
            </w:pPr>
            <w:r>
              <w:rPr>
                <w:rFonts w:ascii="Arial" w:cs="Arial" w:eastAsia="Arial" w:hAnsi="Arial"/>
                <w:sz w:val="14"/>
                <w:szCs w:val="14"/>
                <w:color w:val="auto"/>
              </w:rPr>
              <w:t>3,600,160</w:t>
            </w:r>
          </w:p>
        </w:tc>
        <w:tc>
          <w:tcPr>
            <w:tcW w:w="1120" w:type="dxa"/>
            <w:vAlign w:val="bottom"/>
          </w:tcPr>
          <w:p>
            <w:pPr>
              <w:jc w:val="right"/>
              <w:spacing w:after="0"/>
              <w:rPr>
                <w:sz w:val="20"/>
                <w:szCs w:val="20"/>
                <w:color w:val="auto"/>
              </w:rPr>
            </w:pPr>
            <w:r>
              <w:rPr>
                <w:rFonts w:ascii="Arial" w:cs="Arial" w:eastAsia="Arial" w:hAnsi="Arial"/>
                <w:sz w:val="14"/>
                <w:szCs w:val="14"/>
                <w:color w:val="auto"/>
              </w:rPr>
              <w:t>3,600,160</w:t>
            </w:r>
          </w:p>
        </w:tc>
        <w:tc>
          <w:tcPr>
            <w:tcW w:w="1220" w:type="dxa"/>
            <w:vAlign w:val="bottom"/>
          </w:tcPr>
          <w:p>
            <w:pPr>
              <w:jc w:val="right"/>
              <w:spacing w:after="0"/>
              <w:rPr>
                <w:sz w:val="20"/>
                <w:szCs w:val="20"/>
                <w:color w:val="auto"/>
              </w:rPr>
            </w:pPr>
            <w:r>
              <w:rPr>
                <w:rFonts w:ascii="Arial" w:cs="Arial" w:eastAsia="Arial" w:hAnsi="Arial"/>
                <w:sz w:val="14"/>
                <w:szCs w:val="14"/>
                <w:color w:val="auto"/>
              </w:rPr>
              <w:t>415,472</w:t>
            </w:r>
          </w:p>
        </w:tc>
        <w:tc>
          <w:tcPr>
            <w:tcW w:w="1220" w:type="dxa"/>
            <w:vAlign w:val="bottom"/>
          </w:tcPr>
          <w:p>
            <w:pPr>
              <w:jc w:val="right"/>
              <w:spacing w:after="0"/>
              <w:rPr>
                <w:sz w:val="20"/>
                <w:szCs w:val="20"/>
                <w:color w:val="auto"/>
              </w:rPr>
            </w:pPr>
            <w:r>
              <w:rPr>
                <w:rFonts w:ascii="Arial" w:cs="Arial" w:eastAsia="Arial" w:hAnsi="Arial"/>
                <w:sz w:val="14"/>
                <w:szCs w:val="14"/>
                <w:color w:val="auto"/>
              </w:rPr>
              <w:t>4,132,205</w:t>
            </w:r>
          </w:p>
        </w:tc>
        <w:tc>
          <w:tcPr>
            <w:tcW w:w="1140" w:type="dxa"/>
            <w:vAlign w:val="bottom"/>
          </w:tcPr>
          <w:p>
            <w:pPr>
              <w:jc w:val="right"/>
              <w:spacing w:after="0"/>
              <w:rPr>
                <w:sz w:val="20"/>
                <w:szCs w:val="20"/>
                <w:color w:val="auto"/>
              </w:rPr>
            </w:pPr>
            <w:r>
              <w:rPr>
                <w:rFonts w:ascii="Arial" w:cs="Arial" w:eastAsia="Arial" w:hAnsi="Arial"/>
                <w:sz w:val="14"/>
                <w:szCs w:val="14"/>
                <w:color w:val="auto"/>
              </w:rPr>
              <w:t>18,341</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15,366,498</w:t>
            </w:r>
          </w:p>
        </w:tc>
        <w:tc>
          <w:tcPr>
            <w:tcW w:w="0" w:type="dxa"/>
            <w:vAlign w:val="bottom"/>
          </w:tcPr>
          <w:p>
            <w:pPr>
              <w:spacing w:after="0"/>
              <w:rPr>
                <w:sz w:val="1"/>
                <w:szCs w:val="1"/>
                <w:color w:val="auto"/>
              </w:rPr>
            </w:pPr>
          </w:p>
        </w:tc>
      </w:tr>
      <w:tr>
        <w:trPr>
          <w:trHeight w:val="228"/>
        </w:trPr>
        <w:tc>
          <w:tcPr>
            <w:tcW w:w="2460" w:type="dxa"/>
            <w:vAlign w:val="bottom"/>
            <w:tcBorders>
              <w:bottom w:val="single" w:sz="8" w:color="DCDDDE"/>
            </w:tcBorders>
          </w:tcPr>
          <w:p>
            <w:pPr>
              <w:ind w:left="80"/>
              <w:spacing w:after="0" w:line="229" w:lineRule="exact"/>
              <w:rPr>
                <w:sz w:val="20"/>
                <w:szCs w:val="20"/>
                <w:color w:val="auto"/>
              </w:rPr>
            </w:pPr>
            <w:r>
              <w:rPr>
                <w:rFonts w:ascii="Arial" w:cs="Arial" w:eastAsia="Arial" w:hAnsi="Arial"/>
                <w:sz w:val="14"/>
                <w:szCs w:val="14"/>
                <w:color w:val="auto"/>
              </w:rPr>
              <w:t>With Good Reason</w:t>
            </w:r>
            <w:r>
              <w:rPr>
                <w:rFonts w:ascii="Arial" w:cs="Arial" w:eastAsia="Arial" w:hAnsi="Arial"/>
                <w:sz w:val="23"/>
                <w:szCs w:val="23"/>
                <w:color w:val="auto"/>
                <w:vertAlign w:val="superscript"/>
              </w:rPr>
              <w:t>(7)</w:t>
            </w:r>
          </w:p>
        </w:tc>
        <w:tc>
          <w:tcPr>
            <w:tcW w:w="204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220" w:type="dxa"/>
            <w:vAlign w:val="bottom"/>
            <w:tcBorders>
              <w:bottom w:val="single" w:sz="8" w:color="DCDDDE"/>
            </w:tcBorders>
          </w:tcPr>
          <w:p>
            <w:pPr>
              <w:spacing w:after="0"/>
              <w:rPr>
                <w:sz w:val="19"/>
                <w:szCs w:val="19"/>
                <w:color w:val="auto"/>
              </w:rPr>
            </w:pPr>
          </w:p>
        </w:tc>
        <w:tc>
          <w:tcPr>
            <w:tcW w:w="1220" w:type="dxa"/>
            <w:vAlign w:val="bottom"/>
            <w:tcBorders>
              <w:bottom w:val="single" w:sz="8" w:color="DCDDDE"/>
            </w:tcBorders>
          </w:tcPr>
          <w:p>
            <w:pPr>
              <w:spacing w:after="0"/>
              <w:rPr>
                <w:sz w:val="19"/>
                <w:szCs w:val="19"/>
                <w:color w:val="auto"/>
              </w:rPr>
            </w:pPr>
          </w:p>
        </w:tc>
        <w:tc>
          <w:tcPr>
            <w:tcW w:w="1140" w:type="dxa"/>
            <w:vAlign w:val="bottom"/>
            <w:tcBorders>
              <w:bottom w:val="single" w:sz="8" w:color="DCDDDE"/>
            </w:tcBorders>
          </w:tcPr>
          <w:p>
            <w:pPr>
              <w:spacing w:after="0"/>
              <w:rPr>
                <w:sz w:val="19"/>
                <w:szCs w:val="19"/>
                <w:color w:val="auto"/>
              </w:rPr>
            </w:pPr>
          </w:p>
        </w:tc>
        <w:tc>
          <w:tcPr>
            <w:tcW w:w="920" w:type="dxa"/>
            <w:vAlign w:val="bottom"/>
            <w:tcBorders>
              <w:bottom w:val="single" w:sz="8" w:color="DCDDDE"/>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60" w:type="dxa"/>
            <w:vAlign w:val="bottom"/>
            <w:tcBorders>
              <w:bottom w:val="single" w:sz="8" w:color="DCDDDE"/>
            </w:tcBorders>
          </w:tcPr>
          <w:p>
            <w:pPr>
              <w:ind w:left="80"/>
              <w:spacing w:after="0" w:line="236" w:lineRule="exact"/>
              <w:rPr>
                <w:sz w:val="20"/>
                <w:szCs w:val="20"/>
                <w:color w:val="auto"/>
              </w:rPr>
            </w:pPr>
            <w:r>
              <w:rPr>
                <w:rFonts w:ascii="Arial" w:cs="Arial" w:eastAsia="Arial" w:hAnsi="Arial"/>
                <w:sz w:val="14"/>
                <w:szCs w:val="14"/>
                <w:color w:val="auto"/>
              </w:rPr>
              <w:t>Death/Disability</w:t>
            </w:r>
            <w:r>
              <w:rPr>
                <w:rFonts w:ascii="Arial" w:cs="Arial" w:eastAsia="Arial" w:hAnsi="Arial"/>
                <w:sz w:val="23"/>
                <w:szCs w:val="23"/>
                <w:color w:val="auto"/>
                <w:vertAlign w:val="superscript"/>
              </w:rPr>
              <w:t>(8)</w:t>
            </w:r>
          </w:p>
        </w:tc>
        <w:tc>
          <w:tcPr>
            <w:tcW w:w="2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450,020</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3,600,160</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1,985,670</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11,487,385</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17,523,235</w:t>
            </w:r>
          </w:p>
        </w:tc>
        <w:tc>
          <w:tcPr>
            <w:tcW w:w="0" w:type="dxa"/>
            <w:vAlign w:val="bottom"/>
          </w:tcPr>
          <w:p>
            <w:pPr>
              <w:spacing w:after="0"/>
              <w:rPr>
                <w:sz w:val="1"/>
                <w:szCs w:val="1"/>
                <w:color w:val="auto"/>
              </w:rPr>
            </w:pPr>
          </w:p>
        </w:tc>
      </w:tr>
      <w:tr>
        <w:trPr>
          <w:trHeight w:val="237"/>
        </w:trPr>
        <w:tc>
          <w:tcPr>
            <w:tcW w:w="2460" w:type="dxa"/>
            <w:vAlign w:val="bottom"/>
            <w:tcBorders>
              <w:bottom w:val="single" w:sz="8" w:color="DCDDDE"/>
            </w:tcBorders>
          </w:tcPr>
          <w:p>
            <w:pPr>
              <w:ind w:left="8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2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2460" w:type="dxa"/>
            <w:vAlign w:val="bottom"/>
            <w:tcBorders>
              <w:bottom w:val="single" w:sz="8" w:color="auto"/>
            </w:tcBorders>
          </w:tcPr>
          <w:p>
            <w:pPr>
              <w:ind w:left="8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46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Jennifer Khoury</w:t>
            </w:r>
          </w:p>
        </w:tc>
        <w:tc>
          <w:tcPr>
            <w:tcW w:w="204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120" w:type="dxa"/>
            <w:vAlign w:val="bottom"/>
            <w:tcBorders>
              <w:bottom w:val="single" w:sz="8" w:color="DCDDDE"/>
            </w:tcBorders>
          </w:tcPr>
          <w:p>
            <w:pPr>
              <w:spacing w:after="0"/>
              <w:rPr>
                <w:sz w:val="18"/>
                <w:szCs w:val="18"/>
                <w:color w:val="auto"/>
              </w:rPr>
            </w:pPr>
          </w:p>
        </w:tc>
        <w:tc>
          <w:tcPr>
            <w:tcW w:w="1220" w:type="dxa"/>
            <w:vAlign w:val="bottom"/>
            <w:tcBorders>
              <w:bottom w:val="single" w:sz="8" w:color="DCDDDE"/>
            </w:tcBorders>
          </w:tcPr>
          <w:p>
            <w:pPr>
              <w:spacing w:after="0"/>
              <w:rPr>
                <w:sz w:val="18"/>
                <w:szCs w:val="18"/>
                <w:color w:val="auto"/>
              </w:rPr>
            </w:pPr>
          </w:p>
        </w:tc>
        <w:tc>
          <w:tcPr>
            <w:tcW w:w="1220" w:type="dxa"/>
            <w:vAlign w:val="bottom"/>
            <w:tcBorders>
              <w:bottom w:val="single" w:sz="8" w:color="DCDDDE"/>
            </w:tcBorders>
          </w:tcPr>
          <w:p>
            <w:pPr>
              <w:spacing w:after="0"/>
              <w:rPr>
                <w:sz w:val="18"/>
                <w:szCs w:val="18"/>
                <w:color w:val="auto"/>
              </w:rPr>
            </w:pPr>
          </w:p>
        </w:tc>
        <w:tc>
          <w:tcPr>
            <w:tcW w:w="1140" w:type="dxa"/>
            <w:vAlign w:val="bottom"/>
            <w:tcBorders>
              <w:bottom w:val="single" w:sz="8" w:color="DCDDDE"/>
            </w:tcBorders>
          </w:tcPr>
          <w:p>
            <w:pPr>
              <w:spacing w:after="0"/>
              <w:rPr>
                <w:sz w:val="18"/>
                <w:szCs w:val="18"/>
                <w:color w:val="auto"/>
              </w:rPr>
            </w:pPr>
          </w:p>
        </w:tc>
        <w:tc>
          <w:tcPr>
            <w:tcW w:w="920" w:type="dxa"/>
            <w:vAlign w:val="bottom"/>
            <w:tcBorders>
              <w:bottom w:val="single" w:sz="8" w:color="DCDDDE"/>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460" w:type="dxa"/>
            <w:vAlign w:val="bottom"/>
          </w:tcPr>
          <w:p>
            <w:pPr>
              <w:ind w:left="80"/>
              <w:spacing w:after="0"/>
              <w:rPr>
                <w:sz w:val="20"/>
                <w:szCs w:val="20"/>
                <w:color w:val="auto"/>
              </w:rPr>
            </w:pPr>
            <w:r>
              <w:rPr>
                <w:rFonts w:ascii="Arial" w:cs="Arial" w:eastAsia="Arial" w:hAnsi="Arial"/>
                <w:sz w:val="14"/>
                <w:szCs w:val="14"/>
                <w:color w:val="auto"/>
              </w:rPr>
              <w:t>Without Cause/</w:t>
            </w:r>
          </w:p>
        </w:tc>
        <w:tc>
          <w:tcPr>
            <w:tcW w:w="2040" w:type="dxa"/>
            <w:vAlign w:val="bottom"/>
          </w:tcPr>
          <w:p>
            <w:pPr>
              <w:jc w:val="right"/>
              <w:spacing w:after="0"/>
              <w:rPr>
                <w:sz w:val="20"/>
                <w:szCs w:val="20"/>
                <w:color w:val="auto"/>
              </w:rPr>
            </w:pPr>
            <w:r>
              <w:rPr>
                <w:rFonts w:ascii="Arial" w:cs="Arial" w:eastAsia="Arial" w:hAnsi="Arial"/>
                <w:sz w:val="14"/>
                <w:szCs w:val="14"/>
                <w:color w:val="auto"/>
              </w:rPr>
              <w:t>3,000,000</w:t>
            </w:r>
          </w:p>
        </w:tc>
        <w:tc>
          <w:tcPr>
            <w:tcW w:w="1120" w:type="dxa"/>
            <w:vAlign w:val="bottom"/>
          </w:tcPr>
          <w:p>
            <w:pPr>
              <w:jc w:val="right"/>
              <w:spacing w:after="0"/>
              <w:rPr>
                <w:sz w:val="20"/>
                <w:szCs w:val="20"/>
                <w:color w:val="auto"/>
              </w:rPr>
            </w:pPr>
            <w:r>
              <w:rPr>
                <w:rFonts w:ascii="Arial" w:cs="Arial" w:eastAsia="Arial" w:hAnsi="Arial"/>
                <w:sz w:val="14"/>
                <w:szCs w:val="14"/>
                <w:color w:val="auto"/>
              </w:rPr>
              <w:t>2,250,000</w:t>
            </w:r>
          </w:p>
        </w:tc>
        <w:tc>
          <w:tcPr>
            <w:tcW w:w="1120" w:type="dxa"/>
            <w:vAlign w:val="bottom"/>
          </w:tcPr>
          <w:p>
            <w:pPr>
              <w:jc w:val="right"/>
              <w:spacing w:after="0"/>
              <w:rPr>
                <w:sz w:val="20"/>
                <w:szCs w:val="20"/>
                <w:color w:val="auto"/>
              </w:rPr>
            </w:pPr>
            <w:r>
              <w:rPr>
                <w:rFonts w:ascii="Arial" w:cs="Arial" w:eastAsia="Arial" w:hAnsi="Arial"/>
                <w:sz w:val="14"/>
                <w:szCs w:val="14"/>
                <w:color w:val="auto"/>
              </w:rPr>
              <w:t>2,241,347</w:t>
            </w:r>
          </w:p>
        </w:tc>
        <w:tc>
          <w:tcPr>
            <w:tcW w:w="1220" w:type="dxa"/>
            <w:vAlign w:val="bottom"/>
          </w:tcPr>
          <w:p>
            <w:pPr>
              <w:jc w:val="right"/>
              <w:spacing w:after="0"/>
              <w:rPr>
                <w:sz w:val="20"/>
                <w:szCs w:val="20"/>
                <w:color w:val="auto"/>
              </w:rPr>
            </w:pPr>
            <w:r>
              <w:rPr>
                <w:rFonts w:ascii="Arial" w:cs="Arial" w:eastAsia="Arial" w:hAnsi="Arial"/>
                <w:sz w:val="14"/>
                <w:szCs w:val="14"/>
                <w:color w:val="auto"/>
              </w:rPr>
              <w:t>165,020</w:t>
            </w:r>
          </w:p>
        </w:tc>
        <w:tc>
          <w:tcPr>
            <w:tcW w:w="1220" w:type="dxa"/>
            <w:vAlign w:val="bottom"/>
          </w:tcPr>
          <w:p>
            <w:pPr>
              <w:jc w:val="right"/>
              <w:spacing w:after="0"/>
              <w:rPr>
                <w:sz w:val="20"/>
                <w:szCs w:val="20"/>
                <w:color w:val="auto"/>
              </w:rPr>
            </w:pPr>
            <w:r>
              <w:rPr>
                <w:rFonts w:ascii="Arial" w:cs="Arial" w:eastAsia="Arial" w:hAnsi="Arial"/>
                <w:sz w:val="14"/>
                <w:szCs w:val="14"/>
                <w:color w:val="auto"/>
              </w:rPr>
              <w:t>819,688</w:t>
            </w:r>
          </w:p>
        </w:tc>
        <w:tc>
          <w:tcPr>
            <w:tcW w:w="1140" w:type="dxa"/>
            <w:vAlign w:val="bottom"/>
          </w:tcPr>
          <w:p>
            <w:pPr>
              <w:jc w:val="right"/>
              <w:spacing w:after="0"/>
              <w:rPr>
                <w:sz w:val="20"/>
                <w:szCs w:val="20"/>
                <w:color w:val="auto"/>
              </w:rPr>
            </w:pPr>
            <w:r>
              <w:rPr>
                <w:rFonts w:ascii="Arial" w:cs="Arial" w:eastAsia="Arial" w:hAnsi="Arial"/>
                <w:sz w:val="14"/>
                <w:szCs w:val="14"/>
                <w:color w:val="auto"/>
              </w:rPr>
              <w:t>23,594</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8,499,649</w:t>
            </w:r>
          </w:p>
        </w:tc>
        <w:tc>
          <w:tcPr>
            <w:tcW w:w="0" w:type="dxa"/>
            <w:vAlign w:val="bottom"/>
          </w:tcPr>
          <w:p>
            <w:pPr>
              <w:spacing w:after="0"/>
              <w:rPr>
                <w:sz w:val="1"/>
                <w:szCs w:val="1"/>
                <w:color w:val="auto"/>
              </w:rPr>
            </w:pPr>
          </w:p>
        </w:tc>
      </w:tr>
      <w:tr>
        <w:trPr>
          <w:trHeight w:val="228"/>
        </w:trPr>
        <w:tc>
          <w:tcPr>
            <w:tcW w:w="2460" w:type="dxa"/>
            <w:vAlign w:val="bottom"/>
            <w:tcBorders>
              <w:bottom w:val="single" w:sz="8" w:color="DCDDDE"/>
            </w:tcBorders>
          </w:tcPr>
          <w:p>
            <w:pPr>
              <w:ind w:left="80"/>
              <w:spacing w:after="0" w:line="229" w:lineRule="exact"/>
              <w:rPr>
                <w:sz w:val="20"/>
                <w:szCs w:val="20"/>
                <w:color w:val="auto"/>
              </w:rPr>
            </w:pPr>
            <w:r>
              <w:rPr>
                <w:rFonts w:ascii="Arial" w:cs="Arial" w:eastAsia="Arial" w:hAnsi="Arial"/>
                <w:sz w:val="14"/>
                <w:szCs w:val="14"/>
                <w:color w:val="auto"/>
              </w:rPr>
              <w:t>With Good Reason</w:t>
            </w:r>
            <w:r>
              <w:rPr>
                <w:rFonts w:ascii="Arial" w:cs="Arial" w:eastAsia="Arial" w:hAnsi="Arial"/>
                <w:sz w:val="23"/>
                <w:szCs w:val="23"/>
                <w:color w:val="auto"/>
                <w:vertAlign w:val="superscript"/>
              </w:rPr>
              <w:t>(7)</w:t>
            </w:r>
          </w:p>
        </w:tc>
        <w:tc>
          <w:tcPr>
            <w:tcW w:w="204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120" w:type="dxa"/>
            <w:vAlign w:val="bottom"/>
            <w:tcBorders>
              <w:bottom w:val="single" w:sz="8" w:color="DCDDDE"/>
            </w:tcBorders>
          </w:tcPr>
          <w:p>
            <w:pPr>
              <w:spacing w:after="0"/>
              <w:rPr>
                <w:sz w:val="19"/>
                <w:szCs w:val="19"/>
                <w:color w:val="auto"/>
              </w:rPr>
            </w:pPr>
          </w:p>
        </w:tc>
        <w:tc>
          <w:tcPr>
            <w:tcW w:w="1220" w:type="dxa"/>
            <w:vAlign w:val="bottom"/>
            <w:tcBorders>
              <w:bottom w:val="single" w:sz="8" w:color="DCDDDE"/>
            </w:tcBorders>
          </w:tcPr>
          <w:p>
            <w:pPr>
              <w:spacing w:after="0"/>
              <w:rPr>
                <w:sz w:val="19"/>
                <w:szCs w:val="19"/>
                <w:color w:val="auto"/>
              </w:rPr>
            </w:pPr>
          </w:p>
        </w:tc>
        <w:tc>
          <w:tcPr>
            <w:tcW w:w="1220" w:type="dxa"/>
            <w:vAlign w:val="bottom"/>
            <w:tcBorders>
              <w:bottom w:val="single" w:sz="8" w:color="DCDDDE"/>
            </w:tcBorders>
          </w:tcPr>
          <w:p>
            <w:pPr>
              <w:spacing w:after="0"/>
              <w:rPr>
                <w:sz w:val="19"/>
                <w:szCs w:val="19"/>
                <w:color w:val="auto"/>
              </w:rPr>
            </w:pPr>
          </w:p>
        </w:tc>
        <w:tc>
          <w:tcPr>
            <w:tcW w:w="1140" w:type="dxa"/>
            <w:vAlign w:val="bottom"/>
            <w:tcBorders>
              <w:bottom w:val="single" w:sz="8" w:color="DCDDDE"/>
            </w:tcBorders>
          </w:tcPr>
          <w:p>
            <w:pPr>
              <w:spacing w:after="0"/>
              <w:rPr>
                <w:sz w:val="19"/>
                <w:szCs w:val="19"/>
                <w:color w:val="auto"/>
              </w:rPr>
            </w:pPr>
          </w:p>
        </w:tc>
        <w:tc>
          <w:tcPr>
            <w:tcW w:w="920" w:type="dxa"/>
            <w:vAlign w:val="bottom"/>
            <w:tcBorders>
              <w:bottom w:val="single" w:sz="8" w:color="DCDDDE"/>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460" w:type="dxa"/>
            <w:vAlign w:val="bottom"/>
            <w:tcBorders>
              <w:bottom w:val="single" w:sz="8" w:color="DCDDDE"/>
            </w:tcBorders>
          </w:tcPr>
          <w:p>
            <w:pPr>
              <w:ind w:left="80"/>
              <w:spacing w:after="0" w:line="236" w:lineRule="exact"/>
              <w:rPr>
                <w:sz w:val="20"/>
                <w:szCs w:val="20"/>
                <w:color w:val="auto"/>
              </w:rPr>
            </w:pPr>
            <w:r>
              <w:rPr>
                <w:rFonts w:ascii="Arial" w:cs="Arial" w:eastAsia="Arial" w:hAnsi="Arial"/>
                <w:sz w:val="14"/>
                <w:szCs w:val="14"/>
                <w:color w:val="auto"/>
              </w:rPr>
              <w:t>Death/Disability</w:t>
            </w:r>
            <w:r>
              <w:rPr>
                <w:rFonts w:ascii="Arial" w:cs="Arial" w:eastAsia="Arial" w:hAnsi="Arial"/>
                <w:sz w:val="23"/>
                <w:szCs w:val="23"/>
                <w:color w:val="auto"/>
                <w:vertAlign w:val="superscript"/>
              </w:rPr>
              <w:t>(8)</w:t>
            </w:r>
          </w:p>
        </w:tc>
        <w:tc>
          <w:tcPr>
            <w:tcW w:w="2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375,000</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2,241,347</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603,543</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3,386,623</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6,606,513</w:t>
            </w:r>
          </w:p>
        </w:tc>
        <w:tc>
          <w:tcPr>
            <w:tcW w:w="0" w:type="dxa"/>
            <w:vAlign w:val="bottom"/>
          </w:tcPr>
          <w:p>
            <w:pPr>
              <w:spacing w:after="0"/>
              <w:rPr>
                <w:sz w:val="1"/>
                <w:szCs w:val="1"/>
                <w:color w:val="auto"/>
              </w:rPr>
            </w:pPr>
          </w:p>
        </w:tc>
      </w:tr>
      <w:tr>
        <w:trPr>
          <w:trHeight w:val="237"/>
        </w:trPr>
        <w:tc>
          <w:tcPr>
            <w:tcW w:w="2460" w:type="dxa"/>
            <w:vAlign w:val="bottom"/>
            <w:tcBorders>
              <w:bottom w:val="single" w:sz="8" w:color="DCDDDE"/>
            </w:tcBorders>
          </w:tcPr>
          <w:p>
            <w:pPr>
              <w:ind w:left="80"/>
              <w:spacing w:after="0" w:line="236" w:lineRule="exact"/>
              <w:rPr>
                <w:sz w:val="20"/>
                <w:szCs w:val="20"/>
                <w:color w:val="auto"/>
              </w:rPr>
            </w:pPr>
            <w:r>
              <w:rPr>
                <w:rFonts w:ascii="Arial" w:cs="Arial" w:eastAsia="Arial" w:hAnsi="Arial"/>
                <w:sz w:val="14"/>
                <w:szCs w:val="14"/>
                <w:color w:val="auto"/>
              </w:rPr>
              <w:t>Retirement</w:t>
            </w:r>
            <w:r>
              <w:rPr>
                <w:rFonts w:ascii="Arial" w:cs="Arial" w:eastAsia="Arial" w:hAnsi="Arial"/>
                <w:sz w:val="23"/>
                <w:szCs w:val="23"/>
                <w:color w:val="auto"/>
                <w:vertAlign w:val="superscript"/>
              </w:rPr>
              <w:t>(5)</w:t>
            </w:r>
          </w:p>
        </w:tc>
        <w:tc>
          <w:tcPr>
            <w:tcW w:w="20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6"/>
        </w:trPr>
        <w:tc>
          <w:tcPr>
            <w:tcW w:w="2460" w:type="dxa"/>
            <w:vAlign w:val="bottom"/>
            <w:tcBorders>
              <w:bottom w:val="single" w:sz="8" w:color="auto"/>
            </w:tcBorders>
          </w:tcPr>
          <w:p>
            <w:pPr>
              <w:ind w:left="80"/>
              <w:spacing w:after="0" w:line="236" w:lineRule="exact"/>
              <w:rPr>
                <w:sz w:val="20"/>
                <w:szCs w:val="20"/>
                <w:color w:val="auto"/>
              </w:rPr>
            </w:pPr>
            <w:r>
              <w:rPr>
                <w:rFonts w:ascii="Arial" w:cs="Arial" w:eastAsia="Arial" w:hAnsi="Arial"/>
                <w:sz w:val="14"/>
                <w:szCs w:val="14"/>
                <w:color w:val="auto"/>
              </w:rPr>
              <w:t>Change in Control</w:t>
            </w:r>
            <w:r>
              <w:rPr>
                <w:rFonts w:ascii="Arial" w:cs="Arial" w:eastAsia="Arial" w:hAnsi="Arial"/>
                <w:sz w:val="23"/>
                <w:szCs w:val="23"/>
                <w:color w:val="auto"/>
                <w:vertAlign w:val="superscript"/>
              </w:rPr>
              <w:t>(6)</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right="160" w:hanging="312"/>
        <w:spacing w:after="0" w:line="264" w:lineRule="auto"/>
        <w:tabs>
          <w:tab w:leader="none" w:pos="320" w:val="left"/>
        </w:tabs>
        <w:numPr>
          <w:ilvl w:val="0"/>
          <w:numId w:val="93"/>
        </w:numPr>
        <w:rPr>
          <w:rFonts w:ascii="Arial" w:cs="Arial" w:eastAsia="Arial" w:hAnsi="Arial"/>
          <w:sz w:val="13"/>
          <w:szCs w:val="13"/>
          <w:color w:val="auto"/>
        </w:rPr>
      </w:pPr>
      <w:r>
        <w:rPr>
          <w:rFonts w:ascii="Arial" w:cs="Arial" w:eastAsia="Arial" w:hAnsi="Arial"/>
          <w:sz w:val="15"/>
          <w:szCs w:val="15"/>
          <w:color w:val="auto"/>
        </w:rPr>
        <w:t>Based on the closing market price of a share of our Class A common stock as of December 29, 2023 ($43.85), minus, in the case of stock options, the exercise price. PSUs and the Performance Option granted to Mr. Cavanagh are based on the target vesting.</w:t>
      </w:r>
    </w:p>
    <w:p>
      <w:pPr>
        <w:spacing w:after="0" w:line="12" w:lineRule="exact"/>
        <w:rPr>
          <w:rFonts w:ascii="Arial" w:cs="Arial" w:eastAsia="Arial" w:hAnsi="Arial"/>
          <w:sz w:val="13"/>
          <w:szCs w:val="13"/>
          <w:color w:val="auto"/>
        </w:rPr>
      </w:pPr>
    </w:p>
    <w:p>
      <w:pPr>
        <w:ind w:left="320" w:hanging="312"/>
        <w:spacing w:after="0" w:line="234" w:lineRule="auto"/>
        <w:tabs>
          <w:tab w:leader="none" w:pos="320" w:val="left"/>
        </w:tabs>
        <w:numPr>
          <w:ilvl w:val="0"/>
          <w:numId w:val="93"/>
        </w:numPr>
        <w:rPr>
          <w:rFonts w:ascii="Arial" w:cs="Arial" w:eastAsia="Arial" w:hAnsi="Arial"/>
          <w:sz w:val="13"/>
          <w:szCs w:val="13"/>
          <w:color w:val="auto"/>
        </w:rPr>
      </w:pPr>
      <w:r>
        <w:rPr>
          <w:rFonts w:ascii="Arial" w:cs="Arial" w:eastAsia="Arial" w:hAnsi="Arial"/>
          <w:sz w:val="15"/>
          <w:szCs w:val="15"/>
          <w:color w:val="auto"/>
        </w:rPr>
        <w:t>Mr. Roberts’ termination without cause or with good reason would entitle him to (i) payment of his base salary on a monthly basis for three years after the termination date, (ii) payment of his annual cash bonus (appropriately prorated for partial calendar years), assuming full achievement of performance goals, on an annual basis for three years and (iii) vesting of his unvested stock options and stock units in accordance with their terms as if his employment had continued. Mr. Roberts’ receipt of the payments and benefits is subject to his execution of our standard agreement containing certain mutual releases. Mr. Roberts is also entitled to receive a prorated annual cash bonus for the year of his termination, assuming full achievement of the performance goals, and to continued health and welfare benefits for three years after the termination date.</w:t>
      </w:r>
    </w:p>
    <w:p>
      <w:pPr>
        <w:spacing w:after="0" w:line="30" w:lineRule="exact"/>
        <w:rPr>
          <w:rFonts w:ascii="Arial" w:cs="Arial" w:eastAsia="Arial" w:hAnsi="Arial"/>
          <w:sz w:val="13"/>
          <w:szCs w:val="13"/>
          <w:color w:val="auto"/>
        </w:rPr>
      </w:pPr>
    </w:p>
    <w:p>
      <w:pPr>
        <w:jc w:val="both"/>
        <w:ind w:left="320" w:right="200" w:hanging="312"/>
        <w:spacing w:after="0" w:line="244" w:lineRule="auto"/>
        <w:tabs>
          <w:tab w:leader="none" w:pos="320" w:val="left"/>
        </w:tabs>
        <w:numPr>
          <w:ilvl w:val="0"/>
          <w:numId w:val="93"/>
        </w:numPr>
        <w:rPr>
          <w:rFonts w:ascii="Arial" w:cs="Arial" w:eastAsia="Arial" w:hAnsi="Arial"/>
          <w:sz w:val="13"/>
          <w:szCs w:val="13"/>
          <w:color w:val="auto"/>
        </w:rPr>
      </w:pPr>
      <w:r>
        <w:rPr>
          <w:rFonts w:ascii="Arial" w:cs="Arial" w:eastAsia="Arial" w:hAnsi="Arial"/>
          <w:sz w:val="15"/>
          <w:szCs w:val="15"/>
          <w:color w:val="auto"/>
        </w:rPr>
        <w:t>Upon Mr. Roberts’ death, his unvested stock options and stock units will vest in full and his options will remain exercisable for the remainder of their terms. His spouse or his or her estate will receive payment of his annual cash bonus, prorated to reflect the number of days he was employed during the year of his death (assuming full achievement of the performance goals), and his spouse will receive health and welfare benefits during her lifetime.</w:t>
      </w:r>
    </w:p>
    <w:p>
      <w:pPr>
        <w:spacing w:after="0" w:line="27" w:lineRule="exact"/>
        <w:rPr>
          <w:rFonts w:ascii="Arial" w:cs="Arial" w:eastAsia="Arial" w:hAnsi="Arial"/>
          <w:sz w:val="13"/>
          <w:szCs w:val="13"/>
          <w:color w:val="auto"/>
        </w:rPr>
      </w:pPr>
    </w:p>
    <w:p>
      <w:pPr>
        <w:ind w:left="320" w:right="140" w:hanging="312"/>
        <w:spacing w:after="0" w:line="236" w:lineRule="auto"/>
        <w:tabs>
          <w:tab w:leader="none" w:pos="320" w:val="left"/>
        </w:tabs>
        <w:numPr>
          <w:ilvl w:val="0"/>
          <w:numId w:val="93"/>
        </w:numPr>
        <w:rPr>
          <w:rFonts w:ascii="Arial" w:cs="Arial" w:eastAsia="Arial" w:hAnsi="Arial"/>
          <w:sz w:val="13"/>
          <w:szCs w:val="13"/>
          <w:color w:val="auto"/>
        </w:rPr>
      </w:pPr>
      <w:r>
        <w:rPr>
          <w:rFonts w:ascii="Arial" w:cs="Arial" w:eastAsia="Arial" w:hAnsi="Arial"/>
          <w:sz w:val="15"/>
          <w:szCs w:val="15"/>
          <w:color w:val="auto"/>
        </w:rPr>
        <w:t>If Mr. Roberts’ employment is terminated by reason of his disability, we must continue to pay his base salary on a monthly basis for three years, his annual cash bonus (appropriately prorated for partial calendar years), assuming full achievement o performance goals, on an annual basis for three years, and his unvested stock options and stock units will vest in full and his options will remain exercisable for the remainder of their term. In the event of Mr. Roberts’ death prior to the end of such three-year period, no remaining payments will be made. Mr. Roberts is also entitled to receive a prorated annual cash bonus for the year of his termination, assuming full achievement of the performance goals.</w:t>
      </w:r>
    </w:p>
    <w:p>
      <w:pPr>
        <w:spacing w:after="0" w:line="208" w:lineRule="exact"/>
        <w:rPr>
          <w:sz w:val="20"/>
          <w:szCs w:val="20"/>
          <w:color w:val="auto"/>
        </w:rPr>
      </w:pPr>
    </w:p>
    <w:p>
      <w:pPr>
        <w:ind w:left="360" w:hanging="352"/>
        <w:spacing w:after="0"/>
        <w:tabs>
          <w:tab w:leader="none" w:pos="360" w:val="left"/>
        </w:tabs>
        <w:numPr>
          <w:ilvl w:val="0"/>
          <w:numId w:val="9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2" w:lineRule="exact"/>
        <w:rPr>
          <w:sz w:val="20"/>
          <w:szCs w:val="20"/>
          <w:color w:val="auto"/>
        </w:rPr>
      </w:pPr>
    </w:p>
    <w:p>
      <w:pPr>
        <w:ind w:left="320" w:right="80" w:hanging="312"/>
        <w:spacing w:after="0" w:line="231" w:lineRule="auto"/>
        <w:tabs>
          <w:tab w:leader="none" w:pos="320" w:val="left"/>
        </w:tabs>
        <w:numPr>
          <w:ilvl w:val="0"/>
          <w:numId w:val="95"/>
        </w:numPr>
        <w:rPr>
          <w:rFonts w:ascii="Arial" w:cs="Arial" w:eastAsia="Arial" w:hAnsi="Arial"/>
          <w:sz w:val="13"/>
          <w:szCs w:val="13"/>
          <w:color w:val="auto"/>
        </w:rPr>
      </w:pPr>
      <w:r>
        <w:rPr>
          <w:rFonts w:ascii="Arial" w:cs="Arial" w:eastAsia="Arial" w:hAnsi="Arial"/>
          <w:sz w:val="15"/>
          <w:szCs w:val="15"/>
          <w:color w:val="auto"/>
        </w:rPr>
        <w:t>Certain senior executives, including our NEOs, are entitled to continued vesting on retirement. For stock options granted before 2021 to Messrs. Roberts, Cavanagh and Reid, and before 2023 to Mr. Armstrong and Ms. Khoury, NEOs who reach the age of 62 are entitled to the continued vesting and exercisability of options following termination for (a) 36 and 39 months, respectively, with 10 years of service, (b) 60 and 63 months, respectively, with 15 years of service and (c) 114 and 117 months, respectively, with 20 years of service, provided that no option will be exercisable after the 10th anniversary of the date of grant. For stock units granted before 2021 to Messrs. Roberts, Cavanagh and Reid, and before 2023 to Mr. Armstrong and Ms. Khoury, NEOs who reach the age of 62 are entitled to the continued vesting of stock units following termination for (x) 36 months with 10 years of service, (y) 48 months with 15 years of service and (z) 60 months with 20 years of service. For stock option and stock unit awards granted in 2021 and subsequent years to Messrs. Roberts, Cavanagh and Reid and in 2023 and subsequent years to Mr. Armstrong and Ms. Khoury, NEOs qualify for continued vesting on retirement when the sum of the NEO’s age and completed years of service equals or exceeds 70 (provided that the NEO has reached age 62 and completed 5 years of service).</w:t>
      </w:r>
    </w:p>
    <w:p>
      <w:pPr>
        <w:spacing w:after="0" w:line="31" w:lineRule="exact"/>
        <w:rPr>
          <w:rFonts w:ascii="Arial" w:cs="Arial" w:eastAsia="Arial" w:hAnsi="Arial"/>
          <w:sz w:val="13"/>
          <w:szCs w:val="13"/>
          <w:color w:val="auto"/>
        </w:rPr>
      </w:pPr>
    </w:p>
    <w:p>
      <w:pPr>
        <w:ind w:left="320" w:right="200" w:hanging="312"/>
        <w:spacing w:after="0" w:line="236" w:lineRule="auto"/>
        <w:tabs>
          <w:tab w:leader="none" w:pos="320" w:val="left"/>
        </w:tabs>
        <w:numPr>
          <w:ilvl w:val="0"/>
          <w:numId w:val="95"/>
        </w:numPr>
        <w:rPr>
          <w:rFonts w:ascii="Arial" w:cs="Arial" w:eastAsia="Arial" w:hAnsi="Arial"/>
          <w:sz w:val="13"/>
          <w:szCs w:val="13"/>
          <w:color w:val="auto"/>
        </w:rPr>
      </w:pPr>
      <w:r>
        <w:rPr>
          <w:rFonts w:ascii="Arial" w:cs="Arial" w:eastAsia="Arial" w:hAnsi="Arial"/>
          <w:sz w:val="15"/>
          <w:szCs w:val="15"/>
          <w:color w:val="auto"/>
        </w:rPr>
        <w:t>None of our NEOs’ employment agreements provides for the automatic accelerated vesting of equity awards in connection with a change in control (a “single trigger”), and none of our NEOs’ employment agreements, other than Mr. Roberts’, provides for the automatic accelerated vesting of equity awards upon the occurrence of one or more specified events that may follow a change in control, such as a termination of employment (a “double trigger”). Under Mr. Roberts’ employment agreement, if we were to terminate Mr. Roberts’ employment following a change in control transaction, it would be treated as a termination without cause and he would be entitled to the same amounts set forth in the “Without Cause/With Good Reason” category, as described in footnote (2) to this table.</w:t>
      </w:r>
    </w:p>
    <w:p>
      <w:pPr>
        <w:spacing w:after="0" w:line="29" w:lineRule="exact"/>
        <w:rPr>
          <w:rFonts w:ascii="Arial" w:cs="Arial" w:eastAsia="Arial" w:hAnsi="Arial"/>
          <w:sz w:val="13"/>
          <w:szCs w:val="13"/>
          <w:color w:val="auto"/>
        </w:rPr>
      </w:pPr>
    </w:p>
    <w:p>
      <w:pPr>
        <w:ind w:left="320" w:right="80" w:hanging="312"/>
        <w:spacing w:after="0" w:line="231" w:lineRule="auto"/>
        <w:tabs>
          <w:tab w:leader="none" w:pos="320" w:val="left"/>
        </w:tabs>
        <w:numPr>
          <w:ilvl w:val="0"/>
          <w:numId w:val="95"/>
        </w:numPr>
        <w:rPr>
          <w:rFonts w:ascii="Arial" w:cs="Arial" w:eastAsia="Arial" w:hAnsi="Arial"/>
          <w:sz w:val="13"/>
          <w:szCs w:val="13"/>
          <w:color w:val="auto"/>
        </w:rPr>
      </w:pPr>
      <w:r>
        <w:rPr>
          <w:rFonts w:ascii="Arial" w:cs="Arial" w:eastAsia="Arial" w:hAnsi="Arial"/>
          <w:sz w:val="15"/>
          <w:szCs w:val="15"/>
          <w:color w:val="auto"/>
        </w:rPr>
        <w:t>If we terminate such executive’s employment without cause or the executive terminates with good reason, they will receive their then-current base salary for a period of 24 months, and they are entitled to receive continued health benefits for a period of 18 months. If the executive becomes reemployed, these payments will be reduced by the amount of any compensation earned or received by the executive in respect of such period and we will stop providing health and welfare benefits. Such executive will receive the full (non-prorated) amount of the current year’s annual cash bonus (assuming full achievement of performance goals) and the following year’s target annual cash bonus (prorated for time employed during the year of termination and assuming full achievement of performance goals). Stock options and stock units will continue to vest in accordance with their respective terms for 12 months following termination, and vested stock options will remain exercisable for a period equal to the lesser of 15 months or the end of the stock options’ term. Mr. Roberts, who is over the age of 62, is entitled to receive retirement-related compensation as set forth in footnote (5) to this table. The executives’ receipt of the payments and benefits described above are subject to execution of our standard agreement containing certain mutual releases.</w:t>
      </w:r>
    </w:p>
    <w:p>
      <w:pPr>
        <w:spacing w:after="0" w:line="31" w:lineRule="exact"/>
        <w:rPr>
          <w:rFonts w:ascii="Arial" w:cs="Arial" w:eastAsia="Arial" w:hAnsi="Arial"/>
          <w:sz w:val="13"/>
          <w:szCs w:val="13"/>
          <w:color w:val="auto"/>
        </w:rPr>
      </w:pPr>
    </w:p>
    <w:p>
      <w:pPr>
        <w:jc w:val="both"/>
        <w:ind w:left="320" w:right="360" w:hanging="312"/>
        <w:spacing w:after="0" w:line="244" w:lineRule="auto"/>
        <w:tabs>
          <w:tab w:leader="none" w:pos="320" w:val="left"/>
        </w:tabs>
        <w:numPr>
          <w:ilvl w:val="0"/>
          <w:numId w:val="95"/>
        </w:numPr>
        <w:rPr>
          <w:rFonts w:ascii="Arial" w:cs="Arial" w:eastAsia="Arial" w:hAnsi="Arial"/>
          <w:sz w:val="13"/>
          <w:szCs w:val="13"/>
          <w:color w:val="auto"/>
        </w:rPr>
      </w:pPr>
      <w:r>
        <w:rPr>
          <w:rFonts w:ascii="Arial" w:cs="Arial" w:eastAsia="Arial" w:hAnsi="Arial"/>
          <w:sz w:val="15"/>
          <w:szCs w:val="15"/>
          <w:color w:val="auto"/>
        </w:rPr>
        <w:t>If such executive’s employment terminates due to his or her death or disability, the executive or his or her estate will receive three months of base salary and payment of annual cash bonus, prorated for time employed during the year of such termination (assuming full achievement of performance goals), and stock options and stock units will fully vest, with stock options remaining exercisable for the remainder of their terms.</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equity plan information as of December 31,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320" w:type="dxa"/>
            <w:vAlign w:val="bottom"/>
          </w:tcPr>
          <w:p>
            <w:pPr>
              <w:jc w:val="right"/>
              <w:ind w:right="9"/>
              <w:spacing w:after="0"/>
              <w:rPr>
                <w:sz w:val="20"/>
                <w:szCs w:val="20"/>
                <w:color w:val="auto"/>
              </w:rPr>
            </w:pPr>
            <w:r>
              <w:rPr>
                <w:rFonts w:ascii="Arial" w:cs="Arial" w:eastAsia="Arial" w:hAnsi="Arial"/>
                <w:sz w:val="14"/>
                <w:szCs w:val="14"/>
                <w:b w:val="1"/>
                <w:bCs w:val="1"/>
                <w:color w:val="auto"/>
              </w:rPr>
              <w:t>NUMBER OF SECURITIES</w:t>
            </w:r>
          </w:p>
        </w:tc>
      </w:tr>
      <w:tr>
        <w:trPr>
          <w:trHeight w:val="162"/>
        </w:trPr>
        <w:tc>
          <w:tcPr>
            <w:tcW w:w="3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b w:val="1"/>
                <w:bCs w:val="1"/>
                <w:color w:val="auto"/>
              </w:rPr>
              <w:t>WEIGHTED-AVERAGE</w:t>
            </w:r>
          </w:p>
        </w:tc>
        <w:tc>
          <w:tcPr>
            <w:tcW w:w="2320" w:type="dxa"/>
            <w:vAlign w:val="bottom"/>
          </w:tcPr>
          <w:p>
            <w:pPr>
              <w:jc w:val="right"/>
              <w:ind w:right="9"/>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35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tcPr>
          <w:p>
            <w:pPr>
              <w:jc w:val="right"/>
              <w:ind w:right="69"/>
              <w:spacing w:after="0"/>
              <w:rPr>
                <w:sz w:val="20"/>
                <w:szCs w:val="20"/>
                <w:color w:val="auto"/>
              </w:rPr>
            </w:pPr>
            <w:r>
              <w:rPr>
                <w:rFonts w:ascii="Arial" w:cs="Arial" w:eastAsia="Arial" w:hAnsi="Arial"/>
                <w:sz w:val="14"/>
                <w:szCs w:val="14"/>
                <w:b w:val="1"/>
                <w:bCs w:val="1"/>
                <w:color w:val="auto"/>
              </w:rPr>
              <w:t>EXERCISE PRICE</w:t>
            </w:r>
          </w:p>
        </w:tc>
        <w:tc>
          <w:tcPr>
            <w:tcW w:w="2320" w:type="dxa"/>
            <w:vAlign w:val="bottom"/>
          </w:tcPr>
          <w:p>
            <w:pPr>
              <w:jc w:val="right"/>
              <w:ind w:right="9"/>
              <w:spacing w:after="0"/>
              <w:rPr>
                <w:sz w:val="20"/>
                <w:szCs w:val="20"/>
                <w:color w:val="auto"/>
              </w:rPr>
            </w:pPr>
            <w:r>
              <w:rPr>
                <w:rFonts w:ascii="Arial" w:cs="Arial" w:eastAsia="Arial" w:hAnsi="Arial"/>
                <w:sz w:val="14"/>
                <w:szCs w:val="14"/>
                <w:b w:val="1"/>
                <w:bCs w:val="1"/>
                <w:color w:val="auto"/>
              </w:rPr>
              <w:t>FOR FUTURE ISSUANCE</w:t>
            </w:r>
          </w:p>
        </w:tc>
      </w:tr>
      <w:tr>
        <w:trPr>
          <w:trHeight w:val="162"/>
        </w:trPr>
        <w:tc>
          <w:tcPr>
            <w:tcW w:w="3580" w:type="dxa"/>
            <w:vAlign w:val="bottom"/>
          </w:tcPr>
          <w:p>
            <w:pPr>
              <w:spacing w:after="0"/>
              <w:rPr>
                <w:sz w:val="14"/>
                <w:szCs w:val="14"/>
                <w:color w:val="auto"/>
              </w:rPr>
            </w:pPr>
          </w:p>
        </w:tc>
        <w:tc>
          <w:tcPr>
            <w:tcW w:w="3500" w:type="dxa"/>
            <w:vAlign w:val="bottom"/>
          </w:tcPr>
          <w:p>
            <w:pPr>
              <w:jc w:val="right"/>
              <w:ind w:right="69"/>
              <w:spacing w:after="0"/>
              <w:rPr>
                <w:sz w:val="20"/>
                <w:szCs w:val="20"/>
                <w:color w:val="auto"/>
              </w:rPr>
            </w:pPr>
            <w:r>
              <w:rPr>
                <w:rFonts w:ascii="Arial" w:cs="Arial" w:eastAsia="Arial" w:hAnsi="Arial"/>
                <w:sz w:val="14"/>
                <w:szCs w:val="14"/>
                <w:b w:val="1"/>
                <w:bCs w:val="1"/>
                <w:color w:val="auto"/>
              </w:rPr>
              <w:t>NUMBER OF SECURITIES TO</w:t>
            </w:r>
          </w:p>
        </w:tc>
        <w:tc>
          <w:tcPr>
            <w:tcW w:w="1840" w:type="dxa"/>
            <w:vAlign w:val="bottom"/>
          </w:tcPr>
          <w:p>
            <w:pPr>
              <w:jc w:val="right"/>
              <w:ind w:right="69"/>
              <w:spacing w:after="0"/>
              <w:rPr>
                <w:sz w:val="20"/>
                <w:szCs w:val="20"/>
                <w:color w:val="auto"/>
              </w:rPr>
            </w:pPr>
            <w:r>
              <w:rPr>
                <w:rFonts w:ascii="Arial" w:cs="Arial" w:eastAsia="Arial" w:hAnsi="Arial"/>
                <w:sz w:val="14"/>
                <w:szCs w:val="14"/>
                <w:b w:val="1"/>
                <w:bCs w:val="1"/>
                <w:color w:val="auto"/>
              </w:rPr>
              <w:t>OF OUTSTANDING</w:t>
            </w:r>
          </w:p>
        </w:tc>
        <w:tc>
          <w:tcPr>
            <w:tcW w:w="2320" w:type="dxa"/>
            <w:vAlign w:val="bottom"/>
          </w:tcPr>
          <w:p>
            <w:pPr>
              <w:jc w:val="right"/>
              <w:ind w:right="9"/>
              <w:spacing w:after="0"/>
              <w:rPr>
                <w:sz w:val="20"/>
                <w:szCs w:val="20"/>
                <w:color w:val="auto"/>
              </w:rPr>
            </w:pPr>
            <w:r>
              <w:rPr>
                <w:rFonts w:ascii="Arial" w:cs="Arial" w:eastAsia="Arial" w:hAnsi="Arial"/>
                <w:sz w:val="14"/>
                <w:szCs w:val="14"/>
                <w:b w:val="1"/>
                <w:bCs w:val="1"/>
                <w:color w:val="auto"/>
              </w:rPr>
              <w:t>UNDER EQUITY</w:t>
            </w:r>
          </w:p>
        </w:tc>
      </w:tr>
      <w:tr>
        <w:trPr>
          <w:trHeight w:val="159"/>
        </w:trPr>
        <w:tc>
          <w:tcPr>
            <w:tcW w:w="3580" w:type="dxa"/>
            <w:vAlign w:val="bottom"/>
          </w:tcPr>
          <w:p>
            <w:pPr>
              <w:spacing w:after="0"/>
              <w:rPr>
                <w:sz w:val="13"/>
                <w:szCs w:val="13"/>
                <w:color w:val="auto"/>
              </w:rPr>
            </w:pPr>
          </w:p>
        </w:tc>
        <w:tc>
          <w:tcPr>
            <w:tcW w:w="3500" w:type="dxa"/>
            <w:vAlign w:val="bottom"/>
          </w:tcPr>
          <w:p>
            <w:pPr>
              <w:jc w:val="right"/>
              <w:ind w:right="69"/>
              <w:spacing w:after="0" w:line="159" w:lineRule="exact"/>
              <w:rPr>
                <w:sz w:val="20"/>
                <w:szCs w:val="20"/>
                <w:color w:val="auto"/>
              </w:rPr>
            </w:pPr>
            <w:r>
              <w:rPr>
                <w:rFonts w:ascii="Arial" w:cs="Arial" w:eastAsia="Arial" w:hAnsi="Arial"/>
                <w:sz w:val="14"/>
                <w:szCs w:val="14"/>
                <w:b w:val="1"/>
                <w:bCs w:val="1"/>
                <w:color w:val="auto"/>
              </w:rPr>
              <w:t>BE ISSUED UPON EXERCISE</w:t>
            </w:r>
          </w:p>
        </w:tc>
        <w:tc>
          <w:tcPr>
            <w:tcW w:w="1840" w:type="dxa"/>
            <w:vAlign w:val="bottom"/>
          </w:tcPr>
          <w:p>
            <w:pPr>
              <w:jc w:val="right"/>
              <w:ind w:right="69"/>
              <w:spacing w:after="0" w:line="159" w:lineRule="exact"/>
              <w:rPr>
                <w:sz w:val="20"/>
                <w:szCs w:val="20"/>
                <w:color w:val="auto"/>
              </w:rPr>
            </w:pPr>
            <w:r>
              <w:rPr>
                <w:rFonts w:ascii="Arial" w:cs="Arial" w:eastAsia="Arial" w:hAnsi="Arial"/>
                <w:sz w:val="14"/>
                <w:szCs w:val="14"/>
                <w:b w:val="1"/>
                <w:bCs w:val="1"/>
                <w:color w:val="auto"/>
              </w:rPr>
              <w:t>OPTIONS, WARRANTS</w:t>
            </w:r>
          </w:p>
        </w:tc>
        <w:tc>
          <w:tcPr>
            <w:tcW w:w="2320" w:type="dxa"/>
            <w:vAlign w:val="bottom"/>
          </w:tcPr>
          <w:p>
            <w:pPr>
              <w:jc w:val="right"/>
              <w:ind w:right="9"/>
              <w:spacing w:after="0" w:line="159" w:lineRule="exact"/>
              <w:rPr>
                <w:sz w:val="20"/>
                <w:szCs w:val="20"/>
                <w:color w:val="auto"/>
              </w:rPr>
            </w:pPr>
            <w:r>
              <w:rPr>
                <w:rFonts w:ascii="Arial" w:cs="Arial" w:eastAsia="Arial" w:hAnsi="Arial"/>
                <w:sz w:val="14"/>
                <w:szCs w:val="14"/>
                <w:b w:val="1"/>
                <w:bCs w:val="1"/>
                <w:color w:val="auto"/>
              </w:rPr>
              <w:t>COMPENSATION PLANS</w:t>
            </w:r>
          </w:p>
        </w:tc>
      </w:tr>
      <w:tr>
        <w:trPr>
          <w:trHeight w:val="174"/>
        </w:trPr>
        <w:tc>
          <w:tcPr>
            <w:tcW w:w="3580" w:type="dxa"/>
            <w:vAlign w:val="bottom"/>
          </w:tcPr>
          <w:p>
            <w:pPr>
              <w:spacing w:after="0"/>
              <w:rPr>
                <w:sz w:val="15"/>
                <w:szCs w:val="15"/>
                <w:color w:val="auto"/>
              </w:rPr>
            </w:pPr>
          </w:p>
        </w:tc>
        <w:tc>
          <w:tcPr>
            <w:tcW w:w="3500" w:type="dxa"/>
            <w:vAlign w:val="bottom"/>
          </w:tcPr>
          <w:p>
            <w:pPr>
              <w:jc w:val="right"/>
              <w:ind w:right="69"/>
              <w:spacing w:after="0"/>
              <w:rPr>
                <w:sz w:val="20"/>
                <w:szCs w:val="20"/>
                <w:color w:val="auto"/>
              </w:rPr>
            </w:pPr>
            <w:r>
              <w:rPr>
                <w:rFonts w:ascii="Arial" w:cs="Arial" w:eastAsia="Arial" w:hAnsi="Arial"/>
                <w:sz w:val="14"/>
                <w:szCs w:val="14"/>
                <w:b w:val="1"/>
                <w:bCs w:val="1"/>
                <w:color w:val="auto"/>
              </w:rPr>
              <w:t>OF OUTSTANDING OPTIONS,</w:t>
            </w:r>
          </w:p>
        </w:tc>
        <w:tc>
          <w:tcPr>
            <w:tcW w:w="1840" w:type="dxa"/>
            <w:vAlign w:val="bottom"/>
          </w:tcPr>
          <w:p>
            <w:pPr>
              <w:jc w:val="right"/>
              <w:ind w:right="69"/>
              <w:spacing w:after="0" w:line="174" w:lineRule="exact"/>
              <w:rPr>
                <w:sz w:val="20"/>
                <w:szCs w:val="20"/>
                <w:color w:val="auto"/>
              </w:rPr>
            </w:pPr>
            <w:r>
              <w:rPr>
                <w:rFonts w:ascii="Arial" w:cs="Arial" w:eastAsia="Arial" w:hAnsi="Arial"/>
                <w:sz w:val="13"/>
                <w:szCs w:val="13"/>
                <w:b w:val="1"/>
                <w:bCs w:val="1"/>
                <w:color w:val="auto"/>
              </w:rPr>
              <w:t>AND RIGHTS</w:t>
            </w:r>
            <w:r>
              <w:rPr>
                <w:rFonts w:ascii="Arial" w:cs="Arial" w:eastAsia="Arial" w:hAnsi="Arial"/>
                <w:sz w:val="20"/>
                <w:szCs w:val="20"/>
                <w:b w:val="1"/>
                <w:bCs w:val="1"/>
                <w:color w:val="auto"/>
                <w:vertAlign w:val="superscript"/>
              </w:rPr>
              <w:t>(2)</w:t>
            </w:r>
          </w:p>
        </w:tc>
        <w:tc>
          <w:tcPr>
            <w:tcW w:w="2320" w:type="dxa"/>
            <w:vAlign w:val="bottom"/>
          </w:tcPr>
          <w:p>
            <w:pPr>
              <w:jc w:val="right"/>
              <w:ind w:right="9"/>
              <w:spacing w:after="0"/>
              <w:rPr>
                <w:sz w:val="20"/>
                <w:szCs w:val="20"/>
                <w:color w:val="auto"/>
              </w:rPr>
            </w:pPr>
            <w:r>
              <w:rPr>
                <w:rFonts w:ascii="Arial" w:cs="Arial" w:eastAsia="Arial" w:hAnsi="Arial"/>
                <w:sz w:val="14"/>
                <w:szCs w:val="14"/>
                <w:b w:val="1"/>
                <w:bCs w:val="1"/>
                <w:color w:val="auto"/>
              </w:rPr>
              <w:t>EXCLUDING SECURITIES</w:t>
            </w:r>
          </w:p>
        </w:tc>
      </w:tr>
      <w:tr>
        <w:trPr>
          <w:trHeight w:val="180"/>
        </w:trPr>
        <w:tc>
          <w:tcPr>
            <w:tcW w:w="3580" w:type="dxa"/>
            <w:vAlign w:val="bottom"/>
          </w:tcPr>
          <w:p>
            <w:pPr>
              <w:spacing w:after="0"/>
              <w:rPr>
                <w:sz w:val="15"/>
                <w:szCs w:val="15"/>
                <w:color w:val="auto"/>
              </w:rPr>
            </w:pPr>
          </w:p>
        </w:tc>
        <w:tc>
          <w:tcPr>
            <w:tcW w:w="3500" w:type="dxa"/>
            <w:vAlign w:val="bottom"/>
          </w:tcPr>
          <w:p>
            <w:pPr>
              <w:jc w:val="right"/>
              <w:ind w:right="69"/>
              <w:spacing w:after="0" w:line="181" w:lineRule="exact"/>
              <w:rPr>
                <w:sz w:val="20"/>
                <w:szCs w:val="20"/>
                <w:color w:val="auto"/>
              </w:rPr>
            </w:pPr>
            <w:r>
              <w:rPr>
                <w:rFonts w:ascii="Arial" w:cs="Arial" w:eastAsia="Arial" w:hAnsi="Arial"/>
                <w:sz w:val="13"/>
                <w:szCs w:val="13"/>
                <w:b w:val="1"/>
                <w:bCs w:val="1"/>
                <w:color w:val="auto"/>
              </w:rPr>
              <w:t>WARRANTS AND RIGHTS</w:t>
            </w:r>
            <w:r>
              <w:rPr>
                <w:rFonts w:ascii="Arial" w:cs="Arial" w:eastAsia="Arial" w:hAnsi="Arial"/>
                <w:sz w:val="20"/>
                <w:szCs w:val="20"/>
                <w:b w:val="1"/>
                <w:bCs w:val="1"/>
                <w:color w:val="auto"/>
                <w:vertAlign w:val="superscript"/>
              </w:rPr>
              <w:t>(1)</w:t>
            </w:r>
          </w:p>
        </w:tc>
        <w:tc>
          <w:tcPr>
            <w:tcW w:w="18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2320" w:type="dxa"/>
            <w:vAlign w:val="bottom"/>
          </w:tcPr>
          <w:p>
            <w:pPr>
              <w:jc w:val="right"/>
              <w:ind w:right="9"/>
              <w:spacing w:after="0" w:line="181" w:lineRule="exact"/>
              <w:rPr>
                <w:sz w:val="20"/>
                <w:szCs w:val="20"/>
                <w:color w:val="auto"/>
              </w:rPr>
            </w:pPr>
            <w:r>
              <w:rPr>
                <w:rFonts w:ascii="Arial" w:cs="Arial" w:eastAsia="Arial" w:hAnsi="Arial"/>
                <w:sz w:val="13"/>
                <w:szCs w:val="13"/>
                <w:b w:val="1"/>
                <w:bCs w:val="1"/>
                <w:color w:val="auto"/>
              </w:rPr>
              <w:t>REFLECTED IN COLUMN (A)</w:t>
            </w:r>
            <w:r>
              <w:rPr>
                <w:rFonts w:ascii="Arial" w:cs="Arial" w:eastAsia="Arial" w:hAnsi="Arial"/>
                <w:sz w:val="20"/>
                <w:szCs w:val="20"/>
                <w:b w:val="1"/>
                <w:bCs w:val="1"/>
                <w:color w:val="auto"/>
                <w:vertAlign w:val="superscript"/>
              </w:rPr>
              <w:t>(3)</w:t>
            </w:r>
          </w:p>
        </w:tc>
      </w:tr>
      <w:tr>
        <w:trPr>
          <w:trHeight w:val="197"/>
        </w:trPr>
        <w:tc>
          <w:tcPr>
            <w:tcW w:w="3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PLAN CATEGORY</w:t>
            </w:r>
          </w:p>
        </w:tc>
        <w:tc>
          <w:tcPr>
            <w:tcW w:w="3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(a)</w:t>
            </w:r>
          </w:p>
        </w:tc>
        <w:tc>
          <w:tcPr>
            <w:tcW w:w="1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(b)</w:t>
            </w:r>
          </w:p>
        </w:tc>
        <w:tc>
          <w:tcPr>
            <w:tcW w:w="2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(c)</w:t>
            </w:r>
          </w:p>
        </w:tc>
      </w:tr>
      <w:tr>
        <w:trPr>
          <w:trHeight w:val="174"/>
        </w:trPr>
        <w:tc>
          <w:tcPr>
            <w:tcW w:w="3580" w:type="dxa"/>
            <w:vAlign w:val="bottom"/>
          </w:tcPr>
          <w:p>
            <w:pPr>
              <w:ind w:left="80"/>
              <w:spacing w:after="0"/>
              <w:rPr>
                <w:sz w:val="20"/>
                <w:szCs w:val="20"/>
                <w:color w:val="auto"/>
              </w:rPr>
            </w:pPr>
            <w:r>
              <w:rPr>
                <w:rFonts w:ascii="Arial" w:cs="Arial" w:eastAsia="Arial" w:hAnsi="Arial"/>
                <w:sz w:val="14"/>
                <w:szCs w:val="14"/>
                <w:b w:val="1"/>
                <w:bCs w:val="1"/>
                <w:color w:val="auto"/>
              </w:rPr>
              <w:t>Equity compensation plans</w:t>
            </w:r>
          </w:p>
        </w:tc>
        <w:tc>
          <w:tcPr>
            <w:tcW w:w="3500" w:type="dxa"/>
            <w:vAlign w:val="bottom"/>
          </w:tcPr>
          <w:p>
            <w:pPr>
              <w:jc w:val="right"/>
              <w:ind w:right="69"/>
              <w:spacing w:after="0"/>
              <w:rPr>
                <w:sz w:val="20"/>
                <w:szCs w:val="20"/>
                <w:color w:val="auto"/>
              </w:rPr>
            </w:pPr>
            <w:r>
              <w:rPr>
                <w:rFonts w:ascii="Arial" w:cs="Arial" w:eastAsia="Arial" w:hAnsi="Arial"/>
                <w:sz w:val="14"/>
                <w:szCs w:val="14"/>
                <w:color w:val="auto"/>
              </w:rPr>
              <w:t>309,793,067</w:t>
            </w:r>
          </w:p>
        </w:tc>
        <w:tc>
          <w:tcPr>
            <w:tcW w:w="1840" w:type="dxa"/>
            <w:vAlign w:val="bottom"/>
          </w:tcPr>
          <w:p>
            <w:pPr>
              <w:jc w:val="right"/>
              <w:ind w:right="69"/>
              <w:spacing w:after="0"/>
              <w:rPr>
                <w:sz w:val="20"/>
                <w:szCs w:val="20"/>
                <w:color w:val="auto"/>
              </w:rPr>
            </w:pPr>
            <w:r>
              <w:rPr>
                <w:rFonts w:ascii="Arial" w:cs="Arial" w:eastAsia="Arial" w:hAnsi="Arial"/>
                <w:sz w:val="14"/>
                <w:szCs w:val="14"/>
                <w:color w:val="auto"/>
              </w:rPr>
              <w:t>41.38</w:t>
            </w:r>
          </w:p>
        </w:tc>
        <w:tc>
          <w:tcPr>
            <w:tcW w:w="2320" w:type="dxa"/>
            <w:vAlign w:val="bottom"/>
          </w:tcPr>
          <w:p>
            <w:pPr>
              <w:jc w:val="right"/>
              <w:ind w:right="9"/>
              <w:spacing w:after="0"/>
              <w:rPr>
                <w:sz w:val="20"/>
                <w:szCs w:val="20"/>
                <w:color w:val="auto"/>
              </w:rPr>
            </w:pPr>
            <w:r>
              <w:rPr>
                <w:rFonts w:ascii="Arial" w:cs="Arial" w:eastAsia="Arial" w:hAnsi="Arial"/>
                <w:sz w:val="14"/>
                <w:szCs w:val="14"/>
                <w:color w:val="auto"/>
              </w:rPr>
              <w:t>385,276,516</w:t>
            </w:r>
          </w:p>
        </w:tc>
      </w:tr>
      <w:tr>
        <w:trPr>
          <w:trHeight w:val="197"/>
        </w:trPr>
        <w:tc>
          <w:tcPr>
            <w:tcW w:w="358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approved by security holders</w:t>
            </w:r>
          </w:p>
        </w:tc>
        <w:tc>
          <w:tcPr>
            <w:tcW w:w="3500" w:type="dxa"/>
            <w:vAlign w:val="bottom"/>
            <w:tcBorders>
              <w:bottom w:val="single" w:sz="8" w:color="DCDDDE"/>
            </w:tcBorders>
          </w:tcPr>
          <w:p>
            <w:pPr>
              <w:spacing w:after="0"/>
              <w:rPr>
                <w:sz w:val="17"/>
                <w:szCs w:val="17"/>
                <w:color w:val="auto"/>
              </w:rPr>
            </w:pPr>
          </w:p>
        </w:tc>
        <w:tc>
          <w:tcPr>
            <w:tcW w:w="1840" w:type="dxa"/>
            <w:vAlign w:val="bottom"/>
            <w:tcBorders>
              <w:bottom w:val="single" w:sz="8" w:color="DCDDDE"/>
            </w:tcBorders>
          </w:tcPr>
          <w:p>
            <w:pPr>
              <w:spacing w:after="0"/>
              <w:rPr>
                <w:sz w:val="17"/>
                <w:szCs w:val="17"/>
                <w:color w:val="auto"/>
              </w:rPr>
            </w:pPr>
          </w:p>
        </w:tc>
        <w:tc>
          <w:tcPr>
            <w:tcW w:w="2320" w:type="dxa"/>
            <w:vAlign w:val="bottom"/>
            <w:tcBorders>
              <w:bottom w:val="single" w:sz="8" w:color="DCDDDE"/>
            </w:tcBorders>
          </w:tcPr>
          <w:p>
            <w:pPr>
              <w:spacing w:after="0"/>
              <w:rPr>
                <w:sz w:val="17"/>
                <w:szCs w:val="17"/>
                <w:color w:val="auto"/>
              </w:rPr>
            </w:pPr>
          </w:p>
        </w:tc>
      </w:tr>
      <w:tr>
        <w:trPr>
          <w:trHeight w:val="174"/>
        </w:trPr>
        <w:tc>
          <w:tcPr>
            <w:tcW w:w="3580" w:type="dxa"/>
            <w:vAlign w:val="bottom"/>
          </w:tcPr>
          <w:p>
            <w:pPr>
              <w:ind w:left="80"/>
              <w:spacing w:after="0"/>
              <w:rPr>
                <w:sz w:val="20"/>
                <w:szCs w:val="20"/>
                <w:color w:val="auto"/>
              </w:rPr>
            </w:pPr>
            <w:r>
              <w:rPr>
                <w:rFonts w:ascii="Arial" w:cs="Arial" w:eastAsia="Arial" w:hAnsi="Arial"/>
                <w:sz w:val="14"/>
                <w:szCs w:val="14"/>
                <w:b w:val="1"/>
                <w:bCs w:val="1"/>
                <w:color w:val="auto"/>
              </w:rPr>
              <w:t>Equity compensation plans not</w:t>
            </w:r>
          </w:p>
        </w:tc>
        <w:tc>
          <w:tcPr>
            <w:tcW w:w="35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40" w:type="dxa"/>
            <w:vAlign w:val="bottom"/>
          </w:tcPr>
          <w:p>
            <w:pPr>
              <w:spacing w:after="0"/>
              <w:rPr>
                <w:sz w:val="15"/>
                <w:szCs w:val="15"/>
                <w:color w:val="auto"/>
              </w:rPr>
            </w:pPr>
          </w:p>
        </w:tc>
        <w:tc>
          <w:tcPr>
            <w:tcW w:w="232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197"/>
        </w:trPr>
        <w:tc>
          <w:tcPr>
            <w:tcW w:w="358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approved by security holders</w:t>
            </w:r>
          </w:p>
        </w:tc>
        <w:tc>
          <w:tcPr>
            <w:tcW w:w="3500" w:type="dxa"/>
            <w:vAlign w:val="bottom"/>
            <w:tcBorders>
              <w:bottom w:val="single" w:sz="8" w:color="DCDDDE"/>
            </w:tcBorders>
          </w:tcPr>
          <w:p>
            <w:pPr>
              <w:spacing w:after="0"/>
              <w:rPr>
                <w:sz w:val="17"/>
                <w:szCs w:val="17"/>
                <w:color w:val="auto"/>
              </w:rPr>
            </w:pPr>
          </w:p>
        </w:tc>
        <w:tc>
          <w:tcPr>
            <w:tcW w:w="1840" w:type="dxa"/>
            <w:vAlign w:val="bottom"/>
            <w:tcBorders>
              <w:bottom w:val="single" w:sz="8" w:color="DCDDDE"/>
            </w:tcBorders>
          </w:tcPr>
          <w:p>
            <w:pPr>
              <w:spacing w:after="0"/>
              <w:rPr>
                <w:sz w:val="17"/>
                <w:szCs w:val="17"/>
                <w:color w:val="auto"/>
              </w:rPr>
            </w:pPr>
          </w:p>
        </w:tc>
        <w:tc>
          <w:tcPr>
            <w:tcW w:w="2320" w:type="dxa"/>
            <w:vAlign w:val="bottom"/>
            <w:tcBorders>
              <w:bottom w:val="single" w:sz="8" w:color="DCDDDE"/>
            </w:tcBorders>
          </w:tcPr>
          <w:p>
            <w:pPr>
              <w:spacing w:after="0"/>
              <w:rPr>
                <w:sz w:val="17"/>
                <w:szCs w:val="17"/>
                <w:color w:val="auto"/>
              </w:rPr>
            </w:pPr>
          </w:p>
        </w:tc>
      </w:tr>
      <w:tr>
        <w:trPr>
          <w:trHeight w:val="210"/>
        </w:trPr>
        <w:tc>
          <w:tcPr>
            <w:tcW w:w="3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35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309,793,067</w:t>
            </w:r>
          </w:p>
        </w:tc>
        <w:tc>
          <w:tcPr>
            <w:tcW w:w="18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385,276,516</w:t>
            </w:r>
          </w:p>
        </w:tc>
      </w:tr>
    </w:tbl>
    <w:p>
      <w:pPr>
        <w:spacing w:after="0" w:line="50" w:lineRule="exact"/>
        <w:rPr>
          <w:sz w:val="20"/>
          <w:szCs w:val="20"/>
          <w:color w:val="auto"/>
        </w:rPr>
      </w:pPr>
    </w:p>
    <w:p>
      <w:pPr>
        <w:ind w:left="320" w:right="80" w:hanging="312"/>
        <w:spacing w:after="0" w:line="234" w:lineRule="auto"/>
        <w:tabs>
          <w:tab w:leader="none" w:pos="320" w:val="left"/>
        </w:tabs>
        <w:numPr>
          <w:ilvl w:val="0"/>
          <w:numId w:val="96"/>
        </w:numPr>
        <w:rPr>
          <w:rFonts w:ascii="Arial" w:cs="Arial" w:eastAsia="Arial" w:hAnsi="Arial"/>
          <w:sz w:val="13"/>
          <w:szCs w:val="13"/>
          <w:color w:val="auto"/>
        </w:rPr>
      </w:pPr>
      <w:r>
        <w:rPr>
          <w:rFonts w:ascii="Arial" w:cs="Arial" w:eastAsia="Arial" w:hAnsi="Arial"/>
          <w:sz w:val="15"/>
          <w:szCs w:val="15"/>
          <w:color w:val="auto"/>
        </w:rPr>
        <w:t>Includes shares of Class A common stock under the following plans: Comcast Corporation 2003 Stock Option Plan, Comcast Corporation 2002 Restricted Stock Plan (under which RSUs and PSUs have been granted), Comcast Corporation 2023 Omnibus Equity Incentive Plan (“2023 Omnibus Plan”), Comcast Corporation 2002 Employee Stock Purchase Plan (“2002 ESPP”), Comcast-NBCUniversal 2011 Employee Stock Purchase Plan (“2011 ESPP”) and Comcast Corporation 2019 Omnibus Sharesave Plan (“Sharesave Plan”). Also includes our 2002 and 2005 Deferred Compensation Plans (under which shares of Class A common stock have been credited to participants’ accounts). After the 2023 Omnibus Plan was approved by shareholders at our 2023 annual meeting, the 2003 Stock Option Plan and 2002 Restricted Stock Plan were frozen and no new awards were granted under such plans.</w:t>
      </w:r>
    </w:p>
    <w:p>
      <w:pPr>
        <w:spacing w:after="0" w:line="30" w:lineRule="exact"/>
        <w:rPr>
          <w:rFonts w:ascii="Arial" w:cs="Arial" w:eastAsia="Arial" w:hAnsi="Arial"/>
          <w:sz w:val="13"/>
          <w:szCs w:val="13"/>
          <w:color w:val="auto"/>
        </w:rPr>
      </w:pPr>
    </w:p>
    <w:p>
      <w:pPr>
        <w:ind w:left="320" w:hanging="312"/>
        <w:spacing w:after="0"/>
        <w:tabs>
          <w:tab w:leader="none" w:pos="320" w:val="left"/>
        </w:tabs>
        <w:numPr>
          <w:ilvl w:val="0"/>
          <w:numId w:val="96"/>
        </w:numPr>
        <w:rPr>
          <w:rFonts w:ascii="Arial" w:cs="Arial" w:eastAsia="Arial" w:hAnsi="Arial"/>
          <w:sz w:val="13"/>
          <w:szCs w:val="13"/>
          <w:color w:val="auto"/>
        </w:rPr>
      </w:pPr>
      <w:r>
        <w:rPr>
          <w:rFonts w:ascii="Arial" w:cs="Arial" w:eastAsia="Arial" w:hAnsi="Arial"/>
          <w:sz w:val="15"/>
          <w:szCs w:val="15"/>
          <w:color w:val="auto"/>
        </w:rPr>
        <w:t>The weighted-average exercise price only reflects stock options under our 2003 Stock Option Plan.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48</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2" w:lineRule="exact"/>
        <w:rPr>
          <w:sz w:val="20"/>
          <w:szCs w:val="20"/>
          <w:color w:val="auto"/>
        </w:rPr>
      </w:pPr>
    </w:p>
    <w:p>
      <w:pPr>
        <w:ind w:left="320" w:right="40" w:hanging="312"/>
        <w:spacing w:after="0" w:line="238" w:lineRule="auto"/>
        <w:tabs>
          <w:tab w:leader="none" w:pos="320" w:val="left"/>
        </w:tabs>
        <w:numPr>
          <w:ilvl w:val="0"/>
          <w:numId w:val="97"/>
        </w:numPr>
        <w:rPr>
          <w:rFonts w:ascii="Arial" w:cs="Arial" w:eastAsia="Arial" w:hAnsi="Arial"/>
          <w:sz w:val="13"/>
          <w:szCs w:val="13"/>
          <w:color w:val="auto"/>
        </w:rPr>
      </w:pPr>
      <w:r>
        <w:rPr>
          <w:rFonts w:ascii="Arial" w:cs="Arial" w:eastAsia="Arial" w:hAnsi="Arial"/>
          <w:sz w:val="15"/>
          <w:szCs w:val="15"/>
          <w:color w:val="auto"/>
        </w:rPr>
        <w:t>The number of shares available for issuance includes the following number of shares of Class A common stock: 271,964,534 shares available for issuance under the 2023 Omnibus Plan; 3,571,562 shares available for issuance under the Sharesave Plan; 1,041,361 shares that were issued in connection with the fourth quarter 2023 purchase period under the 2002 ESPP and 102,169,657 shares available for issuance under the 2002 ESPP; and 322,413 shares that were issued in connection with the fourth quarter 2023 purchase period under the 2011 ESPP and 6,206,989 shares available for issuance under the 2011 ESPP.</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color w:val="auto"/>
        </w:rPr>
        <w:t>CEO Pay Ratio</w:t>
      </w:r>
    </w:p>
    <w:p>
      <w:pPr>
        <w:spacing w:after="0" w:line="229" w:lineRule="exact"/>
        <w:rPr>
          <w:sz w:val="20"/>
          <w:szCs w:val="20"/>
          <w:color w:val="auto"/>
        </w:rPr>
      </w:pPr>
    </w:p>
    <w:p>
      <w:pPr>
        <w:ind w:right="320"/>
        <w:spacing w:after="0" w:line="247" w:lineRule="auto"/>
        <w:rPr>
          <w:sz w:val="20"/>
          <w:szCs w:val="20"/>
          <w:color w:val="auto"/>
        </w:rPr>
      </w:pPr>
      <w:r>
        <w:rPr>
          <w:rFonts w:ascii="Arial" w:cs="Arial" w:eastAsia="Arial" w:hAnsi="Arial"/>
          <w:sz w:val="18"/>
          <w:szCs w:val="18"/>
          <w:color w:val="auto"/>
        </w:rPr>
        <w:t>We are required under SEC rules to provide a pay ratio comparing Mr. Roberts’ 2023 compensation to our median employee’s 2023 compensation (excluding Mr. Roberts). To identify the median employee, we engaged an unaffiliated third-party advisory services firm to conduct a statistical sampling of approximately 197,220 full-time, part-time, seasonal and temporary employees as of December 31, 2023 (which included approximately 65,686 non-U.S. employees) based on comparisons of base wages.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All of our part-time, seasonal and temporary employees as of December 31, 2023, including in our theme park and entertainment production businesses, were required to be taken into account for purposes of identifying our median employee under SEC rules. SEC rules do not permit us to annualize the compensation paid to these workers as if they were full-time employees, which has the effect of reducing the level of our median employee’s total compensation relative to what it would have been had the rules permitted us to annualize compensation across our entire workforce or to use only full-time U.S. employees. As a result, the impact of this rule may be different for us than some companies in our peer groups given the composition of our workforce across our uniquely diversified company, and year-over-year comparisons may not be meaningful. We believe putting into context how our median employee was identified highlights why that employee’s compensation and the resulting pay ratio, and year-over-year changes thereto, should not be compared on an “apples-to-apples” basis.</w:t>
      </w:r>
    </w:p>
    <w:p>
      <w:pPr>
        <w:spacing w:after="0" w:line="180"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We have estimated that our pay ratio for 2023 is 398 to 1, calculated by dividing Mr. Roberts’ 2023 total compensation set forth in the Summary Compensation Table, adjusted as described below, by $89,104, which represents the annual total compensation of our median employee. Our median employee’s annual total compensation was determined using the same methodology we used to determine the annual total compensation of our NEOs, which, along with Mr. Roberts’ compensation, was then adjusted to include the cost to Comcast of specified employee benefits provided on a non-discriminatory basis.</w:t>
      </w:r>
    </w:p>
    <w:p>
      <w:pPr>
        <w:spacing w:after="0" w:line="176"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As permitted under SEC rules, we adjusted our total employee population for purposes of identifying our median employee by excluding approximately 2.8% of our employee population as follows (all amounts are approximate): 2.3% in India; 0.4% in Ireland; and 0.1% in Mexico.</w:t>
      </w:r>
    </w:p>
    <w:p>
      <w:pPr>
        <w:spacing w:after="0" w:line="165" w:lineRule="exact"/>
        <w:rPr>
          <w:sz w:val="20"/>
          <w:szCs w:val="20"/>
          <w:color w:val="auto"/>
        </w:rPr>
      </w:pPr>
    </w:p>
    <w:p>
      <w:pPr>
        <w:spacing w:after="0"/>
        <w:rPr>
          <w:sz w:val="20"/>
          <w:szCs w:val="20"/>
          <w:color w:val="auto"/>
        </w:rPr>
      </w:pPr>
      <w:r>
        <w:rPr>
          <w:rFonts w:ascii="Arial" w:cs="Arial" w:eastAsia="Arial" w:hAnsi="Arial"/>
          <w:sz w:val="25"/>
          <w:szCs w:val="25"/>
          <w:color w:val="auto"/>
        </w:rPr>
        <w:t>Pay Versus Performance</w:t>
      </w:r>
    </w:p>
    <w:p>
      <w:pPr>
        <w:spacing w:after="0" w:line="229"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The table below provides information on the compensation for our CEO and the average compensation for our other NEOs, both as reported in the Summary Compensation Table and with certain adjustments to reflect the compensation “actually paid” to such individuals, as defined under SEC rules, for each of 2023, 2022, 2021 and 2020. The table also provides information on our cumulative TSR, the cumulative TSR of our peer group, Net Income and Adjusted EBITDA.</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YEAR</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AVERAGE</w:t>
            </w:r>
          </w:p>
        </w:tc>
        <w:tc>
          <w:tcPr>
            <w:tcW w:w="1240" w:type="dxa"/>
            <w:vAlign w:val="bottom"/>
          </w:tcPr>
          <w:p>
            <w:pPr>
              <w:spacing w:after="0"/>
              <w:rPr>
                <w:sz w:val="12"/>
                <w:szCs w:val="12"/>
                <w:color w:val="auto"/>
              </w:rPr>
            </w:pPr>
          </w:p>
        </w:tc>
        <w:tc>
          <w:tcPr>
            <w:tcW w:w="2320" w:type="dxa"/>
            <w:vAlign w:val="bottom"/>
            <w:gridSpan w:val="3"/>
          </w:tcPr>
          <w:p>
            <w:pPr>
              <w:ind w:left="140"/>
              <w:spacing w:after="0"/>
              <w:rPr>
                <w:sz w:val="20"/>
                <w:szCs w:val="20"/>
                <w:color w:val="auto"/>
              </w:rPr>
            </w:pPr>
            <w:r>
              <w:rPr>
                <w:rFonts w:ascii="Arial" w:cs="Arial" w:eastAsia="Arial" w:hAnsi="Arial"/>
                <w:sz w:val="13"/>
                <w:szCs w:val="13"/>
                <w:b w:val="1"/>
                <w:bCs w:val="1"/>
                <w:color w:val="auto"/>
              </w:rPr>
              <w:t>VALUE OF INITIAL FIXED $100</w:t>
            </w:r>
          </w:p>
        </w:tc>
        <w:tc>
          <w:tcPr>
            <w:tcW w:w="10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2220" w:type="dxa"/>
            <w:vAlign w:val="bottom"/>
            <w:gridSpan w:val="2"/>
            <w:vMerge w:val="restart"/>
          </w:tcPr>
          <w:p>
            <w:pPr>
              <w:jc w:val="right"/>
              <w:ind w:right="215"/>
              <w:spacing w:after="0"/>
              <w:rPr>
                <w:sz w:val="20"/>
                <w:szCs w:val="20"/>
                <w:color w:val="auto"/>
              </w:rPr>
            </w:pPr>
            <w:r>
              <w:rPr>
                <w:rFonts w:ascii="Arial" w:cs="Arial" w:eastAsia="Arial" w:hAnsi="Arial"/>
                <w:sz w:val="13"/>
                <w:szCs w:val="13"/>
                <w:b w:val="1"/>
                <w:bCs w:val="1"/>
                <w:color w:val="auto"/>
              </w:rPr>
              <w:t>INVESTMENT BASED ON:</w:t>
            </w:r>
          </w:p>
        </w:tc>
        <w:tc>
          <w:tcPr>
            <w:tcW w:w="10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jc w:val="right"/>
              <w:spacing w:after="0" w:line="116" w:lineRule="exact"/>
              <w:rPr>
                <w:sz w:val="20"/>
                <w:szCs w:val="20"/>
                <w:color w:val="auto"/>
              </w:rPr>
            </w:pPr>
            <w:r>
              <w:rPr>
                <w:rFonts w:ascii="Arial" w:cs="Arial" w:eastAsia="Arial" w:hAnsi="Arial"/>
                <w:sz w:val="13"/>
                <w:szCs w:val="13"/>
                <w:b w:val="1"/>
                <w:bCs w:val="1"/>
                <w:color w:val="auto"/>
              </w:rPr>
              <w:t>SUMMARY</w:t>
            </w:r>
          </w:p>
        </w:tc>
        <w:tc>
          <w:tcPr>
            <w:tcW w:w="1240" w:type="dxa"/>
            <w:vAlign w:val="bottom"/>
          </w:tcPr>
          <w:p>
            <w:pPr>
              <w:jc w:val="right"/>
              <w:ind w:right="33"/>
              <w:spacing w:after="0" w:line="116" w:lineRule="exact"/>
              <w:rPr>
                <w:sz w:val="20"/>
                <w:szCs w:val="20"/>
                <w:color w:val="auto"/>
              </w:rPr>
            </w:pPr>
            <w:r>
              <w:rPr>
                <w:rFonts w:ascii="Arial" w:cs="Arial" w:eastAsia="Arial" w:hAnsi="Arial"/>
                <w:sz w:val="13"/>
                <w:szCs w:val="13"/>
                <w:b w:val="1"/>
                <w:bCs w:val="1"/>
                <w:color w:val="auto"/>
              </w:rPr>
              <w:t>AVERAGE</w:t>
            </w:r>
          </w:p>
        </w:tc>
        <w:tc>
          <w:tcPr>
            <w:tcW w:w="2220" w:type="dxa"/>
            <w:vAlign w:val="bottom"/>
            <w:tcBorders>
              <w:bottom w:val="single" w:sz="8" w:color="auto"/>
            </w:tcBorders>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SUMMARY</w:t>
            </w:r>
          </w:p>
        </w:tc>
        <w:tc>
          <w:tcPr>
            <w:tcW w:w="12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COMPENSATION</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1240" w:type="dxa"/>
            <w:vAlign w:val="bottom"/>
          </w:tcPr>
          <w:p>
            <w:pPr>
              <w:jc w:val="right"/>
              <w:ind w:right="33"/>
              <w:spacing w:after="0"/>
              <w:rPr>
                <w:sz w:val="20"/>
                <w:szCs w:val="20"/>
                <w:color w:val="auto"/>
              </w:rPr>
            </w:pPr>
            <w:r>
              <w:rPr>
                <w:rFonts w:ascii="Arial" w:cs="Arial" w:eastAsia="Arial" w:hAnsi="Arial"/>
                <w:sz w:val="13"/>
                <w:szCs w:val="13"/>
                <w:b w:val="1"/>
                <w:bCs w:val="1"/>
                <w:color w:val="auto"/>
              </w:rPr>
              <w:t>COMPENSATION</w:t>
            </w:r>
          </w:p>
        </w:tc>
        <w:tc>
          <w:tcPr>
            <w:tcW w:w="1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PEER</w:t>
            </w:r>
          </w:p>
        </w:tc>
        <w:tc>
          <w:tcPr>
            <w:tcW w:w="10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49"/>
        </w:trPr>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1200" w:type="dxa"/>
            <w:vAlign w:val="bottom"/>
            <w:vMerge w:val="continue"/>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TABLE TOTAL</w:t>
            </w:r>
          </w:p>
        </w:tc>
        <w:tc>
          <w:tcPr>
            <w:tcW w:w="1240" w:type="dxa"/>
            <w:vAlign w:val="bottom"/>
          </w:tcPr>
          <w:p>
            <w:pPr>
              <w:jc w:val="right"/>
              <w:ind w:right="33"/>
              <w:spacing w:after="0"/>
              <w:rPr>
                <w:sz w:val="20"/>
                <w:szCs w:val="20"/>
                <w:color w:val="auto"/>
              </w:rPr>
            </w:pPr>
            <w:r>
              <w:rPr>
                <w:rFonts w:ascii="Arial" w:cs="Arial" w:eastAsia="Arial" w:hAnsi="Arial"/>
                <w:sz w:val="13"/>
                <w:szCs w:val="13"/>
                <w:b w:val="1"/>
                <w:bCs w:val="1"/>
                <w:color w:val="auto"/>
              </w:rPr>
              <w:t>ACTUALLY PAID</w:t>
            </w:r>
          </w:p>
        </w:tc>
        <w:tc>
          <w:tcPr>
            <w:tcW w:w="1120" w:type="dxa"/>
            <w:vAlign w:val="bottom"/>
            <w:vMerge w:val="continue"/>
          </w:tcPr>
          <w:p>
            <w:pPr>
              <w:spacing w:after="0"/>
              <w:rPr>
                <w:sz w:val="12"/>
                <w:szCs w:val="1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GROUP TOTAL</w:t>
            </w: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NET INCOME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TABLE TOTAL</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ACTUALLY PAID</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FOR NON-PEO</w:t>
            </w:r>
          </w:p>
        </w:tc>
        <w:tc>
          <w:tcPr>
            <w:tcW w:w="1240" w:type="dxa"/>
            <w:vAlign w:val="bottom"/>
          </w:tcPr>
          <w:p>
            <w:pPr>
              <w:jc w:val="right"/>
              <w:ind w:right="33"/>
              <w:spacing w:after="0"/>
              <w:rPr>
                <w:sz w:val="20"/>
                <w:szCs w:val="20"/>
                <w:color w:val="auto"/>
              </w:rPr>
            </w:pPr>
            <w:r>
              <w:rPr>
                <w:rFonts w:ascii="Arial" w:cs="Arial" w:eastAsia="Arial" w:hAnsi="Arial"/>
                <w:sz w:val="13"/>
                <w:szCs w:val="13"/>
                <w:b w:val="1"/>
                <w:bCs w:val="1"/>
                <w:color w:val="auto"/>
              </w:rPr>
              <w:t>TO NON-PEO</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SHAREHOLDER</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SHAREHOLDER</w:t>
            </w:r>
          </w:p>
        </w:tc>
        <w:tc>
          <w:tcPr>
            <w:tcW w:w="1020" w:type="dxa"/>
            <w:vAlign w:val="bottom"/>
            <w:vMerge w:val="continue"/>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EBITDA*</w:t>
            </w:r>
          </w:p>
        </w:tc>
        <w:tc>
          <w:tcPr>
            <w:tcW w:w="0" w:type="dxa"/>
            <w:vAlign w:val="bottom"/>
          </w:tcPr>
          <w:p>
            <w:pPr>
              <w:spacing w:after="0"/>
              <w:rPr>
                <w:sz w:val="1"/>
                <w:szCs w:val="1"/>
                <w:color w:val="auto"/>
              </w:rPr>
            </w:pPr>
          </w:p>
        </w:tc>
      </w:tr>
      <w:tr>
        <w:trPr>
          <w:trHeight w:val="177"/>
        </w:trPr>
        <w:tc>
          <w:tcPr>
            <w:tcW w:w="1140" w:type="dxa"/>
            <w:vAlign w:val="bottom"/>
          </w:tcPr>
          <w:p>
            <w:pPr>
              <w:jc w:val="right"/>
              <w:spacing w:after="0" w:line="177" w:lineRule="exact"/>
              <w:rPr>
                <w:sz w:val="20"/>
                <w:szCs w:val="20"/>
                <w:color w:val="auto"/>
              </w:rPr>
            </w:pPr>
            <w:r>
              <w:rPr>
                <w:rFonts w:ascii="Arial" w:cs="Arial" w:eastAsia="Arial" w:hAnsi="Arial"/>
                <w:sz w:val="12"/>
                <w:szCs w:val="12"/>
                <w:b w:val="1"/>
                <w:bCs w:val="1"/>
                <w:color w:val="auto"/>
              </w:rPr>
              <w:t>FOR PEO</w:t>
            </w:r>
            <w:r>
              <w:rPr>
                <w:rFonts w:ascii="Arial" w:cs="Arial" w:eastAsia="Arial" w:hAnsi="Arial"/>
                <w:sz w:val="20"/>
                <w:szCs w:val="20"/>
                <w:b w:val="1"/>
                <w:bCs w:val="1"/>
                <w:color w:val="auto"/>
                <w:vertAlign w:val="superscript"/>
              </w:rPr>
              <w:t>(1)</w:t>
            </w:r>
          </w:p>
        </w:tc>
        <w:tc>
          <w:tcPr>
            <w:tcW w:w="1200" w:type="dxa"/>
            <w:vAlign w:val="bottom"/>
          </w:tcPr>
          <w:p>
            <w:pPr>
              <w:jc w:val="right"/>
              <w:spacing w:after="0" w:line="177" w:lineRule="exact"/>
              <w:rPr>
                <w:sz w:val="20"/>
                <w:szCs w:val="20"/>
                <w:color w:val="auto"/>
              </w:rPr>
            </w:pPr>
            <w:r>
              <w:rPr>
                <w:rFonts w:ascii="Arial" w:cs="Arial" w:eastAsia="Arial" w:hAnsi="Arial"/>
                <w:sz w:val="12"/>
                <w:szCs w:val="12"/>
                <w:b w:val="1"/>
                <w:bCs w:val="1"/>
                <w:color w:val="auto"/>
              </w:rPr>
              <w:t>TO PEO</w:t>
            </w:r>
            <w:r>
              <w:rPr>
                <w:rFonts w:ascii="Arial" w:cs="Arial" w:eastAsia="Arial" w:hAnsi="Arial"/>
                <w:sz w:val="20"/>
                <w:szCs w:val="20"/>
                <w:b w:val="1"/>
                <w:bCs w:val="1"/>
                <w:color w:val="auto"/>
                <w:vertAlign w:val="superscript"/>
              </w:rPr>
              <w:t>(2)</w:t>
            </w:r>
          </w:p>
        </w:tc>
        <w:tc>
          <w:tcPr>
            <w:tcW w:w="1220" w:type="dxa"/>
            <w:vAlign w:val="bottom"/>
          </w:tcPr>
          <w:p>
            <w:pPr>
              <w:jc w:val="right"/>
              <w:spacing w:after="0" w:line="177" w:lineRule="exact"/>
              <w:rPr>
                <w:sz w:val="20"/>
                <w:szCs w:val="20"/>
                <w:color w:val="auto"/>
              </w:rPr>
            </w:pPr>
            <w:r>
              <w:rPr>
                <w:rFonts w:ascii="Arial" w:cs="Arial" w:eastAsia="Arial" w:hAnsi="Arial"/>
                <w:sz w:val="12"/>
                <w:szCs w:val="12"/>
                <w:b w:val="1"/>
                <w:bCs w:val="1"/>
                <w:color w:val="auto"/>
              </w:rPr>
              <w:t>NEOs</w:t>
            </w:r>
            <w:r>
              <w:rPr>
                <w:rFonts w:ascii="Arial" w:cs="Arial" w:eastAsia="Arial" w:hAnsi="Arial"/>
                <w:sz w:val="20"/>
                <w:szCs w:val="20"/>
                <w:b w:val="1"/>
                <w:bCs w:val="1"/>
                <w:color w:val="auto"/>
                <w:vertAlign w:val="superscript"/>
              </w:rPr>
              <w:t>(1)</w:t>
            </w:r>
          </w:p>
        </w:tc>
        <w:tc>
          <w:tcPr>
            <w:tcW w:w="1240" w:type="dxa"/>
            <w:vAlign w:val="bottom"/>
          </w:tcPr>
          <w:p>
            <w:pPr>
              <w:jc w:val="right"/>
              <w:ind w:right="33"/>
              <w:spacing w:after="0" w:line="177" w:lineRule="exact"/>
              <w:rPr>
                <w:sz w:val="20"/>
                <w:szCs w:val="20"/>
                <w:color w:val="auto"/>
              </w:rPr>
            </w:pPr>
            <w:r>
              <w:rPr>
                <w:rFonts w:ascii="Arial" w:cs="Arial" w:eastAsia="Arial" w:hAnsi="Arial"/>
                <w:sz w:val="12"/>
                <w:szCs w:val="12"/>
                <w:b w:val="1"/>
                <w:bCs w:val="1"/>
                <w:color w:val="auto"/>
              </w:rPr>
              <w:t>NEOs</w:t>
            </w:r>
            <w:r>
              <w:rPr>
                <w:rFonts w:ascii="Arial" w:cs="Arial" w:eastAsia="Arial" w:hAnsi="Arial"/>
                <w:sz w:val="20"/>
                <w:szCs w:val="20"/>
                <w:b w:val="1"/>
                <w:bCs w:val="1"/>
                <w:color w:val="auto"/>
                <w:vertAlign w:val="superscript"/>
              </w:rPr>
              <w:t>(2)</w:t>
            </w:r>
          </w:p>
        </w:tc>
        <w:tc>
          <w:tcPr>
            <w:tcW w:w="1120" w:type="dxa"/>
            <w:vAlign w:val="bottom"/>
          </w:tcPr>
          <w:p>
            <w:pPr>
              <w:jc w:val="right"/>
              <w:spacing w:after="0" w:line="177" w:lineRule="exact"/>
              <w:rPr>
                <w:sz w:val="20"/>
                <w:szCs w:val="20"/>
                <w:color w:val="auto"/>
              </w:rPr>
            </w:pPr>
            <w:r>
              <w:rPr>
                <w:rFonts w:ascii="Arial" w:cs="Arial" w:eastAsia="Arial" w:hAnsi="Arial"/>
                <w:sz w:val="12"/>
                <w:szCs w:val="12"/>
                <w:b w:val="1"/>
                <w:bCs w:val="1"/>
                <w:color w:val="auto"/>
              </w:rPr>
              <w:t>RETURN</w:t>
            </w:r>
            <w:r>
              <w:rPr>
                <w:rFonts w:ascii="Arial" w:cs="Arial" w:eastAsia="Arial" w:hAnsi="Arial"/>
                <w:sz w:val="20"/>
                <w:szCs w:val="20"/>
                <w:b w:val="1"/>
                <w:bCs w:val="1"/>
                <w:color w:val="auto"/>
                <w:vertAlign w:val="superscript"/>
              </w:rPr>
              <w:t>(3)(5)</w:t>
            </w:r>
          </w:p>
        </w:tc>
        <w:tc>
          <w:tcPr>
            <w:tcW w:w="1200" w:type="dxa"/>
            <w:vAlign w:val="bottom"/>
            <w:gridSpan w:val="2"/>
          </w:tcPr>
          <w:p>
            <w:pPr>
              <w:jc w:val="right"/>
              <w:ind w:right="100"/>
              <w:spacing w:after="0" w:line="177" w:lineRule="exact"/>
              <w:rPr>
                <w:sz w:val="20"/>
                <w:szCs w:val="20"/>
                <w:color w:val="auto"/>
              </w:rPr>
            </w:pPr>
            <w:r>
              <w:rPr>
                <w:rFonts w:ascii="Arial" w:cs="Arial" w:eastAsia="Arial" w:hAnsi="Arial"/>
                <w:sz w:val="12"/>
                <w:szCs w:val="12"/>
                <w:b w:val="1"/>
                <w:bCs w:val="1"/>
                <w:color w:val="auto"/>
              </w:rPr>
              <w:t>RETURN</w:t>
            </w:r>
            <w:r>
              <w:rPr>
                <w:rFonts w:ascii="Arial" w:cs="Arial" w:eastAsia="Arial" w:hAnsi="Arial"/>
                <w:sz w:val="20"/>
                <w:szCs w:val="20"/>
                <w:b w:val="1"/>
                <w:bCs w:val="1"/>
                <w:color w:val="auto"/>
                <w:vertAlign w:val="superscript"/>
              </w:rPr>
              <w:t>(3)(5)</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 IN</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 IN</w:t>
            </w:r>
          </w:p>
        </w:tc>
        <w:tc>
          <w:tcPr>
            <w:tcW w:w="0" w:type="dxa"/>
            <w:vAlign w:val="bottom"/>
          </w:tcPr>
          <w:p>
            <w:pPr>
              <w:spacing w:after="0"/>
              <w:rPr>
                <w:sz w:val="1"/>
                <w:szCs w:val="1"/>
                <w:color w:val="auto"/>
              </w:rPr>
            </w:pPr>
          </w:p>
        </w:tc>
      </w:tr>
      <w:tr>
        <w:trPr>
          <w:trHeight w:val="161"/>
        </w:trPr>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220" w:type="dxa"/>
            <w:vAlign w:val="bottom"/>
            <w:gridSpan w:val="3"/>
          </w:tcPr>
          <w:p>
            <w:pPr>
              <w:jc w:val="right"/>
              <w:spacing w:after="0" w:line="161" w:lineRule="exact"/>
              <w:rPr>
                <w:sz w:val="20"/>
                <w:szCs w:val="20"/>
                <w:color w:val="auto"/>
              </w:rPr>
            </w:pPr>
            <w:r>
              <w:rPr>
                <w:rFonts w:ascii="Arial" w:cs="Arial" w:eastAsia="Arial" w:hAnsi="Arial"/>
                <w:sz w:val="11"/>
                <w:szCs w:val="11"/>
                <w:b w:val="1"/>
                <w:bCs w:val="1"/>
                <w:color w:val="auto"/>
              </w:rPr>
              <w:t>($)  BILLIONS)</w:t>
            </w:r>
            <w:r>
              <w:rPr>
                <w:rFonts w:ascii="Arial" w:cs="Arial" w:eastAsia="Arial" w:hAnsi="Arial"/>
                <w:sz w:val="18"/>
                <w:szCs w:val="18"/>
                <w:b w:val="1"/>
                <w:bCs w:val="1"/>
                <w:color w:val="auto"/>
                <w:vertAlign w:val="superscript"/>
              </w:rPr>
              <w:t>(4)(5)</w:t>
            </w:r>
          </w:p>
        </w:tc>
        <w:tc>
          <w:tcPr>
            <w:tcW w:w="1000" w:type="dxa"/>
            <w:vAlign w:val="bottom"/>
          </w:tcPr>
          <w:p>
            <w:pPr>
              <w:jc w:val="right"/>
              <w:spacing w:after="0" w:line="161" w:lineRule="exact"/>
              <w:rPr>
                <w:sz w:val="20"/>
                <w:szCs w:val="20"/>
                <w:color w:val="auto"/>
              </w:rPr>
            </w:pPr>
            <w:r>
              <w:rPr>
                <w:rFonts w:ascii="Arial" w:cs="Arial" w:eastAsia="Arial" w:hAnsi="Arial"/>
                <w:sz w:val="11"/>
                <w:szCs w:val="11"/>
                <w:b w:val="1"/>
                <w:bCs w:val="1"/>
                <w:color w:val="auto"/>
              </w:rPr>
              <w:t>BILLIONS)</w:t>
            </w:r>
            <w:r>
              <w:rPr>
                <w:rFonts w:ascii="Arial" w:cs="Arial" w:eastAsia="Arial" w:hAnsi="Arial"/>
                <w:sz w:val="18"/>
                <w:szCs w:val="18"/>
                <w:b w:val="1"/>
                <w:bCs w:val="1"/>
                <w:color w:val="auto"/>
                <w:vertAlign w:val="superscript"/>
              </w:rPr>
              <w:t>(5)(6)</w:t>
            </w:r>
          </w:p>
        </w:tc>
        <w:tc>
          <w:tcPr>
            <w:tcW w:w="0" w:type="dxa"/>
            <w:vAlign w:val="bottom"/>
          </w:tcPr>
          <w:p>
            <w:pPr>
              <w:spacing w:after="0"/>
              <w:rPr>
                <w:sz w:val="1"/>
                <w:szCs w:val="1"/>
                <w:color w:val="auto"/>
              </w:rPr>
            </w:pPr>
          </w:p>
        </w:tc>
      </w:tr>
      <w:tr>
        <w:trPr>
          <w:trHeight w:val="186"/>
        </w:trPr>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(b)</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auto"/>
              </w:rPr>
              <w:t>(c)</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(d)</w:t>
            </w:r>
          </w:p>
        </w:tc>
        <w:tc>
          <w:tcPr>
            <w:tcW w:w="1240" w:type="dxa"/>
            <w:vAlign w:val="bottom"/>
          </w:tcPr>
          <w:p>
            <w:pPr>
              <w:jc w:val="right"/>
              <w:ind w:right="33"/>
              <w:spacing w:after="0"/>
              <w:rPr>
                <w:sz w:val="20"/>
                <w:szCs w:val="20"/>
                <w:color w:val="auto"/>
              </w:rPr>
            </w:pPr>
            <w:r>
              <w:rPr>
                <w:rFonts w:ascii="Arial" w:cs="Arial" w:eastAsia="Arial" w:hAnsi="Arial"/>
                <w:sz w:val="13"/>
                <w:szCs w:val="13"/>
                <w:b w:val="1"/>
                <w:bCs w:val="1"/>
                <w:color w:val="auto"/>
              </w:rPr>
              <w:t>(e)</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(f)</w:t>
            </w:r>
          </w:p>
        </w:tc>
        <w:tc>
          <w:tcPr>
            <w:tcW w:w="12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(g)</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(h)</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2540</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sectPr>
          <w:pgSz w:w="11900" w:h="16838" w:orient="portrait"/>
          <w:cols w:equalWidth="0" w:num="2">
            <w:col w:w="1300" w:space="720"/>
            <w:col w:w="92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1400" w:type="dxa"/>
            <w:vAlign w:val="bottom"/>
            <w:tcBorders>
              <w:bottom w:val="single" w:sz="8" w:color="DCDDDE"/>
            </w:tcBorders>
          </w:tcPr>
          <w:p>
            <w:pPr>
              <w:jc w:val="right"/>
              <w:ind w:right="928"/>
              <w:spacing w:after="0"/>
              <w:rPr>
                <w:sz w:val="20"/>
                <w:szCs w:val="20"/>
                <w:color w:val="auto"/>
              </w:rPr>
            </w:pPr>
            <w:r>
              <w:rPr>
                <w:rFonts w:ascii="Arial" w:cs="Arial" w:eastAsia="Arial" w:hAnsi="Arial"/>
                <w:sz w:val="14"/>
                <w:szCs w:val="14"/>
                <w:b w:val="1"/>
                <w:bCs w:val="1"/>
                <w:color w:val="auto"/>
              </w:rPr>
              <w:t>2023</w:t>
            </w:r>
          </w:p>
        </w:tc>
        <w:tc>
          <w:tcPr>
            <w:tcW w:w="1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35,473,666</w:t>
            </w:r>
          </w:p>
        </w:tc>
        <w:tc>
          <w:tcPr>
            <w:tcW w:w="1220" w:type="dxa"/>
            <w:vAlign w:val="bottom"/>
            <w:tcBorders>
              <w:bottom w:val="single" w:sz="8" w:color="DCDDDE"/>
            </w:tcBorders>
          </w:tcPr>
          <w:p>
            <w:pPr>
              <w:jc w:val="right"/>
              <w:ind w:right="368"/>
              <w:spacing w:after="0"/>
              <w:rPr>
                <w:sz w:val="20"/>
                <w:szCs w:val="20"/>
                <w:color w:val="auto"/>
              </w:rPr>
            </w:pPr>
            <w:r>
              <w:rPr>
                <w:rFonts w:ascii="Arial" w:cs="Arial" w:eastAsia="Arial" w:hAnsi="Arial"/>
                <w:sz w:val="14"/>
                <w:szCs w:val="14"/>
                <w:color w:val="auto"/>
              </w:rPr>
              <w:t>71,202,103</w:t>
            </w:r>
          </w:p>
        </w:tc>
        <w:tc>
          <w:tcPr>
            <w:tcW w:w="1360" w:type="dxa"/>
            <w:vAlign w:val="bottom"/>
            <w:tcBorders>
              <w:bottom w:val="single" w:sz="8" w:color="DCDDDE"/>
            </w:tcBorders>
          </w:tcPr>
          <w:p>
            <w:pPr>
              <w:jc w:val="right"/>
              <w:ind w:right="168"/>
              <w:spacing w:after="0"/>
              <w:rPr>
                <w:sz w:val="20"/>
                <w:szCs w:val="20"/>
                <w:color w:val="auto"/>
              </w:rPr>
            </w:pPr>
            <w:r>
              <w:rPr>
                <w:rFonts w:ascii="Arial" w:cs="Arial" w:eastAsia="Arial" w:hAnsi="Arial"/>
                <w:sz w:val="14"/>
                <w:szCs w:val="14"/>
                <w:color w:val="auto"/>
              </w:rPr>
              <w:t>14,498,736</w:t>
            </w:r>
          </w:p>
        </w:tc>
        <w:tc>
          <w:tcPr>
            <w:tcW w:w="1320" w:type="dxa"/>
            <w:vAlign w:val="bottom"/>
            <w:tcBorders>
              <w:bottom w:val="single" w:sz="8" w:color="DCDDDE"/>
            </w:tcBorders>
          </w:tcPr>
          <w:p>
            <w:pPr>
              <w:jc w:val="right"/>
              <w:ind w:right="288"/>
              <w:spacing w:after="0"/>
              <w:rPr>
                <w:sz w:val="20"/>
                <w:szCs w:val="20"/>
                <w:color w:val="auto"/>
              </w:rPr>
            </w:pPr>
            <w:r>
              <w:rPr>
                <w:rFonts w:ascii="Arial" w:cs="Arial" w:eastAsia="Arial" w:hAnsi="Arial"/>
                <w:sz w:val="14"/>
                <w:szCs w:val="14"/>
                <w:color w:val="auto"/>
              </w:rPr>
              <w:t>27,073,830</w:t>
            </w:r>
          </w:p>
        </w:tc>
        <w:tc>
          <w:tcPr>
            <w:tcW w:w="1160" w:type="dxa"/>
            <w:vAlign w:val="bottom"/>
            <w:tcBorders>
              <w:bottom w:val="single" w:sz="8" w:color="DCDDDE"/>
            </w:tcBorders>
          </w:tcPr>
          <w:p>
            <w:pPr>
              <w:jc w:val="right"/>
              <w:ind w:right="288"/>
              <w:spacing w:after="0"/>
              <w:rPr>
                <w:sz w:val="20"/>
                <w:szCs w:val="20"/>
                <w:color w:val="auto"/>
              </w:rPr>
            </w:pPr>
            <w:r>
              <w:rPr>
                <w:rFonts w:ascii="Arial" w:cs="Arial" w:eastAsia="Arial" w:hAnsi="Arial"/>
                <w:sz w:val="14"/>
                <w:szCs w:val="14"/>
                <w:color w:val="auto"/>
              </w:rPr>
              <w:t>107.23</w:t>
            </w:r>
          </w:p>
        </w:tc>
        <w:tc>
          <w:tcPr>
            <w:tcW w:w="1200" w:type="dxa"/>
            <w:vAlign w:val="bottom"/>
            <w:tcBorders>
              <w:bottom w:val="single" w:sz="8" w:color="DCDDDE"/>
            </w:tcBorders>
          </w:tcPr>
          <w:p>
            <w:pPr>
              <w:jc w:val="right"/>
              <w:ind w:right="328"/>
              <w:spacing w:after="0"/>
              <w:rPr>
                <w:sz w:val="20"/>
                <w:szCs w:val="20"/>
                <w:color w:val="auto"/>
              </w:rPr>
            </w:pPr>
            <w:r>
              <w:rPr>
                <w:rFonts w:ascii="Arial" w:cs="Arial" w:eastAsia="Arial" w:hAnsi="Arial"/>
                <w:sz w:val="14"/>
                <w:szCs w:val="14"/>
                <w:color w:val="auto"/>
              </w:rPr>
              <w:t>86.75</w:t>
            </w:r>
          </w:p>
        </w:tc>
        <w:tc>
          <w:tcPr>
            <w:tcW w:w="1060" w:type="dxa"/>
            <w:vAlign w:val="bottom"/>
            <w:tcBorders>
              <w:bottom w:val="single" w:sz="8" w:color="DCDDDE"/>
            </w:tcBorders>
          </w:tcPr>
          <w:p>
            <w:pPr>
              <w:jc w:val="right"/>
              <w:ind w:right="328"/>
              <w:spacing w:after="0"/>
              <w:rPr>
                <w:sz w:val="20"/>
                <w:szCs w:val="20"/>
                <w:color w:val="auto"/>
              </w:rPr>
            </w:pPr>
            <w:r>
              <w:rPr>
                <w:rFonts w:ascii="Arial" w:cs="Arial" w:eastAsia="Arial" w:hAnsi="Arial"/>
                <w:sz w:val="14"/>
                <w:szCs w:val="14"/>
                <w:color w:val="auto"/>
              </w:rPr>
              <w:t>15.1</w:t>
            </w:r>
          </w:p>
        </w:tc>
        <w:tc>
          <w:tcPr>
            <w:tcW w:w="74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37.6</w:t>
            </w:r>
          </w:p>
        </w:tc>
      </w:tr>
      <w:tr>
        <w:trPr>
          <w:trHeight w:val="209"/>
        </w:trPr>
        <w:tc>
          <w:tcPr>
            <w:tcW w:w="1400" w:type="dxa"/>
            <w:vAlign w:val="bottom"/>
            <w:tcBorders>
              <w:bottom w:val="single" w:sz="8" w:color="DCDDDE"/>
            </w:tcBorders>
          </w:tcPr>
          <w:p>
            <w:pPr>
              <w:jc w:val="right"/>
              <w:ind w:right="928"/>
              <w:spacing w:after="0"/>
              <w:rPr>
                <w:sz w:val="20"/>
                <w:szCs w:val="20"/>
                <w:color w:val="auto"/>
              </w:rPr>
            </w:pPr>
            <w:r>
              <w:rPr>
                <w:rFonts w:ascii="Arial" w:cs="Arial" w:eastAsia="Arial" w:hAnsi="Arial"/>
                <w:sz w:val="14"/>
                <w:szCs w:val="14"/>
                <w:b w:val="1"/>
                <w:bCs w:val="1"/>
                <w:color w:val="auto"/>
              </w:rPr>
              <w:t>2022</w:t>
            </w:r>
          </w:p>
        </w:tc>
        <w:tc>
          <w:tcPr>
            <w:tcW w:w="1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32,069,850</w:t>
            </w:r>
          </w:p>
        </w:tc>
        <w:tc>
          <w:tcPr>
            <w:tcW w:w="1220" w:type="dxa"/>
            <w:vAlign w:val="bottom"/>
            <w:tcBorders>
              <w:bottom w:val="single" w:sz="8" w:color="DCDDDE"/>
            </w:tcBorders>
          </w:tcPr>
          <w:p>
            <w:pPr>
              <w:jc w:val="right"/>
              <w:ind w:right="328"/>
              <w:spacing w:after="0"/>
              <w:rPr>
                <w:sz w:val="20"/>
                <w:szCs w:val="20"/>
                <w:color w:val="auto"/>
              </w:rPr>
            </w:pPr>
            <w:r>
              <w:rPr>
                <w:rFonts w:ascii="Arial" w:cs="Arial" w:eastAsia="Arial" w:hAnsi="Arial"/>
                <w:sz w:val="14"/>
                <w:szCs w:val="14"/>
                <w:color w:val="auto"/>
              </w:rPr>
              <w:t>(4,091,854)</w:t>
            </w:r>
          </w:p>
        </w:tc>
        <w:tc>
          <w:tcPr>
            <w:tcW w:w="1360" w:type="dxa"/>
            <w:vAlign w:val="bottom"/>
            <w:tcBorders>
              <w:bottom w:val="single" w:sz="8" w:color="DCDDDE"/>
            </w:tcBorders>
          </w:tcPr>
          <w:p>
            <w:pPr>
              <w:jc w:val="right"/>
              <w:ind w:right="168"/>
              <w:spacing w:after="0"/>
              <w:rPr>
                <w:sz w:val="20"/>
                <w:szCs w:val="20"/>
                <w:color w:val="auto"/>
              </w:rPr>
            </w:pPr>
            <w:r>
              <w:rPr>
                <w:rFonts w:ascii="Arial" w:cs="Arial" w:eastAsia="Arial" w:hAnsi="Arial"/>
                <w:sz w:val="14"/>
                <w:szCs w:val="14"/>
                <w:color w:val="auto"/>
              </w:rPr>
              <w:t>24,672,250</w:t>
            </w:r>
          </w:p>
        </w:tc>
        <w:tc>
          <w:tcPr>
            <w:tcW w:w="1320" w:type="dxa"/>
            <w:vAlign w:val="bottom"/>
            <w:tcBorders>
              <w:bottom w:val="single" w:sz="8" w:color="DCDDDE"/>
            </w:tcBorders>
          </w:tcPr>
          <w:p>
            <w:pPr>
              <w:jc w:val="right"/>
              <w:ind w:right="288"/>
              <w:spacing w:after="0"/>
              <w:rPr>
                <w:sz w:val="20"/>
                <w:szCs w:val="20"/>
                <w:color w:val="auto"/>
              </w:rPr>
            </w:pPr>
            <w:r>
              <w:rPr>
                <w:rFonts w:ascii="Arial" w:cs="Arial" w:eastAsia="Arial" w:hAnsi="Arial"/>
                <w:sz w:val="14"/>
                <w:szCs w:val="14"/>
                <w:color w:val="auto"/>
              </w:rPr>
              <w:t>10,501,980</w:t>
            </w:r>
          </w:p>
        </w:tc>
        <w:tc>
          <w:tcPr>
            <w:tcW w:w="1160" w:type="dxa"/>
            <w:vAlign w:val="bottom"/>
            <w:tcBorders>
              <w:bottom w:val="single" w:sz="8" w:color="DCDDDE"/>
            </w:tcBorders>
          </w:tcPr>
          <w:p>
            <w:pPr>
              <w:jc w:val="right"/>
              <w:ind w:right="288"/>
              <w:spacing w:after="0"/>
              <w:rPr>
                <w:sz w:val="20"/>
                <w:szCs w:val="20"/>
                <w:color w:val="auto"/>
              </w:rPr>
            </w:pPr>
            <w:r>
              <w:rPr>
                <w:rFonts w:ascii="Arial" w:cs="Arial" w:eastAsia="Arial" w:hAnsi="Arial"/>
                <w:sz w:val="14"/>
                <w:szCs w:val="14"/>
                <w:color w:val="auto"/>
              </w:rPr>
              <w:t>83.09</w:t>
            </w:r>
          </w:p>
        </w:tc>
        <w:tc>
          <w:tcPr>
            <w:tcW w:w="1200" w:type="dxa"/>
            <w:vAlign w:val="bottom"/>
            <w:tcBorders>
              <w:bottom w:val="single" w:sz="8" w:color="DCDDDE"/>
            </w:tcBorders>
          </w:tcPr>
          <w:p>
            <w:pPr>
              <w:jc w:val="right"/>
              <w:ind w:right="328"/>
              <w:spacing w:after="0"/>
              <w:rPr>
                <w:sz w:val="20"/>
                <w:szCs w:val="20"/>
                <w:color w:val="auto"/>
              </w:rPr>
            </w:pPr>
            <w:r>
              <w:rPr>
                <w:rFonts w:ascii="Arial" w:cs="Arial" w:eastAsia="Arial" w:hAnsi="Arial"/>
                <w:sz w:val="14"/>
                <w:szCs w:val="14"/>
                <w:color w:val="auto"/>
              </w:rPr>
              <w:t>79.14</w:t>
            </w:r>
          </w:p>
        </w:tc>
        <w:tc>
          <w:tcPr>
            <w:tcW w:w="1060" w:type="dxa"/>
            <w:vAlign w:val="bottom"/>
            <w:tcBorders>
              <w:bottom w:val="single" w:sz="8" w:color="DCDDDE"/>
            </w:tcBorders>
          </w:tcPr>
          <w:p>
            <w:pPr>
              <w:jc w:val="right"/>
              <w:ind w:right="328"/>
              <w:spacing w:after="0"/>
              <w:rPr>
                <w:sz w:val="20"/>
                <w:szCs w:val="20"/>
                <w:color w:val="auto"/>
              </w:rPr>
            </w:pPr>
            <w:r>
              <w:rPr>
                <w:rFonts w:ascii="Arial" w:cs="Arial" w:eastAsia="Arial" w:hAnsi="Arial"/>
                <w:sz w:val="14"/>
                <w:szCs w:val="14"/>
                <w:color w:val="auto"/>
              </w:rPr>
              <w:t>4.9</w:t>
            </w:r>
          </w:p>
        </w:tc>
        <w:tc>
          <w:tcPr>
            <w:tcW w:w="74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36.5</w:t>
            </w:r>
          </w:p>
        </w:tc>
      </w:tr>
      <w:tr>
        <w:trPr>
          <w:trHeight w:val="210"/>
        </w:trPr>
        <w:tc>
          <w:tcPr>
            <w:tcW w:w="1400" w:type="dxa"/>
            <w:vAlign w:val="bottom"/>
            <w:tcBorders>
              <w:bottom w:val="single" w:sz="8" w:color="DCDDDE"/>
            </w:tcBorders>
          </w:tcPr>
          <w:p>
            <w:pPr>
              <w:jc w:val="right"/>
              <w:ind w:right="928"/>
              <w:spacing w:after="0"/>
              <w:rPr>
                <w:sz w:val="20"/>
                <w:szCs w:val="20"/>
                <w:color w:val="auto"/>
              </w:rPr>
            </w:pPr>
            <w:r>
              <w:rPr>
                <w:rFonts w:ascii="Arial" w:cs="Arial" w:eastAsia="Arial" w:hAnsi="Arial"/>
                <w:sz w:val="14"/>
                <w:szCs w:val="14"/>
                <w:b w:val="1"/>
                <w:bCs w:val="1"/>
                <w:color w:val="auto"/>
              </w:rPr>
              <w:t>2021</w:t>
            </w:r>
          </w:p>
        </w:tc>
        <w:tc>
          <w:tcPr>
            <w:tcW w:w="17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33,978,581</w:t>
            </w:r>
          </w:p>
        </w:tc>
        <w:tc>
          <w:tcPr>
            <w:tcW w:w="1220" w:type="dxa"/>
            <w:vAlign w:val="bottom"/>
            <w:tcBorders>
              <w:bottom w:val="single" w:sz="8" w:color="DCDDDE"/>
            </w:tcBorders>
          </w:tcPr>
          <w:p>
            <w:pPr>
              <w:jc w:val="right"/>
              <w:ind w:right="368"/>
              <w:spacing w:after="0"/>
              <w:rPr>
                <w:sz w:val="20"/>
                <w:szCs w:val="20"/>
                <w:color w:val="auto"/>
              </w:rPr>
            </w:pPr>
            <w:r>
              <w:rPr>
                <w:rFonts w:ascii="Arial" w:cs="Arial" w:eastAsia="Arial" w:hAnsi="Arial"/>
                <w:sz w:val="14"/>
                <w:szCs w:val="14"/>
                <w:color w:val="auto"/>
              </w:rPr>
              <w:t>31,854,876</w:t>
            </w:r>
          </w:p>
        </w:tc>
        <w:tc>
          <w:tcPr>
            <w:tcW w:w="1360" w:type="dxa"/>
            <w:vAlign w:val="bottom"/>
            <w:tcBorders>
              <w:bottom w:val="single" w:sz="8" w:color="DCDDDE"/>
            </w:tcBorders>
          </w:tcPr>
          <w:p>
            <w:pPr>
              <w:jc w:val="right"/>
              <w:ind w:right="168"/>
              <w:spacing w:after="0"/>
              <w:rPr>
                <w:sz w:val="20"/>
                <w:szCs w:val="20"/>
                <w:color w:val="auto"/>
              </w:rPr>
            </w:pPr>
            <w:r>
              <w:rPr>
                <w:rFonts w:ascii="Arial" w:cs="Arial" w:eastAsia="Arial" w:hAnsi="Arial"/>
                <w:sz w:val="14"/>
                <w:szCs w:val="14"/>
                <w:color w:val="auto"/>
              </w:rPr>
              <w:t>21,905,224</w:t>
            </w:r>
          </w:p>
        </w:tc>
        <w:tc>
          <w:tcPr>
            <w:tcW w:w="1320" w:type="dxa"/>
            <w:vAlign w:val="bottom"/>
            <w:tcBorders>
              <w:bottom w:val="single" w:sz="8" w:color="DCDDDE"/>
            </w:tcBorders>
          </w:tcPr>
          <w:p>
            <w:pPr>
              <w:jc w:val="right"/>
              <w:ind w:right="288"/>
              <w:spacing w:after="0"/>
              <w:rPr>
                <w:sz w:val="20"/>
                <w:szCs w:val="20"/>
                <w:color w:val="auto"/>
              </w:rPr>
            </w:pPr>
            <w:r>
              <w:rPr>
                <w:rFonts w:ascii="Arial" w:cs="Arial" w:eastAsia="Arial" w:hAnsi="Arial"/>
                <w:sz w:val="14"/>
                <w:szCs w:val="14"/>
                <w:color w:val="auto"/>
              </w:rPr>
              <w:t>20,790,358</w:t>
            </w:r>
          </w:p>
        </w:tc>
        <w:tc>
          <w:tcPr>
            <w:tcW w:w="1160" w:type="dxa"/>
            <w:vAlign w:val="bottom"/>
            <w:tcBorders>
              <w:bottom w:val="single" w:sz="8" w:color="DCDDDE"/>
            </w:tcBorders>
          </w:tcPr>
          <w:p>
            <w:pPr>
              <w:jc w:val="right"/>
              <w:ind w:right="288"/>
              <w:spacing w:after="0"/>
              <w:rPr>
                <w:sz w:val="20"/>
                <w:szCs w:val="20"/>
                <w:color w:val="auto"/>
              </w:rPr>
            </w:pPr>
            <w:r>
              <w:rPr>
                <w:rFonts w:ascii="Arial" w:cs="Arial" w:eastAsia="Arial" w:hAnsi="Arial"/>
                <w:sz w:val="14"/>
                <w:szCs w:val="14"/>
                <w:color w:val="auto"/>
              </w:rPr>
              <w:t>116.51</w:t>
            </w:r>
          </w:p>
        </w:tc>
        <w:tc>
          <w:tcPr>
            <w:tcW w:w="1200" w:type="dxa"/>
            <w:vAlign w:val="bottom"/>
            <w:tcBorders>
              <w:bottom w:val="single" w:sz="8" w:color="DCDDDE"/>
            </w:tcBorders>
          </w:tcPr>
          <w:p>
            <w:pPr>
              <w:jc w:val="right"/>
              <w:ind w:right="328"/>
              <w:spacing w:after="0"/>
              <w:rPr>
                <w:sz w:val="20"/>
                <w:szCs w:val="20"/>
                <w:color w:val="auto"/>
              </w:rPr>
            </w:pPr>
            <w:r>
              <w:rPr>
                <w:rFonts w:ascii="Arial" w:cs="Arial" w:eastAsia="Arial" w:hAnsi="Arial"/>
                <w:sz w:val="14"/>
                <w:szCs w:val="14"/>
                <w:color w:val="auto"/>
              </w:rPr>
              <w:t>102.76</w:t>
            </w:r>
          </w:p>
        </w:tc>
        <w:tc>
          <w:tcPr>
            <w:tcW w:w="1060" w:type="dxa"/>
            <w:vAlign w:val="bottom"/>
            <w:tcBorders>
              <w:bottom w:val="single" w:sz="8" w:color="DCDDDE"/>
            </w:tcBorders>
          </w:tcPr>
          <w:p>
            <w:pPr>
              <w:jc w:val="right"/>
              <w:ind w:right="328"/>
              <w:spacing w:after="0"/>
              <w:rPr>
                <w:sz w:val="20"/>
                <w:szCs w:val="20"/>
                <w:color w:val="auto"/>
              </w:rPr>
            </w:pPr>
            <w:r>
              <w:rPr>
                <w:rFonts w:ascii="Arial" w:cs="Arial" w:eastAsia="Arial" w:hAnsi="Arial"/>
                <w:sz w:val="14"/>
                <w:szCs w:val="14"/>
                <w:color w:val="auto"/>
              </w:rPr>
              <w:t>13.8</w:t>
            </w:r>
          </w:p>
        </w:tc>
        <w:tc>
          <w:tcPr>
            <w:tcW w:w="74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34.7</w:t>
            </w:r>
          </w:p>
        </w:tc>
      </w:tr>
      <w:tr>
        <w:trPr>
          <w:trHeight w:val="209"/>
        </w:trPr>
        <w:tc>
          <w:tcPr>
            <w:tcW w:w="14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rPr>
              <w:t>2020</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32,713,267</w:t>
            </w: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54,701,549</w:t>
            </w:r>
          </w:p>
        </w:tc>
        <w:tc>
          <w:tcPr>
            <w:tcW w:w="1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17,695,036</w:t>
            </w:r>
          </w:p>
        </w:tc>
        <w:tc>
          <w:tcPr>
            <w:tcW w:w="13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26,502,693</w:t>
            </w: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119.16</w:t>
            </w: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111.90</w:t>
            </w: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10.7</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30.8</w:t>
            </w:r>
          </w:p>
        </w:tc>
      </w:tr>
    </w:tbl>
    <w:p>
      <w:pPr>
        <w:spacing w:after="0" w:line="50" w:lineRule="exact"/>
        <w:rPr>
          <w:sz w:val="20"/>
          <w:szCs w:val="20"/>
          <w:color w:val="auto"/>
        </w:rPr>
      </w:pPr>
    </w:p>
    <w:p>
      <w:pPr>
        <w:ind w:left="300" w:hanging="292"/>
        <w:spacing w:after="0"/>
        <w:tabs>
          <w:tab w:leader="none" w:pos="3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 xml:space="preserve">Reconciliations of non-GAAP financial metrics to GAAP are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w:t>
      </w:r>
    </w:p>
    <w:p>
      <w:pPr>
        <w:spacing w:after="0" w:line="125" w:lineRule="exact"/>
        <w:rPr>
          <w:sz w:val="20"/>
          <w:szCs w:val="20"/>
          <w:color w:val="auto"/>
        </w:rPr>
      </w:pPr>
    </w:p>
    <w:p>
      <w:pPr>
        <w:ind w:left="320" w:right="200" w:hanging="312"/>
        <w:spacing w:after="0" w:line="244" w:lineRule="auto"/>
        <w:tabs>
          <w:tab w:leader="none" w:pos="320" w:val="left"/>
        </w:tabs>
        <w:numPr>
          <w:ilvl w:val="0"/>
          <w:numId w:val="99"/>
        </w:numPr>
        <w:rPr>
          <w:rFonts w:ascii="Arial" w:cs="Arial" w:eastAsia="Arial" w:hAnsi="Arial"/>
          <w:sz w:val="13"/>
          <w:szCs w:val="13"/>
          <w:color w:val="auto"/>
        </w:rPr>
      </w:pPr>
      <w:r>
        <w:rPr>
          <w:rFonts w:ascii="Arial" w:cs="Arial" w:eastAsia="Arial" w:hAnsi="Arial"/>
          <w:sz w:val="15"/>
          <w:szCs w:val="15"/>
          <w:color w:val="auto"/>
        </w:rPr>
        <w:t>Compensation for our PEO, Mr. Roberts, reflects the amounts reported in the “Summary Compensation Table” for the respective years. Average compensation for non-PEO NEOs in 2023 is for Messrs. Cavanagh, Armstrong, Reid and Ms. Khoury, in 2022 and 2021 is for Messrs. Cavanagh, Shell and Watson and Ms. Strong, and for 2020 is for Messrs. Cavanagh, Shell, Watson and Reid.</w:t>
      </w:r>
    </w:p>
    <w:p>
      <w:pPr>
        <w:spacing w:after="0" w:line="273" w:lineRule="exact"/>
        <w:rPr>
          <w:sz w:val="20"/>
          <w:szCs w:val="20"/>
          <w:color w:val="auto"/>
        </w:rPr>
      </w:pPr>
    </w:p>
    <w:p>
      <w:pPr>
        <w:ind w:left="360" w:hanging="352"/>
        <w:spacing w:after="0"/>
        <w:tabs>
          <w:tab w:leader="none" w:pos="360" w:val="left"/>
        </w:tabs>
        <w:numPr>
          <w:ilvl w:val="0"/>
          <w:numId w:val="10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2" w:lineRule="exact"/>
        <w:rPr>
          <w:sz w:val="20"/>
          <w:szCs w:val="20"/>
          <w:color w:val="auto"/>
        </w:rPr>
      </w:pPr>
    </w:p>
    <w:p>
      <w:pPr>
        <w:ind w:left="320" w:hanging="312"/>
        <w:spacing w:after="0" w:line="238" w:lineRule="auto"/>
        <w:tabs>
          <w:tab w:leader="none" w:pos="320" w:val="left"/>
        </w:tabs>
        <w:numPr>
          <w:ilvl w:val="0"/>
          <w:numId w:val="101"/>
        </w:numPr>
        <w:rPr>
          <w:rFonts w:ascii="Arial" w:cs="Arial" w:eastAsia="Arial" w:hAnsi="Arial"/>
          <w:sz w:val="13"/>
          <w:szCs w:val="13"/>
          <w:color w:val="auto"/>
        </w:rPr>
      </w:pPr>
      <w:r>
        <w:rPr>
          <w:rFonts w:ascii="Arial" w:cs="Arial" w:eastAsia="Arial" w:hAnsi="Arial"/>
          <w:sz w:val="15"/>
          <w:szCs w:val="15"/>
          <w:color w:val="auto"/>
        </w:rPr>
        <w:t>Compensation “actually paid” for the PEO and average compensation “actually paid” for our non-PEO NEOs in 2023, 2022, 2021 and 2020 reflects the respective amounts set forth in columns (b) and (d) in the above table, adjusted in the table below, as determined in accordance with SEC rules. For awards that remain unvested or unexercised as of the end of the year, the ultimate value that will be realized upon vesting or upon exercise may be more or less than the current fair value below. See the “Option Exercises and Stock Vested” table on page 45 for the value of any such amounts received in 2023.</w:t>
      </w:r>
    </w:p>
    <w:p>
      <w:pPr>
        <w:spacing w:after="0" w:line="215"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 xml:space="preserve">PLUS </w:t>
            </w:r>
            <w:r>
              <w:rPr>
                <w:rFonts w:ascii="Arial" w:cs="Arial" w:eastAsia="Arial" w:hAnsi="Arial"/>
                <w:sz w:val="14"/>
                <w:szCs w:val="14"/>
                <w:b w:val="1"/>
                <w:bCs w:val="1"/>
                <w:color w:val="auto"/>
              </w:rPr>
              <w:t>FAIR</w:t>
            </w:r>
          </w:p>
        </w:tc>
        <w:tc>
          <w:tcPr>
            <w:tcW w:w="1560" w:type="dxa"/>
            <w:vAlign w:val="bottom"/>
          </w:tcPr>
          <w:p>
            <w:pPr>
              <w:jc w:val="right"/>
              <w:ind w:right="68"/>
              <w:spacing w:after="0"/>
              <w:rPr>
                <w:sz w:val="20"/>
                <w:szCs w:val="20"/>
                <w:color w:val="auto"/>
              </w:rPr>
            </w:pPr>
            <w:r>
              <w:rPr>
                <w:rFonts w:ascii="Arial" w:cs="Arial" w:eastAsia="Arial" w:hAnsi="Arial"/>
                <w:sz w:val="14"/>
                <w:szCs w:val="14"/>
                <w:b w:val="1"/>
                <w:bCs w:val="1"/>
                <w:color w:val="auto"/>
              </w:rPr>
              <w:t>CHANGE IN</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CHANGE IN</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i w:val="1"/>
                <w:iCs w:val="1"/>
                <w:color w:val="auto"/>
              </w:rPr>
              <w:t xml:space="preserve">LESS </w:t>
            </w:r>
            <w:r>
              <w:rPr>
                <w:rFonts w:ascii="Arial" w:cs="Arial" w:eastAsia="Arial" w:hAnsi="Arial"/>
                <w:sz w:val="14"/>
                <w:szCs w:val="14"/>
                <w:b w:val="1"/>
                <w:bCs w:val="1"/>
                <w:color w:val="auto"/>
              </w:rPr>
              <w:t>FAIR</w:t>
            </w:r>
          </w:p>
        </w:tc>
        <w:tc>
          <w:tcPr>
            <w:tcW w:w="14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180" w:type="dxa"/>
            <w:vAlign w:val="bottom"/>
          </w:tcPr>
          <w:p>
            <w:pPr>
              <w:jc w:val="right"/>
              <w:ind w:right="68"/>
              <w:spacing w:after="0"/>
              <w:rPr>
                <w:sz w:val="20"/>
                <w:szCs w:val="20"/>
                <w:color w:val="auto"/>
              </w:rPr>
            </w:pPr>
            <w:r>
              <w:rPr>
                <w:rFonts w:ascii="Arial" w:cs="Arial" w:eastAsia="Arial" w:hAnsi="Arial"/>
                <w:sz w:val="14"/>
                <w:szCs w:val="14"/>
                <w:b w:val="1"/>
                <w:bCs w:val="1"/>
                <w:i w:val="1"/>
                <w:iCs w:val="1"/>
                <w:color w:val="auto"/>
              </w:rPr>
              <w:t xml:space="preserve">LESS </w:t>
            </w:r>
            <w:r>
              <w:rPr>
                <w:rFonts w:ascii="Arial" w:cs="Arial" w:eastAsia="Arial" w:hAnsi="Arial"/>
                <w:sz w:val="14"/>
                <w:szCs w:val="14"/>
                <w:b w:val="1"/>
                <w:bCs w:val="1"/>
                <w:color w:val="auto"/>
              </w:rPr>
              <w:t>STOCK/</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VALUE FOR</w:t>
            </w:r>
          </w:p>
        </w:tc>
        <w:tc>
          <w:tcPr>
            <w:tcW w:w="156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VALUE OF</w:t>
            </w:r>
          </w:p>
        </w:tc>
        <w:tc>
          <w:tcPr>
            <w:tcW w:w="14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180" w:type="dxa"/>
            <w:vAlign w:val="bottom"/>
          </w:tcPr>
          <w:p>
            <w:pPr>
              <w:jc w:val="right"/>
              <w:ind w:right="68"/>
              <w:spacing w:after="0"/>
              <w:rPr>
                <w:sz w:val="20"/>
                <w:szCs w:val="20"/>
                <w:color w:val="auto"/>
              </w:rPr>
            </w:pPr>
            <w:r>
              <w:rPr>
                <w:rFonts w:ascii="Arial" w:cs="Arial" w:eastAsia="Arial" w:hAnsi="Arial"/>
                <w:sz w:val="14"/>
                <w:szCs w:val="14"/>
                <w:b w:val="1"/>
                <w:bCs w:val="1"/>
                <w:color w:val="auto"/>
              </w:rPr>
              <w:t>OPTION AWARD</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UNVESTED</w:t>
            </w:r>
          </w:p>
        </w:tc>
        <w:tc>
          <w:tcPr>
            <w:tcW w:w="1560" w:type="dxa"/>
            <w:vAlign w:val="bottom"/>
          </w:tcPr>
          <w:p>
            <w:pPr>
              <w:jc w:val="right"/>
              <w:ind w:right="68"/>
              <w:spacing w:after="0"/>
              <w:rPr>
                <w:sz w:val="20"/>
                <w:szCs w:val="20"/>
                <w:color w:val="auto"/>
              </w:rPr>
            </w:pPr>
            <w:r>
              <w:rPr>
                <w:rFonts w:ascii="Arial" w:cs="Arial" w:eastAsia="Arial" w:hAnsi="Arial"/>
                <w:sz w:val="14"/>
                <w:szCs w:val="14"/>
                <w:b w:val="1"/>
                <w:bCs w:val="1"/>
                <w:color w:val="auto"/>
              </w:rPr>
              <w:t>OF</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OF AWARDS</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AWARDS</w:t>
            </w:r>
          </w:p>
        </w:tc>
        <w:tc>
          <w:tcPr>
            <w:tcW w:w="14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180" w:type="dxa"/>
            <w:vAlign w:val="bottom"/>
          </w:tcPr>
          <w:p>
            <w:pPr>
              <w:jc w:val="right"/>
              <w:ind w:right="68"/>
              <w:spacing w:after="0"/>
              <w:rPr>
                <w:sz w:val="20"/>
                <w:szCs w:val="20"/>
                <w:color w:val="auto"/>
              </w:rPr>
            </w:pPr>
            <w:r>
              <w:rPr>
                <w:rFonts w:ascii="Arial" w:cs="Arial" w:eastAsia="Arial" w:hAnsi="Arial"/>
                <w:sz w:val="14"/>
                <w:szCs w:val="14"/>
                <w:b w:val="1"/>
                <w:bCs w:val="1"/>
                <w:color w:val="auto"/>
              </w:rPr>
              <w:t>VALUE REPORTED</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AWARDS</w:t>
            </w:r>
          </w:p>
        </w:tc>
        <w:tc>
          <w:tcPr>
            <w:tcW w:w="1560" w:type="dxa"/>
            <w:vAlign w:val="bottom"/>
          </w:tcPr>
          <w:p>
            <w:pPr>
              <w:jc w:val="right"/>
              <w:ind w:right="68"/>
              <w:spacing w:after="0"/>
              <w:rPr>
                <w:sz w:val="20"/>
                <w:szCs w:val="20"/>
                <w:color w:val="auto"/>
              </w:rPr>
            </w:pPr>
            <w:r>
              <w:rPr>
                <w:rFonts w:ascii="Arial" w:cs="Arial" w:eastAsia="Arial" w:hAnsi="Arial"/>
                <w:sz w:val="14"/>
                <w:szCs w:val="14"/>
                <w:b w:val="1"/>
                <w:bCs w:val="1"/>
                <w:color w:val="auto"/>
              </w:rPr>
              <w:t>OUTSTANDING</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FROM PRIOR</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FORFEITED</w:t>
            </w:r>
          </w:p>
        </w:tc>
        <w:tc>
          <w:tcPr>
            <w:tcW w:w="14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180" w:type="dxa"/>
            <w:vAlign w:val="bottom"/>
          </w:tcPr>
          <w:p>
            <w:pPr>
              <w:jc w:val="right"/>
              <w:ind w:right="108"/>
              <w:spacing w:after="0"/>
              <w:rPr>
                <w:sz w:val="20"/>
                <w:szCs w:val="20"/>
                <w:color w:val="auto"/>
              </w:rPr>
            </w:pPr>
            <w:r>
              <w:rPr>
                <w:rFonts w:ascii="Arial" w:cs="Arial" w:eastAsia="Arial" w:hAnsi="Arial"/>
                <w:sz w:val="14"/>
                <w:szCs w:val="14"/>
                <w:b w:val="1"/>
                <w:bCs w:val="1"/>
                <w:color w:val="auto"/>
              </w:rPr>
              <w:t>IN SUMMARY</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GRANTED</w:t>
            </w:r>
          </w:p>
        </w:tc>
        <w:tc>
          <w:tcPr>
            <w:tcW w:w="1560" w:type="dxa"/>
            <w:vAlign w:val="bottom"/>
          </w:tcPr>
          <w:p>
            <w:pPr>
              <w:jc w:val="right"/>
              <w:ind w:right="68"/>
              <w:spacing w:after="0"/>
              <w:rPr>
                <w:sz w:val="20"/>
                <w:szCs w:val="20"/>
                <w:color w:val="auto"/>
              </w:rPr>
            </w:pPr>
            <w:r>
              <w:rPr>
                <w:rFonts w:ascii="Arial" w:cs="Arial" w:eastAsia="Arial" w:hAnsi="Arial"/>
                <w:sz w:val="14"/>
                <w:szCs w:val="14"/>
                <w:b w:val="1"/>
                <w:bCs w:val="1"/>
                <w:color w:val="auto"/>
              </w:rPr>
              <w:t>UNVESTED</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YEARS THAT</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DURING</w:t>
            </w:r>
          </w:p>
        </w:tc>
        <w:tc>
          <w:tcPr>
            <w:tcW w:w="14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180" w:type="dxa"/>
            <w:vAlign w:val="bottom"/>
          </w:tcPr>
          <w:p>
            <w:pPr>
              <w:jc w:val="right"/>
              <w:ind w:right="68"/>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IN THE</w:t>
            </w:r>
          </w:p>
        </w:tc>
        <w:tc>
          <w:tcPr>
            <w:tcW w:w="1560" w:type="dxa"/>
            <w:vAlign w:val="bottom"/>
          </w:tcPr>
          <w:p>
            <w:pPr>
              <w:jc w:val="right"/>
              <w:ind w:right="68"/>
              <w:spacing w:after="0"/>
              <w:rPr>
                <w:sz w:val="20"/>
                <w:szCs w:val="20"/>
                <w:color w:val="auto"/>
              </w:rPr>
            </w:pPr>
            <w:r>
              <w:rPr>
                <w:rFonts w:ascii="Arial" w:cs="Arial" w:eastAsia="Arial" w:hAnsi="Arial"/>
                <w:sz w:val="14"/>
                <w:szCs w:val="14"/>
                <w:b w:val="1"/>
                <w:bCs w:val="1"/>
                <w:color w:val="auto"/>
              </w:rPr>
              <w:t>AWARDS</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VESTED IN</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THE</w:t>
            </w:r>
          </w:p>
        </w:tc>
        <w:tc>
          <w:tcPr>
            <w:tcW w:w="144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2180" w:type="dxa"/>
            <w:vAlign w:val="bottom"/>
          </w:tcPr>
          <w:p>
            <w:pPr>
              <w:jc w:val="right"/>
              <w:ind w:right="68"/>
              <w:spacing w:after="0"/>
              <w:rPr>
                <w:sz w:val="20"/>
                <w:szCs w:val="20"/>
                <w:color w:val="auto"/>
              </w:rPr>
            </w:pPr>
            <w:r>
              <w:rPr>
                <w:rFonts w:ascii="Arial" w:cs="Arial" w:eastAsia="Arial" w:hAnsi="Arial"/>
                <w:sz w:val="14"/>
                <w:szCs w:val="14"/>
                <w:b w:val="1"/>
                <w:bCs w:val="1"/>
                <w:color w:val="auto"/>
              </w:rPr>
              <w:t>TABLE FOR THE</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COVERED</w:t>
            </w:r>
          </w:p>
        </w:tc>
        <w:tc>
          <w:tcPr>
            <w:tcW w:w="1560" w:type="dxa"/>
            <w:vAlign w:val="bottom"/>
          </w:tcPr>
          <w:p>
            <w:pPr>
              <w:jc w:val="right"/>
              <w:ind w:right="68"/>
              <w:spacing w:after="0"/>
              <w:rPr>
                <w:sz w:val="20"/>
                <w:szCs w:val="20"/>
                <w:color w:val="auto"/>
              </w:rPr>
            </w:pPr>
            <w:r>
              <w:rPr>
                <w:rFonts w:ascii="Arial" w:cs="Arial" w:eastAsia="Arial" w:hAnsi="Arial"/>
                <w:sz w:val="14"/>
                <w:szCs w:val="14"/>
                <w:b w:val="1"/>
                <w:bCs w:val="1"/>
                <w:color w:val="auto"/>
              </w:rPr>
              <w:t>FROM PRIOR</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THE COVERED</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COVERED</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NET</w:t>
            </w:r>
          </w:p>
        </w:tc>
      </w:tr>
      <w:tr>
        <w:trPr>
          <w:trHeight w:val="162"/>
        </w:trPr>
        <w:tc>
          <w:tcPr>
            <w:tcW w:w="2120" w:type="dxa"/>
            <w:vAlign w:val="bottom"/>
          </w:tcPr>
          <w:p>
            <w:pPr>
              <w:spacing w:after="0"/>
              <w:rPr>
                <w:sz w:val="14"/>
                <w:szCs w:val="14"/>
                <w:color w:val="auto"/>
              </w:rPr>
            </w:pPr>
          </w:p>
        </w:tc>
        <w:tc>
          <w:tcPr>
            <w:tcW w:w="2180" w:type="dxa"/>
            <w:vAlign w:val="bottom"/>
          </w:tcPr>
          <w:p>
            <w:pPr>
              <w:jc w:val="right"/>
              <w:ind w:right="68"/>
              <w:spacing w:after="0"/>
              <w:rPr>
                <w:sz w:val="20"/>
                <w:szCs w:val="20"/>
                <w:color w:val="auto"/>
              </w:rPr>
            </w:pPr>
            <w:r>
              <w:rPr>
                <w:rFonts w:ascii="Arial" w:cs="Arial" w:eastAsia="Arial" w:hAnsi="Arial"/>
                <w:sz w:val="14"/>
                <w:szCs w:val="14"/>
                <w:b w:val="1"/>
                <w:bCs w:val="1"/>
                <w:color w:val="auto"/>
              </w:rPr>
              <w:t>COVERED YEAR</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YEAR</w:t>
            </w:r>
          </w:p>
        </w:tc>
        <w:tc>
          <w:tcPr>
            <w:tcW w:w="1560" w:type="dxa"/>
            <w:vAlign w:val="bottom"/>
          </w:tcPr>
          <w:p>
            <w:pPr>
              <w:jc w:val="right"/>
              <w:ind w:right="68"/>
              <w:spacing w:after="0"/>
              <w:rPr>
                <w:sz w:val="20"/>
                <w:szCs w:val="20"/>
                <w:color w:val="auto"/>
              </w:rPr>
            </w:pPr>
            <w:r>
              <w:rPr>
                <w:rFonts w:ascii="Arial" w:cs="Arial" w:eastAsia="Arial" w:hAnsi="Arial"/>
                <w:sz w:val="14"/>
                <w:szCs w:val="14"/>
                <w:b w:val="1"/>
                <w:bCs w:val="1"/>
                <w:color w:val="auto"/>
              </w:rPr>
              <w:t>YEARS</w:t>
            </w:r>
          </w:p>
        </w:tc>
        <w:tc>
          <w:tcPr>
            <w:tcW w:w="1480" w:type="dxa"/>
            <w:vAlign w:val="bottom"/>
          </w:tcPr>
          <w:p>
            <w:pPr>
              <w:jc w:val="right"/>
              <w:ind w:right="68"/>
              <w:spacing w:after="0"/>
              <w:rPr>
                <w:sz w:val="20"/>
                <w:szCs w:val="20"/>
                <w:color w:val="auto"/>
              </w:rPr>
            </w:pPr>
            <w:r>
              <w:rPr>
                <w:rFonts w:ascii="Arial" w:cs="Arial" w:eastAsia="Arial" w:hAnsi="Arial"/>
                <w:sz w:val="14"/>
                <w:szCs w:val="14"/>
                <w:b w:val="1"/>
                <w:bCs w:val="1"/>
                <w:color w:val="auto"/>
              </w:rPr>
              <w:t>YEAR</w:t>
            </w: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YEAR</w:t>
            </w:r>
          </w:p>
        </w:tc>
        <w:tc>
          <w:tcPr>
            <w:tcW w:w="1440" w:type="dxa"/>
            <w:vAlign w:val="bottom"/>
          </w:tcPr>
          <w:p>
            <w:pPr>
              <w:jc w:val="right"/>
              <w:ind w:right="8"/>
              <w:spacing w:after="0"/>
              <w:rPr>
                <w:sz w:val="20"/>
                <w:szCs w:val="20"/>
                <w:color w:val="auto"/>
              </w:rPr>
            </w:pPr>
            <w:r>
              <w:rPr>
                <w:rFonts w:ascii="Arial" w:cs="Arial" w:eastAsia="Arial" w:hAnsi="Arial"/>
                <w:sz w:val="14"/>
                <w:szCs w:val="14"/>
                <w:b w:val="1"/>
                <w:bCs w:val="1"/>
                <w:color w:val="auto"/>
              </w:rPr>
              <w:t>ADJUSTMENT</w:t>
            </w:r>
          </w:p>
        </w:tc>
      </w:tr>
      <w:tr>
        <w:trPr>
          <w:trHeight w:val="197"/>
        </w:trPr>
        <w:tc>
          <w:tcPr>
            <w:tcW w:w="2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09"/>
        </w:trPr>
        <w:tc>
          <w:tcPr>
            <w:tcW w:w="21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PEO 2023</w:t>
            </w:r>
          </w:p>
        </w:tc>
        <w:tc>
          <w:tcPr>
            <w:tcW w:w="2180" w:type="dxa"/>
            <w:vAlign w:val="bottom"/>
            <w:tcBorders>
              <w:bottom w:val="single" w:sz="8" w:color="DCDDDE"/>
            </w:tcBorders>
          </w:tcPr>
          <w:p>
            <w:pPr>
              <w:jc w:val="right"/>
              <w:ind w:right="668"/>
              <w:spacing w:after="0"/>
              <w:rPr>
                <w:sz w:val="20"/>
                <w:szCs w:val="20"/>
                <w:color w:val="auto"/>
              </w:rPr>
            </w:pPr>
            <w:r>
              <w:rPr>
                <w:rFonts w:ascii="Arial" w:cs="Arial" w:eastAsia="Arial" w:hAnsi="Arial"/>
                <w:sz w:val="14"/>
                <w:szCs w:val="14"/>
                <w:color w:val="auto"/>
              </w:rPr>
              <w:t>(24,224,618)</w:t>
            </w:r>
          </w:p>
        </w:tc>
        <w:tc>
          <w:tcPr>
            <w:tcW w:w="110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42,115,795</w:t>
            </w:r>
          </w:p>
        </w:tc>
        <w:tc>
          <w:tcPr>
            <w:tcW w:w="1560" w:type="dxa"/>
            <w:vAlign w:val="bottom"/>
            <w:tcBorders>
              <w:bottom w:val="single" w:sz="8" w:color="DCDDDE"/>
            </w:tcBorders>
          </w:tcPr>
          <w:p>
            <w:pPr>
              <w:jc w:val="right"/>
              <w:ind w:right="588"/>
              <w:spacing w:after="0"/>
              <w:rPr>
                <w:sz w:val="20"/>
                <w:szCs w:val="20"/>
                <w:color w:val="auto"/>
              </w:rPr>
            </w:pPr>
            <w:r>
              <w:rPr>
                <w:rFonts w:ascii="Arial" w:cs="Arial" w:eastAsia="Arial" w:hAnsi="Arial"/>
                <w:sz w:val="14"/>
                <w:szCs w:val="14"/>
                <w:color w:val="auto"/>
              </w:rPr>
              <w:t>18,326,999</w:t>
            </w:r>
          </w:p>
        </w:tc>
        <w:tc>
          <w:tcPr>
            <w:tcW w:w="1480" w:type="dxa"/>
            <w:vAlign w:val="bottom"/>
            <w:tcBorders>
              <w:bottom w:val="single" w:sz="8" w:color="DCDDDE"/>
            </w:tcBorders>
          </w:tcPr>
          <w:p>
            <w:pPr>
              <w:jc w:val="right"/>
              <w:ind w:right="528"/>
              <w:spacing w:after="0"/>
              <w:rPr>
                <w:sz w:val="20"/>
                <w:szCs w:val="20"/>
                <w:color w:val="auto"/>
              </w:rPr>
            </w:pPr>
            <w:r>
              <w:rPr>
                <w:rFonts w:ascii="Arial" w:cs="Arial" w:eastAsia="Arial" w:hAnsi="Arial"/>
                <w:sz w:val="14"/>
                <w:szCs w:val="14"/>
                <w:color w:val="auto"/>
              </w:rPr>
              <w:t>(489,739)</w:t>
            </w:r>
          </w:p>
        </w:tc>
        <w:tc>
          <w:tcPr>
            <w:tcW w:w="1080" w:type="dxa"/>
            <w:vAlign w:val="bottom"/>
            <w:tcBorders>
              <w:bottom w:val="single" w:sz="8" w:color="DCDDDE"/>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CDDDE"/>
            </w:tcBorders>
          </w:tcPr>
          <w:p>
            <w:pPr>
              <w:jc w:val="right"/>
              <w:ind w:right="448"/>
              <w:spacing w:after="0"/>
              <w:rPr>
                <w:sz w:val="20"/>
                <w:szCs w:val="20"/>
                <w:color w:val="auto"/>
              </w:rPr>
            </w:pPr>
            <w:r>
              <w:rPr>
                <w:rFonts w:ascii="Arial" w:cs="Arial" w:eastAsia="Arial" w:hAnsi="Arial"/>
                <w:sz w:val="14"/>
                <w:szCs w:val="14"/>
                <w:color w:val="auto"/>
              </w:rPr>
              <w:t>35,728,437</w:t>
            </w:r>
          </w:p>
        </w:tc>
      </w:tr>
      <w:tr>
        <w:trPr>
          <w:trHeight w:val="210"/>
        </w:trPr>
        <w:tc>
          <w:tcPr>
            <w:tcW w:w="21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PEO 2022</w:t>
            </w:r>
          </w:p>
        </w:tc>
        <w:tc>
          <w:tcPr>
            <w:tcW w:w="2180" w:type="dxa"/>
            <w:vAlign w:val="bottom"/>
            <w:tcBorders>
              <w:bottom w:val="single" w:sz="8" w:color="DCDDDE"/>
            </w:tcBorders>
          </w:tcPr>
          <w:p>
            <w:pPr>
              <w:jc w:val="right"/>
              <w:ind w:right="668"/>
              <w:spacing w:after="0"/>
              <w:rPr>
                <w:sz w:val="20"/>
                <w:szCs w:val="20"/>
                <w:color w:val="auto"/>
              </w:rPr>
            </w:pPr>
            <w:r>
              <w:rPr>
                <w:rFonts w:ascii="Arial" w:cs="Arial" w:eastAsia="Arial" w:hAnsi="Arial"/>
                <w:sz w:val="14"/>
                <w:szCs w:val="14"/>
                <w:color w:val="auto"/>
              </w:rPr>
              <w:t>(21,863,723)</w:t>
            </w:r>
          </w:p>
        </w:tc>
        <w:tc>
          <w:tcPr>
            <w:tcW w:w="110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22,285,379</w:t>
            </w:r>
          </w:p>
        </w:tc>
        <w:tc>
          <w:tcPr>
            <w:tcW w:w="1560" w:type="dxa"/>
            <w:vAlign w:val="bottom"/>
            <w:tcBorders>
              <w:bottom w:val="single" w:sz="8" w:color="DCDDDE"/>
            </w:tcBorders>
          </w:tcPr>
          <w:p>
            <w:pPr>
              <w:jc w:val="right"/>
              <w:ind w:right="528"/>
              <w:spacing w:after="0"/>
              <w:rPr>
                <w:sz w:val="20"/>
                <w:szCs w:val="20"/>
                <w:color w:val="auto"/>
              </w:rPr>
            </w:pPr>
            <w:r>
              <w:rPr>
                <w:rFonts w:ascii="Arial" w:cs="Arial" w:eastAsia="Arial" w:hAnsi="Arial"/>
                <w:sz w:val="14"/>
                <w:szCs w:val="14"/>
                <w:color w:val="auto"/>
              </w:rPr>
              <w:t>(31,633,629)</w:t>
            </w:r>
          </w:p>
        </w:tc>
        <w:tc>
          <w:tcPr>
            <w:tcW w:w="1480" w:type="dxa"/>
            <w:vAlign w:val="bottom"/>
            <w:tcBorders>
              <w:bottom w:val="single" w:sz="8" w:color="DCDDDE"/>
            </w:tcBorders>
          </w:tcPr>
          <w:p>
            <w:pPr>
              <w:jc w:val="right"/>
              <w:ind w:right="528"/>
              <w:spacing w:after="0"/>
              <w:rPr>
                <w:sz w:val="20"/>
                <w:szCs w:val="20"/>
                <w:color w:val="auto"/>
              </w:rPr>
            </w:pPr>
            <w:r>
              <w:rPr>
                <w:rFonts w:ascii="Arial" w:cs="Arial" w:eastAsia="Arial" w:hAnsi="Arial"/>
                <w:sz w:val="14"/>
                <w:szCs w:val="14"/>
                <w:color w:val="auto"/>
              </w:rPr>
              <w:t>(4,949,732)</w:t>
            </w:r>
          </w:p>
        </w:tc>
        <w:tc>
          <w:tcPr>
            <w:tcW w:w="1080" w:type="dxa"/>
            <w:vAlign w:val="bottom"/>
            <w:tcBorders>
              <w:bottom w:val="single" w:sz="8" w:color="DCDDDE"/>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CDDDE"/>
            </w:tcBorders>
          </w:tcPr>
          <w:p>
            <w:pPr>
              <w:jc w:val="right"/>
              <w:ind w:right="408"/>
              <w:spacing w:after="0"/>
              <w:rPr>
                <w:sz w:val="20"/>
                <w:szCs w:val="20"/>
                <w:color w:val="auto"/>
              </w:rPr>
            </w:pPr>
            <w:r>
              <w:rPr>
                <w:rFonts w:ascii="Arial" w:cs="Arial" w:eastAsia="Arial" w:hAnsi="Arial"/>
                <w:sz w:val="14"/>
                <w:szCs w:val="14"/>
                <w:color w:val="auto"/>
              </w:rPr>
              <w:t>(36,161,704)</w:t>
            </w:r>
          </w:p>
        </w:tc>
      </w:tr>
      <w:tr>
        <w:trPr>
          <w:trHeight w:val="210"/>
        </w:trPr>
        <w:tc>
          <w:tcPr>
            <w:tcW w:w="21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PEO 2021</w:t>
            </w:r>
          </w:p>
        </w:tc>
        <w:tc>
          <w:tcPr>
            <w:tcW w:w="2180" w:type="dxa"/>
            <w:vAlign w:val="bottom"/>
            <w:tcBorders>
              <w:bottom w:val="single" w:sz="8" w:color="DCDDDE"/>
            </w:tcBorders>
          </w:tcPr>
          <w:p>
            <w:pPr>
              <w:jc w:val="right"/>
              <w:ind w:right="668"/>
              <w:spacing w:after="0"/>
              <w:rPr>
                <w:sz w:val="20"/>
                <w:szCs w:val="20"/>
                <w:color w:val="auto"/>
              </w:rPr>
            </w:pPr>
            <w:r>
              <w:rPr>
                <w:rFonts w:ascii="Arial" w:cs="Arial" w:eastAsia="Arial" w:hAnsi="Arial"/>
                <w:sz w:val="14"/>
                <w:szCs w:val="14"/>
                <w:color w:val="auto"/>
              </w:rPr>
              <w:t>(21,988,022)</w:t>
            </w:r>
          </w:p>
        </w:tc>
        <w:tc>
          <w:tcPr>
            <w:tcW w:w="110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21,524,528</w:t>
            </w:r>
          </w:p>
        </w:tc>
        <w:tc>
          <w:tcPr>
            <w:tcW w:w="1560" w:type="dxa"/>
            <w:vAlign w:val="bottom"/>
            <w:tcBorders>
              <w:bottom w:val="single" w:sz="8" w:color="DCDDDE"/>
            </w:tcBorders>
          </w:tcPr>
          <w:p>
            <w:pPr>
              <w:jc w:val="right"/>
              <w:ind w:right="528"/>
              <w:spacing w:after="0"/>
              <w:rPr>
                <w:sz w:val="20"/>
                <w:szCs w:val="20"/>
                <w:color w:val="auto"/>
              </w:rPr>
            </w:pPr>
            <w:r>
              <w:rPr>
                <w:rFonts w:ascii="Arial" w:cs="Arial" w:eastAsia="Arial" w:hAnsi="Arial"/>
                <w:sz w:val="14"/>
                <w:szCs w:val="14"/>
                <w:color w:val="auto"/>
              </w:rPr>
              <w:t>(5,141,104)</w:t>
            </w:r>
          </w:p>
        </w:tc>
        <w:tc>
          <w:tcPr>
            <w:tcW w:w="1480" w:type="dxa"/>
            <w:vAlign w:val="bottom"/>
            <w:tcBorders>
              <w:bottom w:val="single" w:sz="8" w:color="DCDDDE"/>
            </w:tcBorders>
          </w:tcPr>
          <w:p>
            <w:pPr>
              <w:jc w:val="right"/>
              <w:ind w:right="588"/>
              <w:spacing w:after="0"/>
              <w:rPr>
                <w:sz w:val="20"/>
                <w:szCs w:val="20"/>
                <w:color w:val="auto"/>
              </w:rPr>
            </w:pPr>
            <w:r>
              <w:rPr>
                <w:rFonts w:ascii="Arial" w:cs="Arial" w:eastAsia="Arial" w:hAnsi="Arial"/>
                <w:sz w:val="14"/>
                <w:szCs w:val="14"/>
                <w:color w:val="auto"/>
              </w:rPr>
              <w:t>3,480,893</w:t>
            </w:r>
          </w:p>
        </w:tc>
        <w:tc>
          <w:tcPr>
            <w:tcW w:w="1080" w:type="dxa"/>
            <w:vAlign w:val="bottom"/>
            <w:tcBorders>
              <w:bottom w:val="single" w:sz="8" w:color="DCDDDE"/>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CDDDE"/>
            </w:tcBorders>
          </w:tcPr>
          <w:p>
            <w:pPr>
              <w:jc w:val="right"/>
              <w:ind w:right="408"/>
              <w:spacing w:after="0"/>
              <w:rPr>
                <w:sz w:val="20"/>
                <w:szCs w:val="20"/>
                <w:color w:val="auto"/>
              </w:rPr>
            </w:pPr>
            <w:r>
              <w:rPr>
                <w:rFonts w:ascii="Arial" w:cs="Arial" w:eastAsia="Arial" w:hAnsi="Arial"/>
                <w:sz w:val="14"/>
                <w:szCs w:val="14"/>
                <w:color w:val="auto"/>
              </w:rPr>
              <w:t>(2,123,705)</w:t>
            </w:r>
          </w:p>
        </w:tc>
      </w:tr>
      <w:tr>
        <w:trPr>
          <w:trHeight w:val="209"/>
        </w:trPr>
        <w:tc>
          <w:tcPr>
            <w:tcW w:w="21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PEO 2020</w:t>
            </w:r>
          </w:p>
        </w:tc>
        <w:tc>
          <w:tcPr>
            <w:tcW w:w="2180" w:type="dxa"/>
            <w:vAlign w:val="bottom"/>
            <w:tcBorders>
              <w:bottom w:val="single" w:sz="8" w:color="DCDDDE"/>
            </w:tcBorders>
          </w:tcPr>
          <w:p>
            <w:pPr>
              <w:jc w:val="right"/>
              <w:ind w:right="668"/>
              <w:spacing w:after="0"/>
              <w:rPr>
                <w:sz w:val="20"/>
                <w:szCs w:val="20"/>
                <w:color w:val="auto"/>
              </w:rPr>
            </w:pPr>
            <w:r>
              <w:rPr>
                <w:rFonts w:ascii="Arial" w:cs="Arial" w:eastAsia="Arial" w:hAnsi="Arial"/>
                <w:sz w:val="14"/>
                <w:szCs w:val="14"/>
                <w:color w:val="auto"/>
              </w:rPr>
              <w:t>(21,185,427)</w:t>
            </w:r>
          </w:p>
        </w:tc>
        <w:tc>
          <w:tcPr>
            <w:tcW w:w="110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33,698,156</w:t>
            </w:r>
          </w:p>
        </w:tc>
        <w:tc>
          <w:tcPr>
            <w:tcW w:w="1560" w:type="dxa"/>
            <w:vAlign w:val="bottom"/>
            <w:tcBorders>
              <w:bottom w:val="single" w:sz="8" w:color="DCDDDE"/>
            </w:tcBorders>
          </w:tcPr>
          <w:p>
            <w:pPr>
              <w:jc w:val="right"/>
              <w:ind w:right="588"/>
              <w:spacing w:after="0"/>
              <w:rPr>
                <w:sz w:val="20"/>
                <w:szCs w:val="20"/>
                <w:color w:val="auto"/>
              </w:rPr>
            </w:pPr>
            <w:r>
              <w:rPr>
                <w:rFonts w:ascii="Arial" w:cs="Arial" w:eastAsia="Arial" w:hAnsi="Arial"/>
                <w:sz w:val="14"/>
                <w:szCs w:val="14"/>
                <w:color w:val="auto"/>
              </w:rPr>
              <w:t>17,130,816</w:t>
            </w:r>
          </w:p>
        </w:tc>
        <w:tc>
          <w:tcPr>
            <w:tcW w:w="1480" w:type="dxa"/>
            <w:vAlign w:val="bottom"/>
            <w:tcBorders>
              <w:bottom w:val="single" w:sz="8" w:color="DCDDDE"/>
            </w:tcBorders>
          </w:tcPr>
          <w:p>
            <w:pPr>
              <w:jc w:val="right"/>
              <w:ind w:right="528"/>
              <w:spacing w:after="0"/>
              <w:rPr>
                <w:sz w:val="20"/>
                <w:szCs w:val="20"/>
                <w:color w:val="auto"/>
              </w:rPr>
            </w:pPr>
            <w:r>
              <w:rPr>
                <w:rFonts w:ascii="Arial" w:cs="Arial" w:eastAsia="Arial" w:hAnsi="Arial"/>
                <w:sz w:val="14"/>
                <w:szCs w:val="14"/>
                <w:color w:val="auto"/>
              </w:rPr>
              <w:t>(7,655,263)</w:t>
            </w:r>
          </w:p>
        </w:tc>
        <w:tc>
          <w:tcPr>
            <w:tcW w:w="1080" w:type="dxa"/>
            <w:vAlign w:val="bottom"/>
            <w:tcBorders>
              <w:bottom w:val="single" w:sz="8" w:color="DCDDDE"/>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CDDDE"/>
            </w:tcBorders>
          </w:tcPr>
          <w:p>
            <w:pPr>
              <w:jc w:val="right"/>
              <w:ind w:right="448"/>
              <w:spacing w:after="0"/>
              <w:rPr>
                <w:sz w:val="20"/>
                <w:szCs w:val="20"/>
                <w:color w:val="auto"/>
              </w:rPr>
            </w:pPr>
            <w:r>
              <w:rPr>
                <w:rFonts w:ascii="Arial" w:cs="Arial" w:eastAsia="Arial" w:hAnsi="Arial"/>
                <w:sz w:val="14"/>
                <w:szCs w:val="14"/>
                <w:color w:val="auto"/>
              </w:rPr>
              <w:t>21,988,282</w:t>
            </w:r>
          </w:p>
        </w:tc>
      </w:tr>
      <w:tr>
        <w:trPr>
          <w:trHeight w:val="209"/>
        </w:trPr>
        <w:tc>
          <w:tcPr>
            <w:tcW w:w="21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Non-PEO NEOs 2023</w:t>
            </w:r>
          </w:p>
        </w:tc>
        <w:tc>
          <w:tcPr>
            <w:tcW w:w="2180" w:type="dxa"/>
            <w:vAlign w:val="bottom"/>
            <w:tcBorders>
              <w:bottom w:val="single" w:sz="8" w:color="DCDDDE"/>
            </w:tcBorders>
          </w:tcPr>
          <w:p>
            <w:pPr>
              <w:jc w:val="right"/>
              <w:ind w:right="668"/>
              <w:spacing w:after="0"/>
              <w:rPr>
                <w:sz w:val="20"/>
                <w:szCs w:val="20"/>
                <w:color w:val="auto"/>
              </w:rPr>
            </w:pPr>
            <w:r>
              <w:rPr>
                <w:rFonts w:ascii="Arial" w:cs="Arial" w:eastAsia="Arial" w:hAnsi="Arial"/>
                <w:sz w:val="14"/>
                <w:szCs w:val="14"/>
                <w:color w:val="auto"/>
              </w:rPr>
              <w:t>(7,636,176)</w:t>
            </w:r>
          </w:p>
        </w:tc>
        <w:tc>
          <w:tcPr>
            <w:tcW w:w="110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13,275,920</w:t>
            </w:r>
          </w:p>
        </w:tc>
        <w:tc>
          <w:tcPr>
            <w:tcW w:w="1560" w:type="dxa"/>
            <w:vAlign w:val="bottom"/>
            <w:tcBorders>
              <w:bottom w:val="single" w:sz="8" w:color="DCDDDE"/>
            </w:tcBorders>
          </w:tcPr>
          <w:p>
            <w:pPr>
              <w:jc w:val="right"/>
              <w:ind w:right="588"/>
              <w:spacing w:after="0"/>
              <w:rPr>
                <w:sz w:val="20"/>
                <w:szCs w:val="20"/>
                <w:color w:val="auto"/>
              </w:rPr>
            </w:pPr>
            <w:r>
              <w:rPr>
                <w:rFonts w:ascii="Arial" w:cs="Arial" w:eastAsia="Arial" w:hAnsi="Arial"/>
                <w:sz w:val="14"/>
                <w:szCs w:val="14"/>
                <w:color w:val="auto"/>
              </w:rPr>
              <w:t>6,995,673</w:t>
            </w:r>
          </w:p>
        </w:tc>
        <w:tc>
          <w:tcPr>
            <w:tcW w:w="1480" w:type="dxa"/>
            <w:vAlign w:val="bottom"/>
            <w:tcBorders>
              <w:bottom w:val="single" w:sz="8" w:color="DCDDDE"/>
            </w:tcBorders>
          </w:tcPr>
          <w:p>
            <w:pPr>
              <w:jc w:val="right"/>
              <w:ind w:right="528"/>
              <w:spacing w:after="0"/>
              <w:rPr>
                <w:sz w:val="20"/>
                <w:szCs w:val="20"/>
                <w:color w:val="auto"/>
              </w:rPr>
            </w:pPr>
            <w:r>
              <w:rPr>
                <w:rFonts w:ascii="Arial" w:cs="Arial" w:eastAsia="Arial" w:hAnsi="Arial"/>
                <w:sz w:val="14"/>
                <w:szCs w:val="14"/>
                <w:color w:val="auto"/>
              </w:rPr>
              <w:t>(60,324)</w:t>
            </w:r>
          </w:p>
        </w:tc>
        <w:tc>
          <w:tcPr>
            <w:tcW w:w="1080" w:type="dxa"/>
            <w:vAlign w:val="bottom"/>
            <w:tcBorders>
              <w:bottom w:val="single" w:sz="8" w:color="DCDDDE"/>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CDDDE"/>
            </w:tcBorders>
          </w:tcPr>
          <w:p>
            <w:pPr>
              <w:jc w:val="right"/>
              <w:ind w:right="448"/>
              <w:spacing w:after="0"/>
              <w:rPr>
                <w:sz w:val="20"/>
                <w:szCs w:val="20"/>
                <w:color w:val="auto"/>
              </w:rPr>
            </w:pPr>
            <w:r>
              <w:rPr>
                <w:rFonts w:ascii="Arial" w:cs="Arial" w:eastAsia="Arial" w:hAnsi="Arial"/>
                <w:sz w:val="14"/>
                <w:szCs w:val="14"/>
                <w:color w:val="auto"/>
              </w:rPr>
              <w:t>12,575,094</w:t>
            </w:r>
          </w:p>
        </w:tc>
      </w:tr>
      <w:tr>
        <w:trPr>
          <w:trHeight w:val="209"/>
        </w:trPr>
        <w:tc>
          <w:tcPr>
            <w:tcW w:w="21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Non-PEO NEOs 2022</w:t>
            </w:r>
          </w:p>
        </w:tc>
        <w:tc>
          <w:tcPr>
            <w:tcW w:w="2180" w:type="dxa"/>
            <w:vAlign w:val="bottom"/>
            <w:tcBorders>
              <w:bottom w:val="single" w:sz="8" w:color="DCDDDE"/>
            </w:tcBorders>
          </w:tcPr>
          <w:p>
            <w:pPr>
              <w:jc w:val="right"/>
              <w:ind w:right="668"/>
              <w:spacing w:after="0"/>
              <w:rPr>
                <w:sz w:val="20"/>
                <w:szCs w:val="20"/>
                <w:color w:val="auto"/>
              </w:rPr>
            </w:pPr>
            <w:r>
              <w:rPr>
                <w:rFonts w:ascii="Arial" w:cs="Arial" w:eastAsia="Arial" w:hAnsi="Arial"/>
                <w:sz w:val="14"/>
                <w:szCs w:val="14"/>
                <w:color w:val="auto"/>
              </w:rPr>
              <w:t>(15,386,069)</w:t>
            </w:r>
          </w:p>
        </w:tc>
        <w:tc>
          <w:tcPr>
            <w:tcW w:w="110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15,604,969</w:t>
            </w:r>
          </w:p>
        </w:tc>
        <w:tc>
          <w:tcPr>
            <w:tcW w:w="1560" w:type="dxa"/>
            <w:vAlign w:val="bottom"/>
            <w:tcBorders>
              <w:bottom w:val="single" w:sz="8" w:color="DCDDDE"/>
            </w:tcBorders>
          </w:tcPr>
          <w:p>
            <w:pPr>
              <w:jc w:val="right"/>
              <w:ind w:right="528"/>
              <w:spacing w:after="0"/>
              <w:rPr>
                <w:sz w:val="20"/>
                <w:szCs w:val="20"/>
                <w:color w:val="auto"/>
              </w:rPr>
            </w:pPr>
            <w:r>
              <w:rPr>
                <w:rFonts w:ascii="Arial" w:cs="Arial" w:eastAsia="Arial" w:hAnsi="Arial"/>
                <w:sz w:val="14"/>
                <w:szCs w:val="14"/>
                <w:color w:val="auto"/>
              </w:rPr>
              <w:t>(12,701,844)</w:t>
            </w:r>
          </w:p>
        </w:tc>
        <w:tc>
          <w:tcPr>
            <w:tcW w:w="1480" w:type="dxa"/>
            <w:vAlign w:val="bottom"/>
            <w:tcBorders>
              <w:bottom w:val="single" w:sz="8" w:color="DCDDDE"/>
            </w:tcBorders>
          </w:tcPr>
          <w:p>
            <w:pPr>
              <w:jc w:val="right"/>
              <w:ind w:right="528"/>
              <w:spacing w:after="0"/>
              <w:rPr>
                <w:sz w:val="20"/>
                <w:szCs w:val="20"/>
                <w:color w:val="auto"/>
              </w:rPr>
            </w:pPr>
            <w:r>
              <w:rPr>
                <w:rFonts w:ascii="Arial" w:cs="Arial" w:eastAsia="Arial" w:hAnsi="Arial"/>
                <w:sz w:val="14"/>
                <w:szCs w:val="14"/>
                <w:color w:val="auto"/>
              </w:rPr>
              <w:t>(1,687,326)</w:t>
            </w:r>
          </w:p>
        </w:tc>
        <w:tc>
          <w:tcPr>
            <w:tcW w:w="1080" w:type="dxa"/>
            <w:vAlign w:val="bottom"/>
            <w:tcBorders>
              <w:bottom w:val="single" w:sz="8" w:color="DCDDDE"/>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CDDDE"/>
            </w:tcBorders>
          </w:tcPr>
          <w:p>
            <w:pPr>
              <w:jc w:val="right"/>
              <w:ind w:right="408"/>
              <w:spacing w:after="0"/>
              <w:rPr>
                <w:sz w:val="20"/>
                <w:szCs w:val="20"/>
                <w:color w:val="auto"/>
              </w:rPr>
            </w:pPr>
            <w:r>
              <w:rPr>
                <w:rFonts w:ascii="Arial" w:cs="Arial" w:eastAsia="Arial" w:hAnsi="Arial"/>
                <w:sz w:val="14"/>
                <w:szCs w:val="14"/>
                <w:color w:val="auto"/>
              </w:rPr>
              <w:t>(14,170,270)</w:t>
            </w:r>
          </w:p>
        </w:tc>
      </w:tr>
      <w:tr>
        <w:trPr>
          <w:trHeight w:val="210"/>
        </w:trPr>
        <w:tc>
          <w:tcPr>
            <w:tcW w:w="212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Non-PEO NEOs 2021</w:t>
            </w:r>
          </w:p>
        </w:tc>
        <w:tc>
          <w:tcPr>
            <w:tcW w:w="2180" w:type="dxa"/>
            <w:vAlign w:val="bottom"/>
            <w:tcBorders>
              <w:bottom w:val="single" w:sz="8" w:color="DCDDDE"/>
            </w:tcBorders>
          </w:tcPr>
          <w:p>
            <w:pPr>
              <w:jc w:val="right"/>
              <w:ind w:right="668"/>
              <w:spacing w:after="0"/>
              <w:rPr>
                <w:sz w:val="20"/>
                <w:szCs w:val="20"/>
                <w:color w:val="auto"/>
              </w:rPr>
            </w:pPr>
            <w:r>
              <w:rPr>
                <w:rFonts w:ascii="Arial" w:cs="Arial" w:eastAsia="Arial" w:hAnsi="Arial"/>
                <w:sz w:val="14"/>
                <w:szCs w:val="14"/>
                <w:color w:val="auto"/>
              </w:rPr>
              <w:t>(10,410,915)</w:t>
            </w:r>
          </w:p>
        </w:tc>
        <w:tc>
          <w:tcPr>
            <w:tcW w:w="110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10,191,675</w:t>
            </w:r>
          </w:p>
        </w:tc>
        <w:tc>
          <w:tcPr>
            <w:tcW w:w="1560" w:type="dxa"/>
            <w:vAlign w:val="bottom"/>
            <w:tcBorders>
              <w:bottom w:val="single" w:sz="8" w:color="DCDDDE"/>
            </w:tcBorders>
          </w:tcPr>
          <w:p>
            <w:pPr>
              <w:jc w:val="right"/>
              <w:ind w:right="528"/>
              <w:spacing w:after="0"/>
              <w:rPr>
                <w:sz w:val="20"/>
                <w:szCs w:val="20"/>
                <w:color w:val="auto"/>
              </w:rPr>
            </w:pPr>
            <w:r>
              <w:rPr>
                <w:rFonts w:ascii="Arial" w:cs="Arial" w:eastAsia="Arial" w:hAnsi="Arial"/>
                <w:sz w:val="14"/>
                <w:szCs w:val="14"/>
                <w:color w:val="auto"/>
              </w:rPr>
              <w:t>(1,844,037)</w:t>
            </w:r>
          </w:p>
        </w:tc>
        <w:tc>
          <w:tcPr>
            <w:tcW w:w="1480" w:type="dxa"/>
            <w:vAlign w:val="bottom"/>
            <w:tcBorders>
              <w:bottom w:val="single" w:sz="8" w:color="DCDDDE"/>
            </w:tcBorders>
          </w:tcPr>
          <w:p>
            <w:pPr>
              <w:jc w:val="right"/>
              <w:ind w:right="588"/>
              <w:spacing w:after="0"/>
              <w:rPr>
                <w:sz w:val="20"/>
                <w:szCs w:val="20"/>
                <w:color w:val="auto"/>
              </w:rPr>
            </w:pPr>
            <w:r>
              <w:rPr>
                <w:rFonts w:ascii="Arial" w:cs="Arial" w:eastAsia="Arial" w:hAnsi="Arial"/>
                <w:sz w:val="14"/>
                <w:szCs w:val="14"/>
                <w:color w:val="auto"/>
              </w:rPr>
              <w:t>948,410</w:t>
            </w:r>
          </w:p>
        </w:tc>
        <w:tc>
          <w:tcPr>
            <w:tcW w:w="1080" w:type="dxa"/>
            <w:vAlign w:val="bottom"/>
            <w:tcBorders>
              <w:bottom w:val="single" w:sz="8" w:color="DCDDDE"/>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DCDDDE"/>
            </w:tcBorders>
          </w:tcPr>
          <w:p>
            <w:pPr>
              <w:jc w:val="right"/>
              <w:ind w:right="408"/>
              <w:spacing w:after="0"/>
              <w:rPr>
                <w:sz w:val="20"/>
                <w:szCs w:val="20"/>
                <w:color w:val="auto"/>
              </w:rPr>
            </w:pPr>
            <w:r>
              <w:rPr>
                <w:rFonts w:ascii="Arial" w:cs="Arial" w:eastAsia="Arial" w:hAnsi="Arial"/>
                <w:sz w:val="14"/>
                <w:szCs w:val="14"/>
                <w:color w:val="auto"/>
              </w:rPr>
              <w:t>(1,114,866)</w:t>
            </w:r>
          </w:p>
        </w:tc>
      </w:tr>
      <w:tr>
        <w:trPr>
          <w:trHeight w:val="210"/>
        </w:trPr>
        <w:tc>
          <w:tcPr>
            <w:tcW w:w="21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Non-PEO NEOs 2020</w:t>
            </w:r>
          </w:p>
        </w:tc>
        <w:tc>
          <w:tcPr>
            <w:tcW w:w="21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(8,619,244)</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13,815,414</w:t>
            </w:r>
          </w:p>
        </w:tc>
        <w:tc>
          <w:tcPr>
            <w:tcW w:w="15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5,498,177</w:t>
            </w:r>
          </w:p>
        </w:tc>
        <w:tc>
          <w:tcPr>
            <w:tcW w:w="14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(1,886,689)</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8,807,657</w:t>
            </w:r>
          </w:p>
        </w:tc>
      </w:tr>
    </w:tbl>
    <w:p>
      <w:pPr>
        <w:spacing w:after="0" w:line="50" w:lineRule="exact"/>
        <w:rPr>
          <w:sz w:val="20"/>
          <w:szCs w:val="20"/>
          <w:color w:val="auto"/>
        </w:rPr>
      </w:pPr>
    </w:p>
    <w:p>
      <w:pPr>
        <w:ind w:left="280" w:right="60"/>
        <w:spacing w:after="0" w:line="232" w:lineRule="auto"/>
        <w:rPr>
          <w:sz w:val="20"/>
          <w:szCs w:val="20"/>
          <w:color w:val="auto"/>
        </w:rPr>
      </w:pPr>
      <w:r>
        <w:rPr>
          <w:rFonts w:ascii="Arial" w:cs="Arial" w:eastAsia="Arial" w:hAnsi="Arial"/>
          <w:sz w:val="15"/>
          <w:szCs w:val="15"/>
          <w:color w:val="auto"/>
        </w:rPr>
        <w:t>Fair values are calculated in accordance with FASB ASC Topic 718 as of the end of the respective fiscal year, other than awards that vest in the covered year, which are valued as of the applicable vesting dates. Stock option fair values were calculated using the Black-Scholes option pricing model, determined based on the same methodology as used to determine grant date fair values but using the common stock closing price on the applicable revaluation date, and in all cases based on volatility, term to exercise, dividend yields and interest rates determined as of the revaluation date. For PSUs and RSUs granted prior to 2021, the fair values were determined by multiplying the Class A common stock closing price on the valuation date by the number of outstanding shares, adjusted for dividends accrued, and, for PSUs as defined in the Glossary to FASB ASC Topic 718, taking into account the probable outcome of the PSUs’ performance conditions as of the valuation date. For PSUs granted in 2021 and subsequent years, fair values were calculated using a Monte Carlo simulation model, determined based on the probable outcome of the performance condition as of the applicable year-end revaluation date(s).</w:t>
      </w:r>
    </w:p>
    <w:p>
      <w:pPr>
        <w:spacing w:after="0" w:line="30" w:lineRule="exact"/>
        <w:rPr>
          <w:sz w:val="20"/>
          <w:szCs w:val="20"/>
          <w:color w:val="auto"/>
        </w:rPr>
      </w:pPr>
    </w:p>
    <w:p>
      <w:pPr>
        <w:ind w:left="280" w:right="80"/>
        <w:spacing w:after="0" w:line="264" w:lineRule="auto"/>
        <w:rPr>
          <w:sz w:val="20"/>
          <w:szCs w:val="20"/>
          <w:color w:val="auto"/>
        </w:rPr>
      </w:pPr>
      <w:r>
        <w:rPr>
          <w:rFonts w:ascii="Arial" w:cs="Arial" w:eastAsia="Arial" w:hAnsi="Arial"/>
          <w:sz w:val="15"/>
          <w:szCs w:val="15"/>
          <w:color w:val="auto"/>
        </w:rPr>
        <w:t>No awards were granted and vested within the same year in any period covered by the table above, and no dividends, dividend equivalents or other earnings are paid on equity awards prior to their vesting dates.</w:t>
      </w:r>
    </w:p>
    <w:p>
      <w:pPr>
        <w:spacing w:after="0" w:line="12" w:lineRule="exact"/>
        <w:rPr>
          <w:sz w:val="20"/>
          <w:szCs w:val="20"/>
          <w:color w:val="auto"/>
        </w:rPr>
      </w:pPr>
    </w:p>
    <w:p>
      <w:pPr>
        <w:ind w:left="320" w:right="80" w:hanging="312"/>
        <w:spacing w:after="0" w:line="234" w:lineRule="auto"/>
        <w:tabs>
          <w:tab w:leader="none" w:pos="320" w:val="left"/>
        </w:tabs>
        <w:numPr>
          <w:ilvl w:val="0"/>
          <w:numId w:val="102"/>
        </w:numPr>
        <w:rPr>
          <w:rFonts w:ascii="Arial" w:cs="Arial" w:eastAsia="Arial" w:hAnsi="Arial"/>
          <w:sz w:val="13"/>
          <w:szCs w:val="13"/>
          <w:color w:val="auto"/>
        </w:rPr>
      </w:pPr>
      <w:r>
        <w:rPr>
          <w:rFonts w:ascii="Arial" w:cs="Arial" w:eastAsia="Arial" w:hAnsi="Arial"/>
          <w:sz w:val="15"/>
          <w:szCs w:val="15"/>
          <w:color w:val="auto"/>
        </w:rPr>
        <w:t>TSR is cumulative for the measurement period beginning on December 31, 2019 and ending on December 31 of each of 2023, 2022, 2021 and 2020, respectively, calculated in accordance with Item 201(e) of Regulation S-K. The composition of the peer group (the “TSR Peer Group”) is the “Peer Group Index” set forth in the Stock Performance Graph of our Annual Report on Form 10-K for the year ended December 31, 2023. As discussed in our Annual Report on Form 10-K for the year ended December 31, 2023, we updated the composition of our TSR Peer Group in 2023 following the change in our segment reporting to simplify the calculation, remove DISH Network Corporation due to its smaller market capitalization and to add Fox Corp. The 2023 Peer Group Cumulative TSR for the prior TSR Peer Group was $91.18.</w:t>
      </w:r>
    </w:p>
    <w:p>
      <w:pPr>
        <w:spacing w:after="0" w:line="30" w:lineRule="exact"/>
        <w:rPr>
          <w:rFonts w:ascii="Arial" w:cs="Arial" w:eastAsia="Arial" w:hAnsi="Arial"/>
          <w:sz w:val="13"/>
          <w:szCs w:val="13"/>
          <w:color w:val="auto"/>
        </w:rPr>
      </w:pPr>
    </w:p>
    <w:p>
      <w:pPr>
        <w:ind w:left="320" w:right="180" w:hanging="312"/>
        <w:spacing w:after="0" w:line="264" w:lineRule="auto"/>
        <w:tabs>
          <w:tab w:leader="none" w:pos="320" w:val="left"/>
        </w:tabs>
        <w:numPr>
          <w:ilvl w:val="0"/>
          <w:numId w:val="102"/>
        </w:numPr>
        <w:rPr>
          <w:rFonts w:ascii="Arial" w:cs="Arial" w:eastAsia="Arial" w:hAnsi="Arial"/>
          <w:sz w:val="13"/>
          <w:szCs w:val="13"/>
          <w:color w:val="auto"/>
        </w:rPr>
      </w:pPr>
      <w:r>
        <w:rPr>
          <w:rFonts w:ascii="Arial" w:cs="Arial" w:eastAsia="Arial" w:hAnsi="Arial"/>
          <w:sz w:val="15"/>
          <w:szCs w:val="15"/>
          <w:color w:val="auto"/>
        </w:rPr>
        <w:t>Reflects “Net Income” in our Consolidated Statement of Income included in our Annual Reports on Form 10-K for each of the years ended December 31, 2023, 2022, 2021 and 2020.</w:t>
      </w:r>
    </w:p>
    <w:p>
      <w:pPr>
        <w:spacing w:after="0" w:line="12" w:lineRule="exact"/>
        <w:rPr>
          <w:rFonts w:ascii="Arial" w:cs="Arial" w:eastAsia="Arial" w:hAnsi="Arial"/>
          <w:sz w:val="13"/>
          <w:szCs w:val="13"/>
          <w:color w:val="auto"/>
        </w:rPr>
      </w:pPr>
    </w:p>
    <w:p>
      <w:pPr>
        <w:ind w:left="320" w:right="120" w:hanging="312"/>
        <w:spacing w:after="0" w:line="244" w:lineRule="auto"/>
        <w:tabs>
          <w:tab w:leader="none" w:pos="320" w:val="left"/>
        </w:tabs>
        <w:numPr>
          <w:ilvl w:val="0"/>
          <w:numId w:val="102"/>
        </w:numPr>
        <w:rPr>
          <w:rFonts w:ascii="Arial" w:cs="Arial" w:eastAsia="Arial" w:hAnsi="Arial"/>
          <w:sz w:val="13"/>
          <w:szCs w:val="13"/>
          <w:color w:val="auto"/>
        </w:rPr>
      </w:pPr>
      <w:r>
        <w:rPr>
          <w:rFonts w:ascii="Arial" w:cs="Arial" w:eastAsia="Arial" w:hAnsi="Arial"/>
          <w:sz w:val="15"/>
          <w:szCs w:val="15"/>
          <w:color w:val="auto"/>
        </w:rPr>
        <w:t>The following table describes the relationship between company financial performance measures included in the Pay Versus Performance Table and the compensation “actually paid” to our NEOs, as reported in that table for the covered period, and the relationship between our cumulative TSR and the cumulative TSR of the TSR Peer Group over the covered period.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50</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20"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2022-23 YOY</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2021-22 YOY</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2020-21 YOY</w:t>
            </w:r>
          </w:p>
        </w:tc>
      </w:tr>
      <w:tr>
        <w:trPr>
          <w:trHeight w:val="197"/>
        </w:trPr>
        <w:tc>
          <w:tcPr>
            <w:tcW w:w="3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PERFORMANCE MEASURE</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CHANGE</w:t>
            </w:r>
          </w:p>
        </w:tc>
      </w:tr>
      <w:tr>
        <w:trPr>
          <w:trHeight w:val="174"/>
        </w:trPr>
        <w:tc>
          <w:tcPr>
            <w:tcW w:w="3140" w:type="dxa"/>
            <w:vAlign w:val="bottom"/>
          </w:tcPr>
          <w:p>
            <w:pPr>
              <w:ind w:left="80"/>
              <w:spacing w:after="0"/>
              <w:rPr>
                <w:sz w:val="20"/>
                <w:szCs w:val="20"/>
                <w:color w:val="auto"/>
              </w:rPr>
            </w:pPr>
            <w:r>
              <w:rPr>
                <w:rFonts w:ascii="Arial" w:cs="Arial" w:eastAsia="Arial" w:hAnsi="Arial"/>
                <w:sz w:val="14"/>
                <w:szCs w:val="14"/>
                <w:b w:val="1"/>
                <w:bCs w:val="1"/>
                <w:color w:val="auto"/>
              </w:rPr>
              <w:t>Compensation “Actually</w:t>
            </w:r>
          </w:p>
        </w:tc>
        <w:tc>
          <w:tcPr>
            <w:tcW w:w="1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7"/>
        </w:trPr>
        <w:tc>
          <w:tcPr>
            <w:tcW w:w="314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Paid” to PEO</w:t>
            </w:r>
          </w:p>
        </w:tc>
        <w:tc>
          <w:tcPr>
            <w:tcW w:w="1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71,202,103</w:t>
            </w:r>
          </w:p>
        </w:tc>
        <w:tc>
          <w:tcPr>
            <w:tcW w:w="900" w:type="dxa"/>
            <w:vAlign w:val="bottom"/>
            <w:tcBorders>
              <w:bottom w:val="single" w:sz="8" w:color="DCDDDE"/>
            </w:tcBorders>
          </w:tcPr>
          <w:p>
            <w:pPr>
              <w:jc w:val="right"/>
              <w:ind w:right="8"/>
              <w:spacing w:after="0"/>
              <w:rPr>
                <w:sz w:val="20"/>
                <w:szCs w:val="20"/>
                <w:color w:val="auto"/>
              </w:rPr>
            </w:pPr>
            <w:r>
              <w:rPr>
                <w:rFonts w:ascii="Arial" w:cs="Arial" w:eastAsia="Arial" w:hAnsi="Arial"/>
                <w:sz w:val="14"/>
                <w:szCs w:val="14"/>
                <w:color w:val="auto"/>
              </w:rPr>
              <w:t>(4,091,854)</w:t>
            </w:r>
          </w:p>
        </w:tc>
        <w:tc>
          <w:tcPr>
            <w:tcW w:w="8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31,854,876</w:t>
            </w:r>
          </w:p>
        </w:tc>
        <w:tc>
          <w:tcPr>
            <w:tcW w:w="8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54,701,549</w:t>
            </w:r>
          </w:p>
        </w:tc>
        <w:tc>
          <w:tcPr>
            <w:tcW w:w="1080" w:type="dxa"/>
            <w:vAlign w:val="bottom"/>
            <w:tcBorders>
              <w:bottom w:val="single" w:sz="8" w:color="DCDDDE"/>
            </w:tcBorders>
          </w:tcPr>
          <w:p>
            <w:pPr>
              <w:jc w:val="right"/>
              <w:ind w:right="88"/>
              <w:spacing w:after="0"/>
              <w:rPr>
                <w:sz w:val="20"/>
                <w:szCs w:val="20"/>
                <w:color w:val="auto"/>
              </w:rPr>
            </w:pPr>
            <w:r>
              <w:rPr>
                <w:rFonts w:ascii="Arial" w:cs="Arial" w:eastAsia="Arial" w:hAnsi="Arial"/>
                <w:sz w:val="14"/>
                <w:szCs w:val="14"/>
                <w:color w:val="auto"/>
              </w:rPr>
              <w:t>1840%**</w:t>
            </w:r>
          </w:p>
        </w:tc>
        <w:tc>
          <w:tcPr>
            <w:tcW w:w="1140" w:type="dxa"/>
            <w:vAlign w:val="bottom"/>
            <w:tcBorders>
              <w:bottom w:val="single" w:sz="8" w:color="DCDDDE"/>
            </w:tcBorders>
          </w:tcPr>
          <w:p>
            <w:pPr>
              <w:jc w:val="right"/>
              <w:ind w:right="288"/>
              <w:spacing w:after="0"/>
              <w:rPr>
                <w:sz w:val="20"/>
                <w:szCs w:val="20"/>
                <w:color w:val="auto"/>
              </w:rPr>
            </w:pPr>
            <w:r>
              <w:rPr>
                <w:rFonts w:ascii="Arial" w:cs="Arial" w:eastAsia="Arial" w:hAnsi="Arial"/>
                <w:sz w:val="14"/>
                <w:szCs w:val="14"/>
                <w:color w:val="auto"/>
              </w:rPr>
              <w:t>(113)%</w:t>
            </w:r>
          </w:p>
        </w:tc>
        <w:tc>
          <w:tcPr>
            <w:tcW w:w="1060" w:type="dxa"/>
            <w:vAlign w:val="bottom"/>
            <w:tcBorders>
              <w:bottom w:val="single" w:sz="8" w:color="DCDDDE"/>
            </w:tcBorders>
          </w:tcPr>
          <w:p>
            <w:pPr>
              <w:jc w:val="right"/>
              <w:ind w:right="228"/>
              <w:spacing w:after="0"/>
              <w:rPr>
                <w:sz w:val="20"/>
                <w:szCs w:val="20"/>
                <w:color w:val="auto"/>
              </w:rPr>
            </w:pPr>
            <w:r>
              <w:rPr>
                <w:rFonts w:ascii="Arial" w:cs="Arial" w:eastAsia="Arial" w:hAnsi="Arial"/>
                <w:sz w:val="14"/>
                <w:szCs w:val="14"/>
                <w:color w:val="auto"/>
              </w:rPr>
              <w:t>(42)%</w:t>
            </w:r>
          </w:p>
        </w:tc>
      </w:tr>
      <w:tr>
        <w:trPr>
          <w:trHeight w:val="174"/>
        </w:trPr>
        <w:tc>
          <w:tcPr>
            <w:tcW w:w="3140" w:type="dxa"/>
            <w:vAlign w:val="bottom"/>
          </w:tcPr>
          <w:p>
            <w:pPr>
              <w:ind w:left="80"/>
              <w:spacing w:after="0"/>
              <w:rPr>
                <w:sz w:val="20"/>
                <w:szCs w:val="20"/>
                <w:color w:val="auto"/>
              </w:rPr>
            </w:pPr>
            <w:r>
              <w:rPr>
                <w:rFonts w:ascii="Arial" w:cs="Arial" w:eastAsia="Arial" w:hAnsi="Arial"/>
                <w:sz w:val="14"/>
                <w:szCs w:val="14"/>
                <w:b w:val="1"/>
                <w:bCs w:val="1"/>
                <w:color w:val="auto"/>
              </w:rPr>
              <w:t>Average Compensation</w:t>
            </w:r>
          </w:p>
        </w:tc>
        <w:tc>
          <w:tcPr>
            <w:tcW w:w="1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62"/>
        </w:trPr>
        <w:tc>
          <w:tcPr>
            <w:tcW w:w="3140" w:type="dxa"/>
            <w:vAlign w:val="bottom"/>
          </w:tcPr>
          <w:p>
            <w:pPr>
              <w:ind w:left="80"/>
              <w:spacing w:after="0"/>
              <w:rPr>
                <w:sz w:val="20"/>
                <w:szCs w:val="20"/>
                <w:color w:val="auto"/>
              </w:rPr>
            </w:pPr>
            <w:r>
              <w:rPr>
                <w:rFonts w:ascii="Arial" w:cs="Arial" w:eastAsia="Arial" w:hAnsi="Arial"/>
                <w:sz w:val="14"/>
                <w:szCs w:val="14"/>
                <w:b w:val="1"/>
                <w:bCs w:val="1"/>
                <w:color w:val="auto"/>
              </w:rPr>
              <w:t>“Actually Paid” to non-</w:t>
            </w:r>
          </w:p>
        </w:tc>
        <w:tc>
          <w:tcPr>
            <w:tcW w:w="1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7"/>
        </w:trPr>
        <w:tc>
          <w:tcPr>
            <w:tcW w:w="314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PEOs</w:t>
            </w:r>
          </w:p>
        </w:tc>
        <w:tc>
          <w:tcPr>
            <w:tcW w:w="1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27,073,830</w:t>
            </w:r>
          </w:p>
        </w:tc>
        <w:tc>
          <w:tcPr>
            <w:tcW w:w="90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10,501,980</w:t>
            </w:r>
          </w:p>
        </w:tc>
        <w:tc>
          <w:tcPr>
            <w:tcW w:w="8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20,790,358</w:t>
            </w:r>
          </w:p>
        </w:tc>
        <w:tc>
          <w:tcPr>
            <w:tcW w:w="8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26,502,693</w:t>
            </w:r>
          </w:p>
        </w:tc>
        <w:tc>
          <w:tcPr>
            <w:tcW w:w="1080" w:type="dxa"/>
            <w:vAlign w:val="bottom"/>
            <w:tcBorders>
              <w:bottom w:val="single" w:sz="8" w:color="DCDDDE"/>
            </w:tcBorders>
          </w:tcPr>
          <w:p>
            <w:pPr>
              <w:jc w:val="right"/>
              <w:ind w:right="188"/>
              <w:spacing w:after="0"/>
              <w:rPr>
                <w:sz w:val="20"/>
                <w:szCs w:val="20"/>
                <w:color w:val="auto"/>
              </w:rPr>
            </w:pPr>
            <w:r>
              <w:rPr>
                <w:rFonts w:ascii="Arial" w:cs="Arial" w:eastAsia="Arial" w:hAnsi="Arial"/>
                <w:sz w:val="14"/>
                <w:szCs w:val="14"/>
                <w:color w:val="auto"/>
              </w:rPr>
              <w:t>158%</w:t>
            </w:r>
          </w:p>
        </w:tc>
        <w:tc>
          <w:tcPr>
            <w:tcW w:w="1140" w:type="dxa"/>
            <w:vAlign w:val="bottom"/>
            <w:tcBorders>
              <w:bottom w:val="single" w:sz="8" w:color="DCDDDE"/>
            </w:tcBorders>
          </w:tcPr>
          <w:p>
            <w:pPr>
              <w:jc w:val="right"/>
              <w:ind w:right="288"/>
              <w:spacing w:after="0"/>
              <w:rPr>
                <w:sz w:val="20"/>
                <w:szCs w:val="20"/>
                <w:color w:val="auto"/>
              </w:rPr>
            </w:pPr>
            <w:r>
              <w:rPr>
                <w:rFonts w:ascii="Arial" w:cs="Arial" w:eastAsia="Arial" w:hAnsi="Arial"/>
                <w:sz w:val="14"/>
                <w:szCs w:val="14"/>
                <w:color w:val="auto"/>
              </w:rPr>
              <w:t>(49)%</w:t>
            </w:r>
          </w:p>
        </w:tc>
        <w:tc>
          <w:tcPr>
            <w:tcW w:w="1060" w:type="dxa"/>
            <w:vAlign w:val="bottom"/>
            <w:tcBorders>
              <w:bottom w:val="single" w:sz="8" w:color="DCDDDE"/>
            </w:tcBorders>
          </w:tcPr>
          <w:p>
            <w:pPr>
              <w:jc w:val="right"/>
              <w:ind w:right="228"/>
              <w:spacing w:after="0"/>
              <w:rPr>
                <w:sz w:val="20"/>
                <w:szCs w:val="20"/>
                <w:color w:val="auto"/>
              </w:rPr>
            </w:pPr>
            <w:r>
              <w:rPr>
                <w:rFonts w:ascii="Arial" w:cs="Arial" w:eastAsia="Arial" w:hAnsi="Arial"/>
                <w:sz w:val="14"/>
                <w:szCs w:val="14"/>
                <w:color w:val="auto"/>
              </w:rPr>
              <w:t>(22)%</w:t>
            </w:r>
          </w:p>
        </w:tc>
      </w:tr>
      <w:tr>
        <w:trPr>
          <w:trHeight w:val="174"/>
        </w:trPr>
        <w:tc>
          <w:tcPr>
            <w:tcW w:w="3140" w:type="dxa"/>
            <w:vAlign w:val="bottom"/>
          </w:tcPr>
          <w:p>
            <w:pPr>
              <w:ind w:left="80"/>
              <w:spacing w:after="0"/>
              <w:rPr>
                <w:sz w:val="20"/>
                <w:szCs w:val="20"/>
                <w:color w:val="auto"/>
              </w:rPr>
            </w:pPr>
            <w:r>
              <w:rPr>
                <w:rFonts w:ascii="Arial" w:cs="Arial" w:eastAsia="Arial" w:hAnsi="Arial"/>
                <w:sz w:val="14"/>
                <w:szCs w:val="14"/>
                <w:b w:val="1"/>
                <w:bCs w:val="1"/>
                <w:color w:val="auto"/>
              </w:rPr>
              <w:t>Adjusted EBITDA* (in</w:t>
            </w:r>
          </w:p>
        </w:tc>
        <w:tc>
          <w:tcPr>
            <w:tcW w:w="1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7"/>
        </w:trPr>
        <w:tc>
          <w:tcPr>
            <w:tcW w:w="314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billions)</w:t>
            </w:r>
          </w:p>
        </w:tc>
        <w:tc>
          <w:tcPr>
            <w:tcW w:w="1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37.6</w:t>
            </w:r>
          </w:p>
        </w:tc>
        <w:tc>
          <w:tcPr>
            <w:tcW w:w="90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36.5</w:t>
            </w:r>
          </w:p>
        </w:tc>
        <w:tc>
          <w:tcPr>
            <w:tcW w:w="8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34.7</w:t>
            </w:r>
          </w:p>
        </w:tc>
        <w:tc>
          <w:tcPr>
            <w:tcW w:w="8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30.8</w:t>
            </w:r>
          </w:p>
        </w:tc>
        <w:tc>
          <w:tcPr>
            <w:tcW w:w="1080" w:type="dxa"/>
            <w:vAlign w:val="bottom"/>
            <w:tcBorders>
              <w:bottom w:val="single" w:sz="8" w:color="DCDDDE"/>
            </w:tcBorders>
          </w:tcPr>
          <w:p>
            <w:pPr>
              <w:jc w:val="right"/>
              <w:ind w:right="188"/>
              <w:spacing w:after="0"/>
              <w:rPr>
                <w:sz w:val="20"/>
                <w:szCs w:val="20"/>
                <w:color w:val="auto"/>
              </w:rPr>
            </w:pPr>
            <w:r>
              <w:rPr>
                <w:rFonts w:ascii="Arial" w:cs="Arial" w:eastAsia="Arial" w:hAnsi="Arial"/>
                <w:sz w:val="14"/>
                <w:szCs w:val="14"/>
                <w:color w:val="auto"/>
              </w:rPr>
              <w:t>3%</w:t>
            </w:r>
          </w:p>
        </w:tc>
        <w:tc>
          <w:tcPr>
            <w:tcW w:w="1140" w:type="dxa"/>
            <w:vAlign w:val="bottom"/>
            <w:tcBorders>
              <w:bottom w:val="single" w:sz="8" w:color="DCDDDE"/>
            </w:tcBorders>
          </w:tcPr>
          <w:p>
            <w:pPr>
              <w:jc w:val="right"/>
              <w:ind w:right="328"/>
              <w:spacing w:after="0"/>
              <w:rPr>
                <w:sz w:val="20"/>
                <w:szCs w:val="20"/>
                <w:color w:val="auto"/>
              </w:rPr>
            </w:pPr>
            <w:r>
              <w:rPr>
                <w:rFonts w:ascii="Arial" w:cs="Arial" w:eastAsia="Arial" w:hAnsi="Arial"/>
                <w:sz w:val="14"/>
                <w:szCs w:val="14"/>
                <w:color w:val="auto"/>
              </w:rPr>
              <w:t>5%</w:t>
            </w:r>
          </w:p>
        </w:tc>
        <w:tc>
          <w:tcPr>
            <w:tcW w:w="1060" w:type="dxa"/>
            <w:vAlign w:val="bottom"/>
            <w:tcBorders>
              <w:bottom w:val="single" w:sz="8" w:color="DCDDDE"/>
            </w:tcBorders>
          </w:tcPr>
          <w:p>
            <w:pPr>
              <w:jc w:val="right"/>
              <w:ind w:right="268"/>
              <w:spacing w:after="0"/>
              <w:rPr>
                <w:sz w:val="20"/>
                <w:szCs w:val="20"/>
                <w:color w:val="auto"/>
              </w:rPr>
            </w:pPr>
            <w:r>
              <w:rPr>
                <w:rFonts w:ascii="Arial" w:cs="Arial" w:eastAsia="Arial" w:hAnsi="Arial"/>
                <w:sz w:val="14"/>
                <w:szCs w:val="14"/>
                <w:color w:val="auto"/>
              </w:rPr>
              <w:t>13%</w:t>
            </w:r>
          </w:p>
        </w:tc>
      </w:tr>
      <w:tr>
        <w:trPr>
          <w:trHeight w:val="209"/>
        </w:trPr>
        <w:tc>
          <w:tcPr>
            <w:tcW w:w="314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Net Income (in billions)</w:t>
            </w:r>
          </w:p>
        </w:tc>
        <w:tc>
          <w:tcPr>
            <w:tcW w:w="1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15.1</w:t>
            </w:r>
          </w:p>
        </w:tc>
        <w:tc>
          <w:tcPr>
            <w:tcW w:w="90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4.9</w:t>
            </w:r>
          </w:p>
        </w:tc>
        <w:tc>
          <w:tcPr>
            <w:tcW w:w="8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13.8</w:t>
            </w:r>
          </w:p>
        </w:tc>
        <w:tc>
          <w:tcPr>
            <w:tcW w:w="8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10.7</w:t>
            </w:r>
          </w:p>
        </w:tc>
        <w:tc>
          <w:tcPr>
            <w:tcW w:w="1080" w:type="dxa"/>
            <w:vAlign w:val="bottom"/>
            <w:tcBorders>
              <w:bottom w:val="single" w:sz="8" w:color="DCDDDE"/>
            </w:tcBorders>
          </w:tcPr>
          <w:p>
            <w:pPr>
              <w:jc w:val="right"/>
              <w:ind w:right="188"/>
              <w:spacing w:after="0"/>
              <w:rPr>
                <w:sz w:val="20"/>
                <w:szCs w:val="20"/>
                <w:color w:val="auto"/>
              </w:rPr>
            </w:pPr>
            <w:r>
              <w:rPr>
                <w:rFonts w:ascii="Arial" w:cs="Arial" w:eastAsia="Arial" w:hAnsi="Arial"/>
                <w:sz w:val="14"/>
                <w:szCs w:val="14"/>
                <w:color w:val="auto"/>
              </w:rPr>
              <w:t>208%</w:t>
            </w:r>
          </w:p>
        </w:tc>
        <w:tc>
          <w:tcPr>
            <w:tcW w:w="1140" w:type="dxa"/>
            <w:vAlign w:val="bottom"/>
            <w:tcBorders>
              <w:bottom w:val="single" w:sz="8" w:color="DCDDDE"/>
            </w:tcBorders>
          </w:tcPr>
          <w:p>
            <w:pPr>
              <w:jc w:val="right"/>
              <w:ind w:right="288"/>
              <w:spacing w:after="0"/>
              <w:rPr>
                <w:sz w:val="20"/>
                <w:szCs w:val="20"/>
                <w:color w:val="auto"/>
              </w:rPr>
            </w:pPr>
            <w:r>
              <w:rPr>
                <w:rFonts w:ascii="Arial" w:cs="Arial" w:eastAsia="Arial" w:hAnsi="Arial"/>
                <w:sz w:val="14"/>
                <w:szCs w:val="14"/>
                <w:color w:val="auto"/>
              </w:rPr>
              <w:t>(64)%</w:t>
            </w:r>
          </w:p>
        </w:tc>
        <w:tc>
          <w:tcPr>
            <w:tcW w:w="1060" w:type="dxa"/>
            <w:vAlign w:val="bottom"/>
            <w:tcBorders>
              <w:bottom w:val="single" w:sz="8" w:color="DCDDDE"/>
            </w:tcBorders>
          </w:tcPr>
          <w:p>
            <w:pPr>
              <w:jc w:val="right"/>
              <w:ind w:right="268"/>
              <w:spacing w:after="0"/>
              <w:rPr>
                <w:sz w:val="20"/>
                <w:szCs w:val="20"/>
                <w:color w:val="auto"/>
              </w:rPr>
            </w:pPr>
            <w:r>
              <w:rPr>
                <w:rFonts w:ascii="Arial" w:cs="Arial" w:eastAsia="Arial" w:hAnsi="Arial"/>
                <w:sz w:val="14"/>
                <w:szCs w:val="14"/>
                <w:color w:val="auto"/>
              </w:rPr>
              <w:t>29%</w:t>
            </w:r>
          </w:p>
        </w:tc>
      </w:tr>
      <w:tr>
        <w:trPr>
          <w:trHeight w:val="174"/>
        </w:trPr>
        <w:tc>
          <w:tcPr>
            <w:tcW w:w="3140" w:type="dxa"/>
            <w:vAlign w:val="bottom"/>
          </w:tcPr>
          <w:p>
            <w:pPr>
              <w:ind w:left="80"/>
              <w:spacing w:after="0"/>
              <w:rPr>
                <w:sz w:val="20"/>
                <w:szCs w:val="20"/>
                <w:color w:val="auto"/>
              </w:rPr>
            </w:pPr>
            <w:r>
              <w:rPr>
                <w:rFonts w:ascii="Arial" w:cs="Arial" w:eastAsia="Arial" w:hAnsi="Arial"/>
                <w:sz w:val="14"/>
                <w:szCs w:val="14"/>
                <w:b w:val="1"/>
                <w:bCs w:val="1"/>
                <w:color w:val="auto"/>
              </w:rPr>
              <w:t>Company’s Cumulative</w:t>
            </w:r>
          </w:p>
        </w:tc>
        <w:tc>
          <w:tcPr>
            <w:tcW w:w="1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7"/>
        </w:trPr>
        <w:tc>
          <w:tcPr>
            <w:tcW w:w="3140" w:type="dxa"/>
            <w:vAlign w:val="bottom"/>
            <w:tcBorders>
              <w:bottom w:val="single" w:sz="8" w:color="DCDDDE"/>
            </w:tcBorders>
          </w:tcPr>
          <w:p>
            <w:pPr>
              <w:ind w:left="80"/>
              <w:spacing w:after="0"/>
              <w:rPr>
                <w:sz w:val="20"/>
                <w:szCs w:val="20"/>
                <w:color w:val="auto"/>
              </w:rPr>
            </w:pPr>
            <w:r>
              <w:rPr>
                <w:rFonts w:ascii="Arial" w:cs="Arial" w:eastAsia="Arial" w:hAnsi="Arial"/>
                <w:sz w:val="14"/>
                <w:szCs w:val="14"/>
                <w:b w:val="1"/>
                <w:bCs w:val="1"/>
                <w:color w:val="auto"/>
              </w:rPr>
              <w:t>TSR</w:t>
            </w:r>
          </w:p>
        </w:tc>
        <w:tc>
          <w:tcPr>
            <w:tcW w:w="198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107.23</w:t>
            </w:r>
          </w:p>
        </w:tc>
        <w:tc>
          <w:tcPr>
            <w:tcW w:w="900" w:type="dxa"/>
            <w:vAlign w:val="bottom"/>
            <w:tcBorders>
              <w:bottom w:val="single" w:sz="8" w:color="DCDDDE"/>
            </w:tcBorders>
          </w:tcPr>
          <w:p>
            <w:pPr>
              <w:jc w:val="right"/>
              <w:ind w:right="68"/>
              <w:spacing w:after="0"/>
              <w:rPr>
                <w:sz w:val="20"/>
                <w:szCs w:val="20"/>
                <w:color w:val="auto"/>
              </w:rPr>
            </w:pPr>
            <w:r>
              <w:rPr>
                <w:rFonts w:ascii="Arial" w:cs="Arial" w:eastAsia="Arial" w:hAnsi="Arial"/>
                <w:sz w:val="14"/>
                <w:szCs w:val="14"/>
                <w:color w:val="auto"/>
              </w:rPr>
              <w:t>83.09</w:t>
            </w:r>
          </w:p>
        </w:tc>
        <w:tc>
          <w:tcPr>
            <w:tcW w:w="82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116.51</w:t>
            </w:r>
          </w:p>
        </w:tc>
        <w:tc>
          <w:tcPr>
            <w:tcW w:w="840" w:type="dxa"/>
            <w:vAlign w:val="bottom"/>
            <w:tcBorders>
              <w:bottom w:val="single" w:sz="8" w:color="DCDDDE"/>
            </w:tcBorders>
          </w:tcPr>
          <w:p>
            <w:pPr>
              <w:jc w:val="right"/>
              <w:spacing w:after="0"/>
              <w:rPr>
                <w:sz w:val="20"/>
                <w:szCs w:val="20"/>
                <w:color w:val="auto"/>
              </w:rPr>
            </w:pPr>
            <w:r>
              <w:rPr>
                <w:rFonts w:ascii="Arial" w:cs="Arial" w:eastAsia="Arial" w:hAnsi="Arial"/>
                <w:sz w:val="14"/>
                <w:szCs w:val="14"/>
                <w:color w:val="auto"/>
              </w:rPr>
              <w:t>119.16</w:t>
            </w:r>
          </w:p>
        </w:tc>
        <w:tc>
          <w:tcPr>
            <w:tcW w:w="1080" w:type="dxa"/>
            <w:vAlign w:val="bottom"/>
            <w:tcBorders>
              <w:bottom w:val="single" w:sz="8" w:color="DCDDDE"/>
            </w:tcBorders>
          </w:tcPr>
          <w:p>
            <w:pPr>
              <w:jc w:val="right"/>
              <w:ind w:right="188"/>
              <w:spacing w:after="0"/>
              <w:rPr>
                <w:sz w:val="20"/>
                <w:szCs w:val="20"/>
                <w:color w:val="auto"/>
              </w:rPr>
            </w:pPr>
            <w:r>
              <w:rPr>
                <w:rFonts w:ascii="Arial" w:cs="Arial" w:eastAsia="Arial" w:hAnsi="Arial"/>
                <w:sz w:val="14"/>
                <w:szCs w:val="14"/>
                <w:color w:val="auto"/>
              </w:rPr>
              <w:t>29%</w:t>
            </w:r>
          </w:p>
        </w:tc>
        <w:tc>
          <w:tcPr>
            <w:tcW w:w="1140" w:type="dxa"/>
            <w:vAlign w:val="bottom"/>
            <w:tcBorders>
              <w:bottom w:val="single" w:sz="8" w:color="DCDDDE"/>
            </w:tcBorders>
          </w:tcPr>
          <w:p>
            <w:pPr>
              <w:jc w:val="right"/>
              <w:ind w:right="288"/>
              <w:spacing w:after="0"/>
              <w:rPr>
                <w:sz w:val="20"/>
                <w:szCs w:val="20"/>
                <w:color w:val="auto"/>
              </w:rPr>
            </w:pPr>
            <w:r>
              <w:rPr>
                <w:rFonts w:ascii="Arial" w:cs="Arial" w:eastAsia="Arial" w:hAnsi="Arial"/>
                <w:sz w:val="14"/>
                <w:szCs w:val="14"/>
                <w:color w:val="auto"/>
              </w:rPr>
              <w:t>(29)%</w:t>
            </w:r>
          </w:p>
        </w:tc>
        <w:tc>
          <w:tcPr>
            <w:tcW w:w="1060" w:type="dxa"/>
            <w:vAlign w:val="bottom"/>
            <w:tcBorders>
              <w:bottom w:val="single" w:sz="8" w:color="DCDDDE"/>
            </w:tcBorders>
          </w:tcPr>
          <w:p>
            <w:pPr>
              <w:jc w:val="right"/>
              <w:ind w:right="228"/>
              <w:spacing w:after="0"/>
              <w:rPr>
                <w:sz w:val="20"/>
                <w:szCs w:val="20"/>
                <w:color w:val="auto"/>
              </w:rPr>
            </w:pPr>
            <w:r>
              <w:rPr>
                <w:rFonts w:ascii="Arial" w:cs="Arial" w:eastAsia="Arial" w:hAnsi="Arial"/>
                <w:sz w:val="14"/>
                <w:szCs w:val="14"/>
                <w:color w:val="auto"/>
              </w:rPr>
              <w:t>(2)%</w:t>
            </w:r>
          </w:p>
        </w:tc>
      </w:tr>
      <w:tr>
        <w:trPr>
          <w:trHeight w:val="174"/>
        </w:trPr>
        <w:tc>
          <w:tcPr>
            <w:tcW w:w="3140" w:type="dxa"/>
            <w:vAlign w:val="bottom"/>
          </w:tcPr>
          <w:p>
            <w:pPr>
              <w:ind w:left="80"/>
              <w:spacing w:after="0"/>
              <w:rPr>
                <w:sz w:val="20"/>
                <w:szCs w:val="20"/>
                <w:color w:val="auto"/>
              </w:rPr>
            </w:pPr>
            <w:r>
              <w:rPr>
                <w:rFonts w:ascii="Arial" w:cs="Arial" w:eastAsia="Arial" w:hAnsi="Arial"/>
                <w:sz w:val="14"/>
                <w:szCs w:val="14"/>
                <w:b w:val="1"/>
                <w:bCs w:val="1"/>
                <w:color w:val="auto"/>
              </w:rPr>
              <w:t>Peer Group Cumulative</w:t>
            </w:r>
          </w:p>
        </w:tc>
        <w:tc>
          <w:tcPr>
            <w:tcW w:w="1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7"/>
        </w:trPr>
        <w:tc>
          <w:tcPr>
            <w:tcW w:w="31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TSR</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86.75</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79.14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111.90</w:t>
            </w: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w:t>
            </w: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(23)%</w:t>
            </w: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(8)%</w:t>
            </w:r>
          </w:p>
        </w:tc>
      </w:tr>
    </w:tbl>
    <w:p>
      <w:pPr>
        <w:spacing w:after="0" w:line="50" w:lineRule="exact"/>
        <w:rPr>
          <w:sz w:val="20"/>
          <w:szCs w:val="20"/>
          <w:color w:val="auto"/>
        </w:rPr>
      </w:pPr>
    </w:p>
    <w:p>
      <w:pPr>
        <w:ind w:left="580" w:hanging="302"/>
        <w:spacing w:after="0"/>
        <w:tabs>
          <w:tab w:leader="none" w:pos="58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 xml:space="preserve">Reconciliations of non-GAAP financial metrics to GAAP are set forth in </w:t>
      </w:r>
      <w:r>
        <w:rPr>
          <w:rFonts w:ascii="Arial" w:cs="Arial" w:eastAsia="Arial" w:hAnsi="Arial"/>
          <w:sz w:val="15"/>
          <w:szCs w:val="15"/>
          <w:u w:val="single" w:color="auto"/>
          <w:color w:val="auto"/>
        </w:rPr>
        <w:t>Appendix A</w:t>
      </w:r>
      <w:r>
        <w:rPr>
          <w:rFonts w:ascii="Arial" w:cs="Arial" w:eastAsia="Arial" w:hAnsi="Arial"/>
          <w:sz w:val="15"/>
          <w:szCs w:val="15"/>
          <w:color w:val="auto"/>
        </w:rPr>
        <w:t>.</w:t>
      </w:r>
    </w:p>
    <w:p>
      <w:pPr>
        <w:spacing w:after="0" w:line="57" w:lineRule="exact"/>
        <w:rPr>
          <w:sz w:val="20"/>
          <w:szCs w:val="20"/>
          <w:color w:val="auto"/>
        </w:rPr>
      </w:pPr>
    </w:p>
    <w:p>
      <w:pPr>
        <w:ind w:left="580" w:right="560" w:hanging="302"/>
        <w:spacing w:after="0" w:line="264" w:lineRule="auto"/>
        <w:tabs>
          <w:tab w:leader="none" w:pos="58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This percentage change is not considered meaningful, given it compares a negative amount in 2022 against a positive amount in 2023. Percentage is calculated comparing the total change to the absolute value of the prior year amount.</w:t>
      </w:r>
    </w:p>
    <w:p>
      <w:pPr>
        <w:spacing w:after="0" w:line="12" w:lineRule="exact"/>
        <w:rPr>
          <w:sz w:val="20"/>
          <w:szCs w:val="20"/>
          <w:color w:val="auto"/>
        </w:rPr>
      </w:pPr>
    </w:p>
    <w:p>
      <w:pPr>
        <w:ind w:left="280" w:right="200"/>
        <w:spacing w:after="0" w:line="244" w:lineRule="auto"/>
        <w:rPr>
          <w:sz w:val="20"/>
          <w:szCs w:val="20"/>
          <w:color w:val="auto"/>
        </w:rPr>
      </w:pPr>
      <w:r>
        <w:rPr>
          <w:rFonts w:ascii="Arial" w:cs="Arial" w:eastAsia="Arial" w:hAnsi="Arial"/>
          <w:sz w:val="15"/>
          <w:szCs w:val="15"/>
          <w:color w:val="auto"/>
        </w:rPr>
        <w:t>For a discussion of the impact of Adjusted EBITDA on the amounts of the 2023 annual cash bonus received by our NEOs, please refer to “Compensation Decisions – Annual Cash Bonus” above on page 31 (and with respect to 2020, 2021 and 2022, please refer to pages 37-40 of our 2021 proxy statement, pages 35-39 of our 2022 proxy statement and pages 44-47 of our 2023 proxy statement for similar discussions).</w:t>
      </w:r>
    </w:p>
    <w:p>
      <w:pPr>
        <w:spacing w:after="0" w:line="41" w:lineRule="exact"/>
        <w:rPr>
          <w:sz w:val="20"/>
          <w:szCs w:val="20"/>
          <w:color w:val="auto"/>
        </w:rPr>
      </w:pPr>
    </w:p>
    <w:p>
      <w:pPr>
        <w:ind w:left="280"/>
        <w:spacing w:after="0" w:line="264" w:lineRule="auto"/>
        <w:rPr>
          <w:sz w:val="20"/>
          <w:szCs w:val="20"/>
          <w:color w:val="auto"/>
        </w:rPr>
      </w:pPr>
      <w:r>
        <w:rPr>
          <w:rFonts w:ascii="Arial" w:cs="Arial" w:eastAsia="Arial" w:hAnsi="Arial"/>
          <w:sz w:val="15"/>
          <w:szCs w:val="15"/>
          <w:color w:val="auto"/>
        </w:rPr>
        <w:t>Net Income is not used in the design of our executive compensation program. As a result, it does not directly impact the amount of compensation “actually paid” to our NEOs.</w:t>
      </w:r>
    </w:p>
    <w:p>
      <w:pPr>
        <w:spacing w:after="0" w:line="12" w:lineRule="exact"/>
        <w:rPr>
          <w:sz w:val="20"/>
          <w:szCs w:val="20"/>
          <w:color w:val="auto"/>
        </w:rPr>
      </w:pPr>
    </w:p>
    <w:p>
      <w:pPr>
        <w:ind w:left="280"/>
        <w:spacing w:after="0" w:line="228" w:lineRule="auto"/>
        <w:rPr>
          <w:sz w:val="20"/>
          <w:szCs w:val="20"/>
          <w:color w:val="auto"/>
        </w:rPr>
      </w:pPr>
      <w:r>
        <w:rPr>
          <w:rFonts w:ascii="Arial" w:cs="Arial" w:eastAsia="Arial" w:hAnsi="Arial"/>
          <w:sz w:val="15"/>
          <w:szCs w:val="15"/>
          <w:color w:val="auto"/>
        </w:rPr>
        <w:t>TSR, which can be affected by external factors such as economic and market conditions beyond our NEOs’ control, impacts the amount of equity compensation “actually paid” to our NEOs. Because a significant portion of the compensation “actually paid” to our NEOs is in the form of PSUs that vest over three years (in the case of PSUs granted in 2021 and subsequent years) and five years (in the case of grants made in 2019 and 2020), and stock options that vest over five years (in the case of stock options granted in 2021 and subsequent years) and 9.5 years (in the case of stock options granted between 2012-2020), the ultimate value of such compensation “actually paid” to our NEOs in respect of equity awards is inherently tied to our stock price. TSR is also used as a modifier to the level of attainment of the performance goals applicable to the PSUs granted to our NEOs in 2021 and subsequent years, as further described in “Compensation Decisions</w:t>
      </w:r>
    </w:p>
    <w:p>
      <w:pPr>
        <w:spacing w:after="0" w:line="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 Equity-Based Incentive Compensation – PSUs.”</w:t>
      </w:r>
    </w:p>
    <w:p>
      <w:pPr>
        <w:spacing w:after="0" w:line="43" w:lineRule="exact"/>
        <w:rPr>
          <w:sz w:val="20"/>
          <w:szCs w:val="20"/>
          <w:color w:val="auto"/>
        </w:rPr>
      </w:pPr>
    </w:p>
    <w:p>
      <w:pPr>
        <w:ind w:left="320" w:right="80" w:hanging="312"/>
        <w:spacing w:after="0" w:line="264" w:lineRule="auto"/>
        <w:tabs>
          <w:tab w:leader="none" w:pos="320" w:val="left"/>
        </w:tabs>
        <w:numPr>
          <w:ilvl w:val="0"/>
          <w:numId w:val="105"/>
        </w:numPr>
        <w:rPr>
          <w:rFonts w:ascii="Arial" w:cs="Arial" w:eastAsia="Arial" w:hAnsi="Arial"/>
          <w:sz w:val="13"/>
          <w:szCs w:val="13"/>
          <w:color w:val="auto"/>
        </w:rPr>
      </w:pPr>
      <w:r>
        <w:rPr>
          <w:rFonts w:ascii="Arial" w:cs="Arial" w:eastAsia="Arial" w:hAnsi="Arial"/>
          <w:sz w:val="15"/>
          <w:szCs w:val="15"/>
          <w:color w:val="auto"/>
        </w:rPr>
        <w:t>The following table sets forth an unranked list of the financial performance measures “most important” in 2023 for linking our NEOs’ compensation “actually paid” to company performance, which are the financial measures used in our annual cash bonus and long-term incentive program, as specifically listed below.</w:t>
      </w:r>
    </w:p>
    <w:p>
      <w:pPr>
        <w:spacing w:after="0" w:line="10" w:lineRule="exact"/>
        <w:rPr>
          <w:sz w:val="20"/>
          <w:szCs w:val="20"/>
          <w:color w:val="auto"/>
        </w:rPr>
      </w:pPr>
    </w:p>
    <w:p>
      <w:pPr>
        <w:ind w:left="2120"/>
        <w:spacing w:after="0"/>
        <w:rPr>
          <w:sz w:val="20"/>
          <w:szCs w:val="20"/>
          <w:color w:val="auto"/>
        </w:rPr>
      </w:pPr>
      <w:r>
        <w:rPr>
          <w:rFonts w:ascii="Arial" w:cs="Arial" w:eastAsia="Arial" w:hAnsi="Arial"/>
          <w:sz w:val="15"/>
          <w:szCs w:val="15"/>
          <w:b w:val="1"/>
          <w:bCs w:val="1"/>
          <w:color w:val="auto"/>
        </w:rPr>
        <w:t>Performance Measure</w:t>
      </w:r>
    </w:p>
    <w:p>
      <w:pPr>
        <w:spacing w:after="0" w:line="59"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Adjusted EBITDA</w:t>
      </w:r>
    </w:p>
    <w:p>
      <w:pPr>
        <w:spacing w:after="0" w:line="71"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Free Cash Flow</w:t>
      </w:r>
    </w:p>
    <w:p>
      <w:pPr>
        <w:spacing w:after="0" w:line="57"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Revenue</w:t>
      </w:r>
    </w:p>
    <w:p>
      <w:pPr>
        <w:spacing w:after="0" w:line="57"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ROIC</w:t>
      </w:r>
    </w:p>
    <w:p>
      <w:pPr>
        <w:spacing w:after="0" w:line="71" w:lineRule="exact"/>
        <w:rPr>
          <w:sz w:val="20"/>
          <w:szCs w:val="20"/>
          <w:color w:val="auto"/>
        </w:rPr>
      </w:pPr>
    </w:p>
    <w:p>
      <w:pPr>
        <w:ind w:left="2120"/>
        <w:spacing w:after="0"/>
        <w:rPr>
          <w:sz w:val="20"/>
          <w:szCs w:val="20"/>
          <w:color w:val="auto"/>
        </w:rPr>
      </w:pPr>
      <w:r>
        <w:rPr>
          <w:rFonts w:ascii="Arial" w:cs="Arial" w:eastAsia="Arial" w:hAnsi="Arial"/>
          <w:sz w:val="15"/>
          <w:szCs w:val="15"/>
          <w:color w:val="auto"/>
        </w:rPr>
        <w:t>Adjusted EPS growth (relative to S&amp;P 100 EPS)</w:t>
      </w:r>
    </w:p>
    <w:p>
      <w:pPr>
        <w:spacing w:after="0" w:line="57" w:lineRule="exact"/>
        <w:rPr>
          <w:sz w:val="20"/>
          <w:szCs w:val="20"/>
          <w:color w:val="auto"/>
        </w:rPr>
      </w:pPr>
    </w:p>
    <w:p>
      <w:pPr>
        <w:ind w:left="320" w:right="40"/>
        <w:spacing w:after="0" w:line="234" w:lineRule="auto"/>
        <w:rPr>
          <w:sz w:val="20"/>
          <w:szCs w:val="20"/>
          <w:color w:val="auto"/>
        </w:rPr>
      </w:pPr>
      <w:r>
        <w:rPr>
          <w:rFonts w:ascii="Arial" w:cs="Arial" w:eastAsia="Arial" w:hAnsi="Arial"/>
          <w:sz w:val="15"/>
          <w:szCs w:val="15"/>
          <w:color w:val="auto"/>
        </w:rPr>
        <w:t>These financial quantitative measures generally reflect those used internally to measure our performance and externally to report to investors, and we believe that, taken together, they provide a holistic measure of Company growth, shareholder value and overall financial performance. We do not consider any one of the above performance measures to be the single most important financial measure for our company or executive compensation design. However, for purposes of compiling the above table in compliance with the SEC rules, which require us to present one of these most important measures, we are presenting Adjusted EBITDA. For more detail on these measures and why we believe that they are important in structuring our incentive compensation programs and linking pay with performance, please see the discussion under “Our Approach to Compensation” on page 29.</w:t>
      </w:r>
    </w:p>
    <w:p>
      <w:pPr>
        <w:spacing w:after="0" w:line="15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Shareholder Proposal</w:t>
      </w:r>
    </w:p>
    <w:p>
      <w:pPr>
        <w:spacing w:after="0" w:line="23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We received the following shareholder proposal. To be voted upon at our 2024 annual meeting of shareholders, the proponents, or a representative of the proponents qualified under Pennsylvania law, must be present at the meeting to present the proposal. We provide the name and address of the proponent below. We will promptly supply the number of shares of our Class A common stock or, if not available, the market value of our Class A common stock held by the proponents, upon oral or written request to the Secretary.</w:t>
      </w:r>
    </w:p>
    <w:p>
      <w:pPr>
        <w:spacing w:after="0" w:line="1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All statements contained in the shareholder proposal and supporting statement are the sole responsibility of the proponent. Other than adding a brief title, we have included the text of the proposal and the shareholder’s supporting statement. Following the proposal, we explain why our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it.</w:t>
      </w:r>
    </w:p>
    <w:p>
      <w:pPr>
        <w:spacing w:after="0" w:line="163" w:lineRule="exact"/>
        <w:rPr>
          <w:sz w:val="20"/>
          <w:szCs w:val="20"/>
          <w:color w:val="auto"/>
        </w:rPr>
      </w:pPr>
    </w:p>
    <w:p>
      <w:pPr>
        <w:ind w:left="360" w:hanging="352"/>
        <w:spacing w:after="0"/>
        <w:tabs>
          <w:tab w:leader="none" w:pos="360" w:val="left"/>
        </w:tabs>
        <w:numPr>
          <w:ilvl w:val="0"/>
          <w:numId w:val="10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891540" cy="291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91540" cy="291465"/>
                    </a:xfrm>
                    <a:prstGeom prst="rect">
                      <a:avLst/>
                    </a:prstGeom>
                    <a:noFill/>
                  </pic:spPr>
                </pic:pic>
              </a:graphicData>
            </a:graphic>
          </wp:anchor>
        </w:drawing>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FFFFFF"/>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058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190" w:lineRule="exact"/>
        <w:rPr>
          <w:sz w:val="20"/>
          <w:szCs w:val="20"/>
          <w:color w:val="auto"/>
        </w:rPr>
      </w:pPr>
    </w:p>
    <w:p>
      <w:pPr>
        <w:ind w:left="120" w:right="760"/>
        <w:spacing w:after="0" w:line="295" w:lineRule="auto"/>
        <w:rPr>
          <w:sz w:val="20"/>
          <w:szCs w:val="20"/>
          <w:color w:val="auto"/>
        </w:rPr>
      </w:pPr>
      <w:r>
        <w:rPr>
          <w:rFonts w:ascii="Arial" w:cs="Arial" w:eastAsia="Arial" w:hAnsi="Arial"/>
          <w:sz w:val="25"/>
          <w:szCs w:val="25"/>
          <w:b w:val="1"/>
          <w:bCs w:val="1"/>
          <w:color w:val="auto"/>
        </w:rPr>
        <w:t>Shareholder Proposal to Report on Political Expenditures Misalignment with Company Values</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Our Board unanimously recommends that shareholders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shareholder proposal.</w:t>
      </w:r>
    </w:p>
    <w:p>
      <w:pPr>
        <w:spacing w:after="0" w:line="200" w:lineRule="exact"/>
        <w:rPr>
          <w:sz w:val="20"/>
          <w:szCs w:val="20"/>
          <w:color w:val="auto"/>
        </w:rPr>
      </w:pPr>
    </w:p>
    <w:p>
      <w:pPr>
        <w:spacing w:after="0" w:line="268"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color w:val="auto"/>
        </w:rPr>
        <w:t>The following proposal and supporting statement were submitted by John Silva and Shana Weiss, c/o Arjuna Capital, 13 Elm Street, Manchester, MA 01944.</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00A0DD"/>
        </w:rPr>
        <w:t>Supporting Statement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Political Expenditures Misalignment with Company Values</w:t>
      </w:r>
    </w:p>
    <w:p>
      <w:pPr>
        <w:spacing w:after="0" w:line="212"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Comcast Corporation (“Comcast”) is one of the nation’s largest corporate political spenders. In 2022, the Company contributed</w:t>
      </w:r>
      <w:r>
        <w:rPr>
          <w:rFonts w:ascii="Arial" w:cs="Arial" w:eastAsia="Arial" w:hAnsi="Arial"/>
          <w:sz w:val="18"/>
          <w:szCs w:val="18"/>
          <w:b w:val="1"/>
          <w:bCs w:val="1"/>
          <w:color w:val="auto"/>
        </w:rPr>
        <w:t xml:space="preserve"> </w:t>
      </w:r>
      <w:r>
        <w:rPr>
          <w:rFonts w:ascii="Arial" w:cs="Arial" w:eastAsia="Arial" w:hAnsi="Arial"/>
          <w:sz w:val="18"/>
          <w:szCs w:val="18"/>
          <w:color w:val="auto"/>
        </w:rPr>
        <w:t>about 14 million dollars to lobbying, 9 million dollars to political contributions, and 14 million dollars to trade associations and nonprofit organizations.</w:t>
      </w:r>
      <w:r>
        <w:rPr>
          <w:rFonts w:ascii="Arial" w:cs="Arial" w:eastAsia="Arial" w:hAnsi="Arial"/>
          <w:sz w:val="29"/>
          <w:szCs w:val="29"/>
          <w:color w:val="auto"/>
          <w:vertAlign w:val="superscript"/>
        </w:rPr>
        <w:t>1</w:t>
      </w:r>
    </w:p>
    <w:p>
      <w:pPr>
        <w:spacing w:after="0" w:line="32" w:lineRule="exact"/>
        <w:rPr>
          <w:sz w:val="20"/>
          <w:szCs w:val="20"/>
          <w:color w:val="auto"/>
        </w:rPr>
      </w:pPr>
    </w:p>
    <w:p>
      <w:pPr>
        <w:ind w:right="120"/>
        <w:spacing w:after="0" w:line="267" w:lineRule="auto"/>
        <w:rPr>
          <w:sz w:val="20"/>
          <w:szCs w:val="20"/>
          <w:color w:val="auto"/>
        </w:rPr>
      </w:pPr>
      <w:r>
        <w:rPr>
          <w:rFonts w:ascii="Arial" w:cs="Arial" w:eastAsia="Arial" w:hAnsi="Arial"/>
          <w:sz w:val="18"/>
          <w:szCs w:val="18"/>
          <w:color w:val="auto"/>
        </w:rPr>
        <w:t>Comcast states that its PAC Board and Vice President of Political Affairs review political contributions against criterion listed in its Statement on Political and Trade Association Activity. The Company states its contributions are bipartisan, and that “no one criterion or public policy position determines whether a candidate receives a contribution.”</w:t>
      </w:r>
      <w:r>
        <w:rPr>
          <w:rFonts w:ascii="Arial" w:cs="Arial" w:eastAsia="Arial" w:hAnsi="Arial"/>
          <w:sz w:val="29"/>
          <w:szCs w:val="29"/>
          <w:color w:val="auto"/>
          <w:vertAlign w:val="superscript"/>
        </w:rPr>
        <w:t>2</w:t>
      </w:r>
    </w:p>
    <w:p>
      <w:pPr>
        <w:spacing w:after="0" w:line="3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Given the sheer volume of Comcast’s political spending and because spending decisions are not based solely on one public policy decision, it is crucial Comcast provides greater transparency into its political spending decision-making and regularly monitors for corporate values alignment. Especially in the current environment of increased political scrutiny, transparency into political spending alignment provides assurance the Company is adhering to its stated business interests and values.</w:t>
      </w:r>
    </w:p>
    <w:p>
      <w:pPr>
        <w:spacing w:after="0" w:line="17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Inconsistencies in Comcast’s stated political spending criterion and contributions may pose significant risks to the Company’s business and reputation. For example, Comcast states it supports candidates that “respect democracy and the rule of law.” Yet, Comcast supports politicians who advanced fictitious stolen 2020 election narratives. Continued support of these politicians may contribute to a denigration of the United States’s political stability, ultimately jeopardizing Comcast’s business interests.</w:t>
      </w:r>
    </w:p>
    <w:p>
      <w:pPr>
        <w:spacing w:after="0" w:line="17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Additionally, Comcast contributes to candidates who “support policies that make it easier to hire and retain a skilled workforce.” Yet, Comcast contributed 8 million to political recipients working to weaken reproductive health care, which undermines the Company’s ability to attract and retain female talent within restrictive states.</w:t>
      </w:r>
    </w:p>
    <w:p>
      <w:pPr>
        <w:spacing w:after="0" w:line="169"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The Center for Political Accountability’s Model Code of Conduct advises companies to conduct a political spending misalignment review to mitigate reputational and business risks.</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Comcast should establish transparent reporting on political spending misalignment so shareholders have greater insight into how the Company balances competing interests when making political contributions.</w:t>
      </w:r>
    </w:p>
    <w:p>
      <w:pPr>
        <w:spacing w:after="0" w:line="182"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Comcast publish an annual report, at reasonable expense, analyzing the congruence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political and electioneering expenditures during the preceding year against publicly stated company values and policies, listing and explaining any trends of incongruent expenditures, and stating whether the Company has made, or plans to make, changes in contributions or communications to candidates as a result of identified incongruencies.</w:t>
      </w:r>
    </w:p>
    <w:p>
      <w:pPr>
        <w:spacing w:after="0" w:line="17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Proponents recommend, at management discretion, Comcast report metrics illuminating the degree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political contributions align with stated values and policy priorities year over year, and present such metrics in the aggregate. Proponents recommend the report contain management’s analysis of risks to the Company’s brand or reputation associated with expenditures in conflict with publicly stated company values. “Electioneering expenditures” means spending, from the corporate treasury and from its PACs, during the year, directly or through third parties, which are reasonably susceptible to interpretation as being in support of or in opposition to a specific candidate.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64" w:lineRule="exact"/>
        <w:rPr>
          <w:sz w:val="20"/>
          <w:szCs w:val="20"/>
          <w:color w:val="auto"/>
        </w:rPr>
      </w:pPr>
    </w:p>
    <w:p>
      <w:pPr>
        <w:ind w:left="220" w:hanging="212"/>
        <w:spacing w:after="0"/>
        <w:tabs>
          <w:tab w:leader="none" w:pos="220" w:val="left"/>
        </w:tabs>
        <w:numPr>
          <w:ilvl w:val="0"/>
          <w:numId w:val="107"/>
        </w:numPr>
        <w:rPr>
          <w:rFonts w:ascii="Arial" w:cs="Arial" w:eastAsia="Arial" w:hAnsi="Arial"/>
          <w:sz w:val="13"/>
          <w:szCs w:val="13"/>
          <w:i w:val="1"/>
          <w:iCs w:val="1"/>
          <w:color w:val="auto"/>
        </w:rPr>
      </w:pPr>
      <w:r>
        <w:rPr>
          <w:rFonts w:ascii="Arial" w:cs="Arial" w:eastAsia="Arial" w:hAnsi="Arial"/>
          <w:sz w:val="15"/>
          <w:szCs w:val="15"/>
          <w:i w:val="1"/>
          <w:iCs w:val="1"/>
          <w:color w:val="auto"/>
        </w:rPr>
        <w:t>https://corporate.comcast.com/impact/values-integrity/integrity/activity; https://www.opensecrets.org/federal-lobbying/clients/ summary?</w:t>
      </w:r>
    </w:p>
    <w:p>
      <w:pPr>
        <w:ind w:left="220"/>
        <w:spacing w:after="0" w:line="230" w:lineRule="auto"/>
        <w:rPr>
          <w:sz w:val="20"/>
          <w:szCs w:val="20"/>
          <w:color w:val="auto"/>
        </w:rPr>
      </w:pPr>
      <w:r>
        <w:rPr>
          <w:rFonts w:ascii="Arial" w:cs="Arial" w:eastAsia="Arial" w:hAnsi="Arial"/>
          <w:sz w:val="15"/>
          <w:szCs w:val="15"/>
          <w:i w:val="1"/>
          <w:iCs w:val="1"/>
          <w:color w:val="auto"/>
        </w:rPr>
        <w:t>cycle=2022&amp;id=D000000461</w:t>
      </w:r>
    </w:p>
    <w:p>
      <w:pPr>
        <w:ind w:left="220" w:hanging="212"/>
        <w:spacing w:after="0"/>
        <w:tabs>
          <w:tab w:leader="none" w:pos="220" w:val="left"/>
        </w:tabs>
        <w:numPr>
          <w:ilvl w:val="0"/>
          <w:numId w:val="108"/>
        </w:numPr>
        <w:rPr>
          <w:rFonts w:ascii="Arial" w:cs="Arial" w:eastAsia="Arial" w:hAnsi="Arial"/>
          <w:sz w:val="13"/>
          <w:szCs w:val="13"/>
          <w:i w:val="1"/>
          <w:iCs w:val="1"/>
          <w:color w:val="auto"/>
        </w:rPr>
      </w:pPr>
      <w:r>
        <w:rPr>
          <w:rFonts w:ascii="Arial" w:cs="Arial" w:eastAsia="Arial" w:hAnsi="Arial"/>
          <w:sz w:val="15"/>
          <w:szCs w:val="15"/>
          <w:i w:val="1"/>
          <w:iCs w:val="1"/>
          <w:color w:val="auto"/>
        </w:rPr>
        <w:t>https://update.comcast.com/wp-content/uploads/sites/33/dlm_uploads/2023/04/Statement-on-Political-and-Trade-Association-Activities-April-5-2023.pdf</w:t>
      </w:r>
    </w:p>
    <w:p>
      <w:pPr>
        <w:spacing w:after="0" w:line="3" w:lineRule="exact"/>
        <w:rPr>
          <w:rFonts w:ascii="Arial" w:cs="Arial" w:eastAsia="Arial" w:hAnsi="Arial"/>
          <w:sz w:val="13"/>
          <w:szCs w:val="13"/>
          <w:i w:val="1"/>
          <w:iCs w:val="1"/>
          <w:color w:val="auto"/>
        </w:rPr>
      </w:pPr>
    </w:p>
    <w:p>
      <w:pPr>
        <w:spacing w:after="0"/>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3  </w:t>
      </w:r>
      <w:r>
        <w:rPr>
          <w:rFonts w:ascii="Arial" w:cs="Arial" w:eastAsia="Arial" w:hAnsi="Arial"/>
          <w:sz w:val="15"/>
          <w:szCs w:val="15"/>
          <w:i w:val="1"/>
          <w:iCs w:val="1"/>
          <w:color w:val="auto"/>
        </w:rPr>
        <w:t>https://www.politicalaccountability.net/wp-content/uploads/2022/06/CPA-Zicklin-Model-Code-of-Conduct-for-Corporate-Political-Spending.pdf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60" w:type="dxa"/>
            <w:vAlign w:val="bottom"/>
          </w:tcPr>
          <w:p>
            <w:pPr>
              <w:ind w:left="948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52</w:t>
            </w:r>
          </w:p>
        </w:tc>
      </w:tr>
      <w:tr>
        <w:trPr>
          <w:trHeight w:val="362"/>
        </w:trPr>
        <w:tc>
          <w:tcPr>
            <w:tcW w:w="10960" w:type="dxa"/>
            <w:vAlign w:val="bottom"/>
            <w:tcBorders>
              <w:bottom w:val="single" w:sz="8" w:color="A1A1A1"/>
            </w:tcBorders>
          </w:tcPr>
          <w:p>
            <w:pPr>
              <w:spacing w:after="0"/>
              <w:rPr>
                <w:sz w:val="24"/>
                <w:szCs w:val="24"/>
                <w:color w:val="auto"/>
              </w:rPr>
            </w:pPr>
          </w:p>
        </w:tc>
        <w:tc>
          <w:tcPr>
            <w:tcW w:w="28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00A0DD"/>
        </w:rPr>
        <w:t>Company Response to Shareholder Proposal</w:t>
      </w:r>
    </w:p>
    <w:p>
      <w:pPr>
        <w:spacing w:after="0" w:line="21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This proposal, in nearly identical form, appeared in our 2023 proxy statement, with over 80% of our shareholders voting against it. Our Board concluded then, and continues to believe now, that this proposal is not in the best interest of our shareholders as described below.</w:t>
      </w:r>
    </w:p>
    <w:p>
      <w:pPr>
        <w:spacing w:after="0" w:line="15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believe that it is both important and necessary to engage in the political process to protect our company, and ultimately our shareholders, particularly in light of the highly-regulated communications and media/entertainment industries in which we operate. Our current policies, practices and disclosures provide meaningful transparency and accountability with respect to our political activities – ranking us among companies with best-in-class transparency, as evidenced by our “Trendsetter” designation in the 2023 CPA-Zicklin Index. Moreover, our Board and management team have implemented robust governance processes and oversight of these matters.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proposal is misguided in its attempt to define our company’s ‘values’ by selectively highlighting statements and initiatives and drawing conclusions about perceived misalignment to those values. We contribute to a wide range of candidates across parties who appreciate the significance and complexity of the legislative and regulatory challenges confronting our business, and support public policy that promotes our business interests and free market principles. While business-specific issues are the primary drivers of our political contribution criteria, our political contributions are not incongruent with values that guide us as a company: having an entrepreneurial spirit, acting with integrity, having respect for others and giving back to our communities. Particularly when our own employees and customers throughout the country have a broad range of political and other beliefs, we believe that our measured, broad and bipartisan approach to political giving is consistent with both our business interests and values.</w:t>
      </w:r>
    </w:p>
    <w:p>
      <w:pPr>
        <w:spacing w:after="0" w:line="180"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 xml:space="preserve">As a result, our Board recommends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 as it will divert management attention and resources to produce an annual report that yields little incremental benefit in light of our existing robust policies, practices and disclosures.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Extensive public disclosure on political activities, including our political contributions</w:t>
      </w:r>
    </w:p>
    <w:p>
      <w:pPr>
        <w:spacing w:after="0" w:line="210"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 xml:space="preserve">Significant and detailed information with respect to our Government Affairs and political activities programs is set forth in our Statement on Political and Trade Association Activity (the “Statement”), which is available for review at </w:t>
      </w:r>
      <w:r>
        <w:rPr>
          <w:rFonts w:ascii="Arial" w:cs="Arial" w:eastAsia="Arial" w:hAnsi="Arial"/>
          <w:sz w:val="18"/>
          <w:szCs w:val="18"/>
          <w:i w:val="1"/>
          <w:iCs w:val="1"/>
          <w:color w:val="auto"/>
        </w:rPr>
        <w:t>https://corporate.comcast.com/values/integrity/activity</w:t>
      </w:r>
      <w:r>
        <w:rPr>
          <w:rFonts w:ascii="Arial" w:cs="Arial" w:eastAsia="Arial" w:hAnsi="Arial"/>
          <w:sz w:val="18"/>
          <w:szCs w:val="18"/>
          <w:color w:val="auto"/>
        </w:rPr>
        <w:t>. As noted in the Statement:</w:t>
      </w:r>
    </w:p>
    <w:p>
      <w:pPr>
        <w:spacing w:after="0" w:line="169" w:lineRule="exact"/>
        <w:rPr>
          <w:sz w:val="20"/>
          <w:szCs w:val="20"/>
          <w:color w:val="auto"/>
        </w:rPr>
      </w:pPr>
    </w:p>
    <w:p>
      <w:pPr>
        <w:ind w:left="260" w:right="320" w:hanging="252"/>
        <w:spacing w:after="0" w:line="253" w:lineRule="auto"/>
        <w:tabs>
          <w:tab w:leader="none" w:pos="260" w:val="left"/>
        </w:tabs>
        <w:numPr>
          <w:ilvl w:val="0"/>
          <w:numId w:val="109"/>
        </w:numPr>
        <w:rPr>
          <w:rFonts w:ascii="Arial" w:cs="Arial" w:eastAsia="Arial" w:hAnsi="Arial"/>
          <w:sz w:val="17"/>
          <w:szCs w:val="17"/>
          <w:color w:val="00A0DD"/>
        </w:rPr>
      </w:pPr>
      <w:r>
        <w:rPr>
          <w:rFonts w:ascii="Arial" w:cs="Arial" w:eastAsia="Arial" w:hAnsi="Arial"/>
          <w:sz w:val="18"/>
          <w:szCs w:val="18"/>
          <w:color w:val="auto"/>
        </w:rPr>
        <w:t>We provide a semi-annual report of our contributions to federal, state and local candidates, political parties, political committees, other political organizations exempt from federal income taxes under Section 527 of the Internal Revenue Code and ballot measure committees.</w:t>
      </w:r>
    </w:p>
    <w:p>
      <w:pPr>
        <w:spacing w:after="0" w:line="20" w:lineRule="exact"/>
        <w:rPr>
          <w:rFonts w:ascii="Arial" w:cs="Arial" w:eastAsia="Arial" w:hAnsi="Arial"/>
          <w:sz w:val="17"/>
          <w:szCs w:val="17"/>
          <w:color w:val="00A0DD"/>
        </w:rPr>
      </w:pPr>
    </w:p>
    <w:p>
      <w:pPr>
        <w:ind w:left="260" w:right="20" w:hanging="252"/>
        <w:spacing w:after="0" w:line="253" w:lineRule="auto"/>
        <w:tabs>
          <w:tab w:leader="none" w:pos="260" w:val="left"/>
        </w:tabs>
        <w:numPr>
          <w:ilvl w:val="0"/>
          <w:numId w:val="109"/>
        </w:numPr>
        <w:rPr>
          <w:rFonts w:ascii="Arial" w:cs="Arial" w:eastAsia="Arial" w:hAnsi="Arial"/>
          <w:sz w:val="17"/>
          <w:szCs w:val="17"/>
          <w:color w:val="00A0DD"/>
        </w:rPr>
      </w:pPr>
      <w:r>
        <w:rPr>
          <w:rFonts w:ascii="Arial" w:cs="Arial" w:eastAsia="Arial" w:hAnsi="Arial"/>
          <w:sz w:val="18"/>
          <w:szCs w:val="18"/>
          <w:color w:val="auto"/>
        </w:rPr>
        <w:t>We provide an annual report of trade organizations organized under Internal Revenue Code Sections 501(c)(6) and 501(c)(4) to which we contribute at least $50,000 per year, where a portion of the contributions is identified as used for nondeductible lobbying or political expenditures, as well as the nondeductible portion of the payments.</w:t>
      </w:r>
    </w:p>
    <w:p>
      <w:pPr>
        <w:spacing w:after="0" w:line="20" w:lineRule="exact"/>
        <w:rPr>
          <w:rFonts w:ascii="Arial" w:cs="Arial" w:eastAsia="Arial" w:hAnsi="Arial"/>
          <w:sz w:val="17"/>
          <w:szCs w:val="17"/>
          <w:color w:val="00A0DD"/>
        </w:rPr>
      </w:pPr>
    </w:p>
    <w:p>
      <w:pPr>
        <w:ind w:left="260" w:right="240" w:hanging="252"/>
        <w:spacing w:after="0" w:line="271" w:lineRule="auto"/>
        <w:tabs>
          <w:tab w:leader="none" w:pos="260" w:val="left"/>
        </w:tabs>
        <w:numPr>
          <w:ilvl w:val="0"/>
          <w:numId w:val="109"/>
        </w:numPr>
        <w:rPr>
          <w:rFonts w:ascii="Arial" w:cs="Arial" w:eastAsia="Arial" w:hAnsi="Arial"/>
          <w:sz w:val="17"/>
          <w:szCs w:val="17"/>
          <w:color w:val="00A0DD"/>
        </w:rPr>
      </w:pPr>
      <w:r>
        <w:rPr>
          <w:rFonts w:ascii="Arial" w:cs="Arial" w:eastAsia="Arial" w:hAnsi="Arial"/>
          <w:sz w:val="18"/>
          <w:szCs w:val="18"/>
          <w:color w:val="auto"/>
        </w:rPr>
        <w:t xml:space="preserve">Our federal advocacy disclosure reports filed with the U.S. Congress are available at </w:t>
      </w:r>
      <w:r>
        <w:rPr>
          <w:rFonts w:ascii="Arial" w:cs="Arial" w:eastAsia="Arial" w:hAnsi="Arial"/>
          <w:sz w:val="18"/>
          <w:szCs w:val="18"/>
          <w:i w:val="1"/>
          <w:iCs w:val="1"/>
          <w:color w:val="auto"/>
        </w:rPr>
        <w:t>http://disclosures.house.gov/ ld/ldsearch</w:t>
      </w:r>
      <w:r>
        <w:rPr>
          <w:rFonts w:ascii="Arial" w:cs="Arial" w:eastAsia="Arial" w:hAnsi="Arial"/>
          <w:sz w:val="18"/>
          <w:szCs w:val="18"/>
          <w:color w:val="auto"/>
        </w:rPr>
        <w:t>. We also file state and local lobbying reports according to state and local regulatory requirements, which are publicly available.</w:t>
      </w:r>
    </w:p>
    <w:p>
      <w:pPr>
        <w:spacing w:after="0" w:line="5" w:lineRule="exact"/>
        <w:rPr>
          <w:rFonts w:ascii="Arial" w:cs="Arial" w:eastAsia="Arial" w:hAnsi="Arial"/>
          <w:sz w:val="17"/>
          <w:szCs w:val="17"/>
          <w:color w:val="00A0DD"/>
        </w:rPr>
      </w:pPr>
    </w:p>
    <w:p>
      <w:pPr>
        <w:ind w:left="260" w:right="40" w:hanging="252"/>
        <w:spacing w:after="0" w:line="253" w:lineRule="auto"/>
        <w:tabs>
          <w:tab w:leader="none" w:pos="260" w:val="left"/>
        </w:tabs>
        <w:numPr>
          <w:ilvl w:val="0"/>
          <w:numId w:val="109"/>
        </w:numPr>
        <w:rPr>
          <w:rFonts w:ascii="Arial" w:cs="Arial" w:eastAsia="Arial" w:hAnsi="Arial"/>
          <w:sz w:val="17"/>
          <w:szCs w:val="17"/>
          <w:color w:val="00A0DD"/>
        </w:rPr>
      </w:pPr>
      <w:r>
        <w:rPr>
          <w:rFonts w:ascii="Arial" w:cs="Arial" w:eastAsia="Arial" w:hAnsi="Arial"/>
          <w:sz w:val="18"/>
          <w:szCs w:val="18"/>
          <w:color w:val="auto"/>
        </w:rPr>
        <w:t xml:space="preserve">We </w:t>
      </w:r>
      <w:r>
        <w:rPr>
          <w:rFonts w:ascii="Arial" w:cs="Arial" w:eastAsia="Arial" w:hAnsi="Arial"/>
          <w:sz w:val="18"/>
          <w:szCs w:val="18"/>
          <w:b w:val="1"/>
          <w:bCs w:val="1"/>
          <w:u w:val="single" w:color="auto"/>
          <w:color w:val="auto"/>
        </w:rPr>
        <w:t>do not</w:t>
      </w:r>
      <w:r>
        <w:rPr>
          <w:rFonts w:ascii="Arial" w:cs="Arial" w:eastAsia="Arial" w:hAnsi="Arial"/>
          <w:sz w:val="18"/>
          <w:szCs w:val="18"/>
          <w:color w:val="auto"/>
        </w:rPr>
        <w:t xml:space="preserve"> (either directly or through our corporate directors, officers or certain other senior executives) make independent expenditures or contribute to federal, state or local political committees that only make independent expenditures (so-called “SuperPACs”) or contribute to any organization for the purpose of funding independent expenditures.</w:t>
      </w:r>
    </w:p>
    <w:p>
      <w:pPr>
        <w:spacing w:after="0" w:line="20" w:lineRule="exact"/>
        <w:rPr>
          <w:rFonts w:ascii="Arial" w:cs="Arial" w:eastAsia="Arial" w:hAnsi="Arial"/>
          <w:sz w:val="17"/>
          <w:szCs w:val="17"/>
          <w:color w:val="00A0DD"/>
        </w:rPr>
      </w:pPr>
    </w:p>
    <w:p>
      <w:pPr>
        <w:ind w:left="260" w:right="20" w:hanging="252"/>
        <w:spacing w:after="0" w:line="242" w:lineRule="auto"/>
        <w:tabs>
          <w:tab w:leader="none" w:pos="260" w:val="left"/>
        </w:tabs>
        <w:numPr>
          <w:ilvl w:val="0"/>
          <w:numId w:val="109"/>
        </w:numPr>
        <w:rPr>
          <w:rFonts w:ascii="Arial" w:cs="Arial" w:eastAsia="Arial" w:hAnsi="Arial"/>
          <w:sz w:val="17"/>
          <w:szCs w:val="17"/>
          <w:color w:val="00A0DD"/>
        </w:rPr>
      </w:pPr>
      <w:r>
        <w:rPr>
          <w:rFonts w:ascii="Arial" w:cs="Arial" w:eastAsia="Arial" w:hAnsi="Arial"/>
          <w:sz w:val="18"/>
          <w:szCs w:val="18"/>
          <w:color w:val="auto"/>
        </w:rPr>
        <w:t xml:space="preserve">We </w:t>
      </w:r>
      <w:r>
        <w:rPr>
          <w:rFonts w:ascii="Arial" w:cs="Arial" w:eastAsia="Arial" w:hAnsi="Arial"/>
          <w:sz w:val="18"/>
          <w:szCs w:val="18"/>
          <w:b w:val="1"/>
          <w:bCs w:val="1"/>
          <w:u w:val="single" w:color="auto"/>
          <w:color w:val="auto"/>
        </w:rPr>
        <w:t>do not</w:t>
      </w:r>
      <w:r>
        <w:rPr>
          <w:rFonts w:ascii="Arial" w:cs="Arial" w:eastAsia="Arial" w:hAnsi="Arial"/>
          <w:sz w:val="18"/>
          <w:szCs w:val="18"/>
          <w:color w:val="auto"/>
        </w:rPr>
        <w:t xml:space="preserve"> (either directly or through our corporate directors, officers or certain other senior executives) support other non-profits, such as 501(c)(4) organizations, for the purpose of funding political activity or unregulated 527 political organizations (entities that are not registered as PACs under state or federal campaign finance laws) for the purpose of funding political advertising. Before making any contributions to these organizations, we must receive written representations that our funds will be used in a manner acceptable to us, including that they will not be used, directly or indirectly, to make contributions to candidate campaigns, political parties, other organizations registered as political committees or SuperPACs, or to make independent expenditures.</w:t>
      </w:r>
    </w:p>
    <w:p>
      <w:pPr>
        <w:spacing w:after="0" w:line="179"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As a result of our extensive disclosures, we have been recognized as a leader in providing the highest level of political transparency and accountability and were recognized in 2023 as a “Trendsetter” – the highest possible ranking – by the CPA-Zicklin Index.</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Alignment of engagement in the political process with business mission</w:t>
      </w:r>
    </w:p>
    <w:p>
      <w:pPr>
        <w:spacing w:after="0" w:line="210"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As one of the world’s largest media and technology companies, laws at the federal, state and local levels may have a significant impact on our company and shareholders. As disclosed in the Statement:</w:t>
      </w:r>
    </w:p>
    <w:p>
      <w:pPr>
        <w:spacing w:after="0" w:line="158" w:lineRule="exact"/>
        <w:rPr>
          <w:sz w:val="20"/>
          <w:szCs w:val="20"/>
          <w:color w:val="auto"/>
        </w:rPr>
      </w:pPr>
    </w:p>
    <w:p>
      <w:pPr>
        <w:ind w:left="420" w:hanging="412"/>
        <w:spacing w:after="0"/>
        <w:tabs>
          <w:tab w:leader="none" w:pos="420" w:val="left"/>
        </w:tabs>
        <w:numPr>
          <w:ilvl w:val="0"/>
          <w:numId w:val="11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ind w:left="260" w:hanging="252"/>
        <w:spacing w:after="0" w:line="247" w:lineRule="auto"/>
        <w:tabs>
          <w:tab w:leader="none" w:pos="260" w:val="left"/>
        </w:tabs>
        <w:numPr>
          <w:ilvl w:val="0"/>
          <w:numId w:val="111"/>
        </w:numPr>
        <w:rPr>
          <w:rFonts w:ascii="Arial" w:cs="Arial" w:eastAsia="Arial" w:hAnsi="Arial"/>
          <w:sz w:val="17"/>
          <w:szCs w:val="17"/>
          <w:color w:val="00A0DD"/>
        </w:rPr>
      </w:pPr>
      <w:r>
        <w:rPr>
          <w:rFonts w:ascii="Arial" w:cs="Arial" w:eastAsia="Arial" w:hAnsi="Arial"/>
          <w:sz w:val="18"/>
          <w:szCs w:val="18"/>
          <w:color w:val="auto"/>
        </w:rPr>
        <w:t>We participate in the political process in a bipartisan manner, guided by the best interests of our company. In general, candidates we support demonstrate consistency with respect to their policy positions and legislative records related to our business interests and free market principles, which in turn helps us to deliver sustainable long-term success. The Statement provides a further detailed list of specific contribution criteria.</w:t>
      </w:r>
    </w:p>
    <w:p>
      <w:pPr>
        <w:spacing w:after="0" w:line="25" w:lineRule="exact"/>
        <w:rPr>
          <w:rFonts w:ascii="Arial" w:cs="Arial" w:eastAsia="Arial" w:hAnsi="Arial"/>
          <w:sz w:val="17"/>
          <w:szCs w:val="17"/>
          <w:color w:val="00A0DD"/>
        </w:rPr>
      </w:pPr>
    </w:p>
    <w:p>
      <w:pPr>
        <w:ind w:left="260" w:hanging="252"/>
        <w:spacing w:after="0"/>
        <w:tabs>
          <w:tab w:leader="none" w:pos="260" w:val="left"/>
        </w:tabs>
        <w:numPr>
          <w:ilvl w:val="0"/>
          <w:numId w:val="111"/>
        </w:numPr>
        <w:rPr>
          <w:rFonts w:ascii="Arial" w:cs="Arial" w:eastAsia="Arial" w:hAnsi="Arial"/>
          <w:sz w:val="17"/>
          <w:szCs w:val="17"/>
          <w:color w:val="00A0DD"/>
        </w:rPr>
      </w:pPr>
      <w:r>
        <w:rPr>
          <w:rFonts w:ascii="Arial" w:cs="Arial" w:eastAsia="Arial" w:hAnsi="Arial"/>
          <w:sz w:val="18"/>
          <w:szCs w:val="18"/>
          <w:color w:val="auto"/>
        </w:rPr>
        <w:t>Contributions are made without regard for the personal political preferences of our officers or directors.</w:t>
      </w:r>
    </w:p>
    <w:p>
      <w:pPr>
        <w:spacing w:after="0" w:line="63" w:lineRule="exact"/>
        <w:rPr>
          <w:rFonts w:ascii="Arial" w:cs="Arial" w:eastAsia="Arial" w:hAnsi="Arial"/>
          <w:sz w:val="17"/>
          <w:szCs w:val="17"/>
          <w:color w:val="00A0DD"/>
        </w:rPr>
      </w:pPr>
    </w:p>
    <w:p>
      <w:pPr>
        <w:ind w:left="260" w:right="100" w:hanging="252"/>
        <w:spacing w:after="0" w:line="244" w:lineRule="auto"/>
        <w:tabs>
          <w:tab w:leader="none" w:pos="260" w:val="left"/>
        </w:tabs>
        <w:numPr>
          <w:ilvl w:val="0"/>
          <w:numId w:val="111"/>
        </w:numPr>
        <w:rPr>
          <w:rFonts w:ascii="Arial" w:cs="Arial" w:eastAsia="Arial" w:hAnsi="Arial"/>
          <w:sz w:val="17"/>
          <w:szCs w:val="17"/>
          <w:color w:val="00A0DD"/>
        </w:rPr>
      </w:pPr>
      <w:r>
        <w:rPr>
          <w:rFonts w:ascii="Arial" w:cs="Arial" w:eastAsia="Arial" w:hAnsi="Arial"/>
          <w:sz w:val="18"/>
          <w:szCs w:val="18"/>
          <w:color w:val="auto"/>
        </w:rPr>
        <w:t>No one criterion or public policy position determines whether a candidate receives a contribution, and a contribution is not an endorsement of every position taken by an official on every issue. In addition to considering our business objectives, we are aware that there are other issues that impact our customers and employees. While we may consider some of these issues in our contribution review process, we address them more directly through our active involvement in the communities we serve and our commitment to using our programming, partnerships and charitable giving to create positive change and a more just society.</w:t>
      </w:r>
    </w:p>
    <w:p>
      <w:pPr>
        <w:spacing w:after="0" w:line="176" w:lineRule="exact"/>
        <w:rPr>
          <w:sz w:val="20"/>
          <w:szCs w:val="20"/>
          <w:color w:val="auto"/>
        </w:rPr>
      </w:pPr>
    </w:p>
    <w:p>
      <w:pPr>
        <w:jc w:val="both"/>
        <w:ind w:right="140"/>
        <w:spacing w:after="0" w:line="241" w:lineRule="auto"/>
        <w:rPr>
          <w:sz w:val="20"/>
          <w:szCs w:val="20"/>
          <w:color w:val="auto"/>
        </w:rPr>
      </w:pPr>
      <w:r>
        <w:rPr>
          <w:rFonts w:ascii="Arial" w:cs="Arial" w:eastAsia="Arial" w:hAnsi="Arial"/>
          <w:sz w:val="18"/>
          <w:szCs w:val="18"/>
          <w:color w:val="auto"/>
        </w:rPr>
        <w:t>Certain third-party advocacy organizations may put pressure on companies to make or refrain from making political contributions in line with the organization’s political goals. This may include criticism of corporate contributions to an individual candidate where such candidate does not align with the third party’s own political goals, even if the company’s contribution was driven by an important business consideration.</w:t>
      </w:r>
    </w:p>
    <w:p>
      <w:pPr>
        <w:spacing w:after="0" w:line="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While we may consider non-business issues as part of our contribution review process, we believe that our company and our shareholders are best served by us conducting our political activities in a bipartisan manner focused on our business priorities rather than in a partisan politicized manner, particularly when our own employees and customers throughout the country have a broad range of political and other beliefs.</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also make our voice heard through participation in trade associations and by supporting advocacy organizations. We support these organizations for a variety of reasons, ranging from our interest in the community, to taking advantage of industry expertise, or because they have common goals and interests on key strategic policy and business issues. Our participation in trade associations, particularly those representing a range of industry sectors, comes with the understanding that we might not agree with every position held by the association or its other members, and that some misalignment is an unavoidable consequence of any collective endeavor. We respect the independence and agency of trade associations and third parties to shape their own policy agendas, events and advocacy positions, and our participation does not mean that we endorse the organization’s entire agenda, its events or advocacy positions, nor the views of its leaders or members. However, we regularly monitor the positions of these associations to assess alignment with our own and, if there is a significant inconsistency on a core priority of our company, we will convey our concerns to these associations or otherwise engage with the association to address the matter.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and Board governance and oversight of political activities</w:t>
      </w:r>
    </w:p>
    <w:p>
      <w:pPr>
        <w:spacing w:after="0" w:line="21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Pursuant to its charter, our GCR Committee, composed entirely of independent directors, is responsible for overseeing our political, lobbying and trade association activities, including evaluation of both the benefits of and risks posed by our political spending, including any potential incongruency with company values and our contribution criteria. The GCR Committee, and at times the full Board, receive periodic reports on our political, lobbying and trade association activities, which at times include a discussion of benefits and risks from these activities. We made several enhancements to our Statement in 2023, including as a result of engagement with our stakeholders:</w:t>
      </w:r>
    </w:p>
    <w:p>
      <w:pPr>
        <w:spacing w:after="0" w:line="176" w:lineRule="exact"/>
        <w:rPr>
          <w:sz w:val="20"/>
          <w:szCs w:val="20"/>
          <w:color w:val="auto"/>
        </w:rPr>
      </w:pPr>
    </w:p>
    <w:p>
      <w:pPr>
        <w:ind w:left="260" w:right="200" w:hanging="252"/>
        <w:spacing w:after="0" w:line="253" w:lineRule="auto"/>
        <w:tabs>
          <w:tab w:leader="none" w:pos="260" w:val="left"/>
        </w:tabs>
        <w:numPr>
          <w:ilvl w:val="0"/>
          <w:numId w:val="112"/>
        </w:numPr>
        <w:rPr>
          <w:rFonts w:ascii="Arial" w:cs="Arial" w:eastAsia="Arial" w:hAnsi="Arial"/>
          <w:sz w:val="17"/>
          <w:szCs w:val="17"/>
          <w:color w:val="00A0DD"/>
        </w:rPr>
      </w:pPr>
      <w:r>
        <w:rPr>
          <w:rFonts w:ascii="Arial" w:cs="Arial" w:eastAsia="Arial" w:hAnsi="Arial"/>
          <w:sz w:val="18"/>
          <w:szCs w:val="18"/>
          <w:color w:val="auto"/>
        </w:rPr>
        <w:t>With respect to contribution criteria, we added that, in addition to considering the business objectives set forth in the Statement, we may consider other issues that impact our customers and employees in our contribution review process, although we address those issues more directly through our direct involvement in the communities we serve.</w:t>
      </w:r>
    </w:p>
    <w:p>
      <w:pPr>
        <w:spacing w:after="0" w:line="20" w:lineRule="exact"/>
        <w:rPr>
          <w:rFonts w:ascii="Arial" w:cs="Arial" w:eastAsia="Arial" w:hAnsi="Arial"/>
          <w:sz w:val="17"/>
          <w:szCs w:val="17"/>
          <w:color w:val="00A0DD"/>
        </w:rPr>
      </w:pPr>
    </w:p>
    <w:p>
      <w:pPr>
        <w:ind w:left="260" w:right="340" w:hanging="252"/>
        <w:spacing w:after="0" w:line="253" w:lineRule="auto"/>
        <w:tabs>
          <w:tab w:leader="none" w:pos="260" w:val="left"/>
        </w:tabs>
        <w:numPr>
          <w:ilvl w:val="0"/>
          <w:numId w:val="112"/>
        </w:numPr>
        <w:rPr>
          <w:rFonts w:ascii="Arial" w:cs="Arial" w:eastAsia="Arial" w:hAnsi="Arial"/>
          <w:sz w:val="17"/>
          <w:szCs w:val="17"/>
          <w:color w:val="00A0DD"/>
        </w:rPr>
      </w:pPr>
      <w:r>
        <w:rPr>
          <w:rFonts w:ascii="Arial" w:cs="Arial" w:eastAsia="Arial" w:hAnsi="Arial"/>
          <w:sz w:val="18"/>
          <w:szCs w:val="18"/>
          <w:color w:val="auto"/>
        </w:rPr>
        <w:t>With respect to Board oversight, in alignment with the CPA-Zicklin Model Code of Conduct for Corporate Political Spending, we added that the Board’s oversight of political, lobbying and trade association activities includes consideration of both the benefits of and risks posed by these activities.</w:t>
      </w:r>
    </w:p>
    <w:p>
      <w:pPr>
        <w:spacing w:after="0" w:line="20" w:lineRule="exact"/>
        <w:rPr>
          <w:rFonts w:ascii="Arial" w:cs="Arial" w:eastAsia="Arial" w:hAnsi="Arial"/>
          <w:sz w:val="17"/>
          <w:szCs w:val="17"/>
          <w:color w:val="00A0DD"/>
        </w:rPr>
      </w:pPr>
    </w:p>
    <w:p>
      <w:pPr>
        <w:ind w:left="260" w:right="440" w:hanging="252"/>
        <w:spacing w:after="0" w:line="253" w:lineRule="auto"/>
        <w:tabs>
          <w:tab w:leader="none" w:pos="260" w:val="left"/>
        </w:tabs>
        <w:numPr>
          <w:ilvl w:val="0"/>
          <w:numId w:val="112"/>
        </w:numPr>
        <w:rPr>
          <w:rFonts w:ascii="Arial" w:cs="Arial" w:eastAsia="Arial" w:hAnsi="Arial"/>
          <w:sz w:val="17"/>
          <w:szCs w:val="17"/>
          <w:color w:val="00A0DD"/>
        </w:rPr>
      </w:pPr>
      <w:r>
        <w:rPr>
          <w:rFonts w:ascii="Arial" w:cs="Arial" w:eastAsia="Arial" w:hAnsi="Arial"/>
          <w:sz w:val="18"/>
          <w:szCs w:val="18"/>
          <w:color w:val="auto"/>
        </w:rPr>
        <w:t>With respect to trade association activities, we noted that, while some misalignment is an unavoidable consequence of any collective endeavor, we regularly monitor the positions of these organizations to assess alignment with our own and, if there is a significant inconsistency on a core priority of our company, we convey our concerns to the association.</w:t>
      </w:r>
    </w:p>
    <w:p>
      <w:pPr>
        <w:spacing w:after="0" w:line="20" w:lineRule="exact"/>
        <w:rPr>
          <w:rFonts w:ascii="Arial" w:cs="Arial" w:eastAsia="Arial" w:hAnsi="Arial"/>
          <w:sz w:val="17"/>
          <w:szCs w:val="17"/>
          <w:color w:val="00A0DD"/>
        </w:rPr>
      </w:pPr>
    </w:p>
    <w:p>
      <w:pPr>
        <w:ind w:left="260" w:right="60" w:hanging="252"/>
        <w:spacing w:after="0" w:line="244" w:lineRule="auto"/>
        <w:tabs>
          <w:tab w:leader="none" w:pos="260" w:val="left"/>
        </w:tabs>
        <w:numPr>
          <w:ilvl w:val="0"/>
          <w:numId w:val="112"/>
        </w:numPr>
        <w:rPr>
          <w:rFonts w:ascii="Arial" w:cs="Arial" w:eastAsia="Arial" w:hAnsi="Arial"/>
          <w:sz w:val="17"/>
          <w:szCs w:val="17"/>
          <w:color w:val="00A0DD"/>
        </w:rPr>
      </w:pPr>
      <w:r>
        <w:rPr>
          <w:rFonts w:ascii="Arial" w:cs="Arial" w:eastAsia="Arial" w:hAnsi="Arial"/>
          <w:sz w:val="18"/>
          <w:szCs w:val="18"/>
          <w:color w:val="auto"/>
        </w:rPr>
        <w:t>All corporate and PAC political contribution requests are thoughtfully and rigorously reviewed and approved by a member of our PAC Board and the Vice President of Political Affairs and are reviewed by inside and/or outside legal counsel, as appropriate. Additionally, all contributions to 501(c)(4) organizations are carefully reviewed and approved by the Vice President of Political Affairs and are reviewed by inside and/or outside legal counsel, as appropriate. Further, participation in trade associations is subject to approval by our Chief Legal Officer.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reasons set forth above, our Board unanimously recommends AGAINST this proposal.</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60" w:type="dxa"/>
            <w:vAlign w:val="bottom"/>
          </w:tcPr>
          <w:p>
            <w:pPr>
              <w:ind w:left="948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54</w:t>
            </w:r>
          </w:p>
        </w:tc>
      </w:tr>
      <w:tr>
        <w:trPr>
          <w:trHeight w:val="362"/>
        </w:trPr>
        <w:tc>
          <w:tcPr>
            <w:tcW w:w="10960" w:type="dxa"/>
            <w:vAlign w:val="bottom"/>
            <w:tcBorders>
              <w:bottom w:val="single" w:sz="8" w:color="A1A1A1"/>
            </w:tcBorders>
          </w:tcPr>
          <w:p>
            <w:pPr>
              <w:spacing w:after="0"/>
              <w:rPr>
                <w:sz w:val="24"/>
                <w:szCs w:val="24"/>
                <w:color w:val="auto"/>
              </w:rPr>
            </w:pPr>
          </w:p>
        </w:tc>
        <w:tc>
          <w:tcPr>
            <w:tcW w:w="28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Information about Stock Ownership</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Outstanding Shares and Voting Rights</w:t>
      </w:r>
    </w:p>
    <w:p>
      <w:pPr>
        <w:spacing w:after="0" w:line="235"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color w:val="auto"/>
        </w:rPr>
        <w:t>At the close of business on April 1, 2024, the record date, we had outstanding 3,925,192,884 shares of Class A common stock and 9,444,375 shares of Class B common stock.</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each matter to be voted on, the holders of Class A common stock and Class B common stock will vote together. As of the record date, each holder of Class A common stock is entitled to 0.07218 votes per share and each holder of Class B common stock is entitled to 15 votes per share.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must have a quorum to carry on the business of the annual meeting of shareholders. This means that, for each matter presented, shareholders entitled to cast a majority of the votes that all shareholders are entitled to cast on that matter must be represented at the meeting, either by proxy or by attending the meeting. If the meeting is adjourned for one or more periods aggregating at least five days due to the absence of a quorum, those shareholders who are entitled to vote and who attend the adjourned meeting, even though they do not constitute a quorum as described above, will constitute a quorum for the purpose of electing directors at such reconvened meeting. 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any matter described in this proxy statement other than the election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director candidates who receive the most votes will be elected to fill the available seats on our Board. Approval of the other proposals requires the favorable vote of a majority of the votes cast. Only votes for or against a proposal count for voting purposes on those proposals. Withheld votes in regard to the election of directors, abstentions and broker nonvotes count for quorum purposes, but have no effect on the outcome of the proposals. Broker nonvotes occur on a matter when a bank, brokerage firm or other nominee is not permitted by applicable regulatory requirements to vote on that matter without instruction from the owner of the shares and no instruction is given. Absent instructions from you, your broker may vote your shares on the ratification of the appointment of our independent auditors, but may not vote your shares on the election of directors or any of the other proposals.</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Principal Shareholders</w:t>
      </w:r>
    </w:p>
    <w:p>
      <w:pPr>
        <w:spacing w:after="0" w:line="235"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This table sets forth information as of December 31, 2023 about persons we know to beneficially own more than 5% of any class of our voting common stock.</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 OF VOTING CLASS</w:t>
            </w:r>
          </w:p>
        </w:tc>
        <w:tc>
          <w:tcPr>
            <w:tcW w:w="4980" w:type="dxa"/>
            <w:vAlign w:val="bottom"/>
            <w:vMerge w:val="restart"/>
          </w:tcPr>
          <w:p>
            <w:pPr>
              <w:ind w:left="1400"/>
              <w:spacing w:after="0"/>
              <w:rPr>
                <w:sz w:val="20"/>
                <w:szCs w:val="20"/>
                <w:color w:val="auto"/>
              </w:rPr>
            </w:pPr>
            <w:r>
              <w:rPr>
                <w:rFonts w:ascii="Arial" w:cs="Arial" w:eastAsia="Arial" w:hAnsi="Arial"/>
                <w:sz w:val="15"/>
                <w:szCs w:val="15"/>
                <w:b w:val="1"/>
                <w:bCs w:val="1"/>
                <w:color w:val="auto"/>
              </w:rPr>
              <w:t>NAME AND ADDRESS OF BENEFICIAL OWNER</w:t>
            </w:r>
          </w:p>
        </w:tc>
        <w:tc>
          <w:tcPr>
            <w:tcW w:w="1940" w:type="dxa"/>
            <w:vAlign w:val="bottom"/>
            <w:gridSpan w:val="2"/>
          </w:tcPr>
          <w:p>
            <w:pPr>
              <w:jc w:val="right"/>
              <w:ind w:right="36"/>
              <w:spacing w:after="0"/>
              <w:rPr>
                <w:sz w:val="20"/>
                <w:szCs w:val="20"/>
                <w:color w:val="auto"/>
              </w:rPr>
            </w:pPr>
            <w:r>
              <w:rPr>
                <w:rFonts w:ascii="Arial" w:cs="Arial" w:eastAsia="Arial" w:hAnsi="Arial"/>
                <w:sz w:val="15"/>
                <w:szCs w:val="15"/>
                <w:b w:val="1"/>
                <w:bCs w:val="1"/>
                <w:color w:val="auto"/>
              </w:rPr>
              <w:t>AMOUNT</w:t>
            </w:r>
          </w:p>
        </w:tc>
        <w:tc>
          <w:tcPr>
            <w:tcW w:w="960" w:type="dxa"/>
            <w:vAlign w:val="bottom"/>
          </w:tcPr>
          <w:p>
            <w:pPr>
              <w:jc w:val="right"/>
              <w:ind w:right="4"/>
              <w:spacing w:after="0"/>
              <w:rPr>
                <w:sz w:val="20"/>
                <w:szCs w:val="20"/>
                <w:color w:val="auto"/>
              </w:rPr>
            </w:pPr>
            <w:r>
              <w:rPr>
                <w:rFonts w:ascii="Arial" w:cs="Arial" w:eastAsia="Arial" w:hAnsi="Arial"/>
                <w:sz w:val="15"/>
                <w:szCs w:val="15"/>
                <w:b w:val="1"/>
                <w:bCs w:val="1"/>
                <w:color w:val="auto"/>
              </w:rPr>
              <w:t>PERCENT</w:t>
            </w:r>
          </w:p>
        </w:tc>
        <w:tc>
          <w:tcPr>
            <w:tcW w:w="0" w:type="dxa"/>
            <w:vAlign w:val="bottom"/>
          </w:tcPr>
          <w:p>
            <w:pPr>
              <w:spacing w:after="0"/>
              <w:rPr>
                <w:sz w:val="1"/>
                <w:szCs w:val="1"/>
                <w:color w:val="auto"/>
              </w:rPr>
            </w:pPr>
          </w:p>
        </w:tc>
      </w:tr>
      <w:tr>
        <w:trPr>
          <w:trHeight w:val="208"/>
        </w:trPr>
        <w:tc>
          <w:tcPr>
            <w:tcW w:w="3360" w:type="dxa"/>
            <w:vAlign w:val="bottom"/>
            <w:tcBorders>
              <w:bottom w:val="single" w:sz="8" w:color="auto"/>
            </w:tcBorders>
            <w:vMerge w:val="continue"/>
          </w:tcPr>
          <w:p>
            <w:pPr>
              <w:spacing w:after="0"/>
              <w:rPr>
                <w:sz w:val="18"/>
                <w:szCs w:val="18"/>
                <w:color w:val="auto"/>
              </w:rPr>
            </w:pPr>
          </w:p>
        </w:tc>
        <w:tc>
          <w:tcPr>
            <w:tcW w:w="4980" w:type="dxa"/>
            <w:vAlign w:val="bottom"/>
            <w:tcBorders>
              <w:bottom w:val="single" w:sz="8" w:color="auto"/>
            </w:tcBorders>
            <w:vMerge w:val="continue"/>
          </w:tcPr>
          <w:p>
            <w:pPr>
              <w:spacing w:after="0"/>
              <w:rPr>
                <w:sz w:val="18"/>
                <w:szCs w:val="18"/>
                <w:color w:val="auto"/>
              </w:rPr>
            </w:pPr>
          </w:p>
        </w:tc>
        <w:tc>
          <w:tcPr>
            <w:tcW w:w="194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5"/>
                <w:szCs w:val="15"/>
                <w:b w:val="1"/>
                <w:bCs w:val="1"/>
                <w:color w:val="auto"/>
              </w:rPr>
              <w:t>BENEFICIALLY OWNED</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OF CLASS</w:t>
            </w:r>
          </w:p>
        </w:tc>
        <w:tc>
          <w:tcPr>
            <w:tcW w:w="0" w:type="dxa"/>
            <w:vAlign w:val="bottom"/>
          </w:tcPr>
          <w:p>
            <w:pPr>
              <w:spacing w:after="0"/>
              <w:rPr>
                <w:sz w:val="1"/>
                <w:szCs w:val="1"/>
                <w:color w:val="auto"/>
              </w:rPr>
            </w:pPr>
          </w:p>
        </w:tc>
      </w:tr>
      <w:tr>
        <w:trPr>
          <w:trHeight w:val="196"/>
        </w:trPr>
        <w:tc>
          <w:tcPr>
            <w:tcW w:w="3360" w:type="dxa"/>
            <w:vAlign w:val="bottom"/>
          </w:tcPr>
          <w:p>
            <w:pPr>
              <w:ind w:left="80"/>
              <w:spacing w:after="0"/>
              <w:rPr>
                <w:sz w:val="20"/>
                <w:szCs w:val="20"/>
                <w:color w:val="auto"/>
              </w:rPr>
            </w:pPr>
            <w:r>
              <w:rPr>
                <w:rFonts w:ascii="Arial" w:cs="Arial" w:eastAsia="Arial" w:hAnsi="Arial"/>
                <w:sz w:val="15"/>
                <w:szCs w:val="15"/>
                <w:b w:val="1"/>
                <w:bCs w:val="1"/>
                <w:color w:val="auto"/>
              </w:rPr>
              <w:t>Class A common stock</w:t>
            </w:r>
          </w:p>
        </w:tc>
        <w:tc>
          <w:tcPr>
            <w:tcW w:w="4980" w:type="dxa"/>
            <w:vAlign w:val="bottom"/>
          </w:tcPr>
          <w:p>
            <w:pPr>
              <w:ind w:left="1400"/>
              <w:spacing w:after="0"/>
              <w:rPr>
                <w:sz w:val="20"/>
                <w:szCs w:val="20"/>
                <w:color w:val="auto"/>
              </w:rPr>
            </w:pPr>
            <w:r>
              <w:rPr>
                <w:rFonts w:ascii="Arial" w:cs="Arial" w:eastAsia="Arial" w:hAnsi="Arial"/>
                <w:sz w:val="15"/>
                <w:szCs w:val="15"/>
                <w:color w:val="auto"/>
              </w:rPr>
              <w:t>The Vanguard Group</w:t>
            </w:r>
          </w:p>
        </w:tc>
        <w:tc>
          <w:tcPr>
            <w:tcW w:w="1640" w:type="dxa"/>
            <w:vAlign w:val="bottom"/>
          </w:tcPr>
          <w:p>
            <w:pPr>
              <w:jc w:val="right"/>
              <w:spacing w:after="0"/>
              <w:rPr>
                <w:sz w:val="20"/>
                <w:szCs w:val="20"/>
                <w:color w:val="auto"/>
              </w:rPr>
            </w:pPr>
            <w:r>
              <w:rPr>
                <w:rFonts w:ascii="Arial" w:cs="Arial" w:eastAsia="Arial" w:hAnsi="Arial"/>
                <w:sz w:val="15"/>
                <w:szCs w:val="15"/>
                <w:color w:val="auto"/>
              </w:rPr>
              <w:t>378,000,220</w:t>
            </w:r>
          </w:p>
        </w:tc>
        <w:tc>
          <w:tcPr>
            <w:tcW w:w="300" w:type="dxa"/>
            <w:vAlign w:val="bottom"/>
          </w:tcPr>
          <w:p>
            <w:pPr>
              <w:jc w:val="right"/>
              <w:ind w:right="36"/>
              <w:spacing w:after="0"/>
              <w:rPr>
                <w:sz w:val="20"/>
                <w:szCs w:val="20"/>
                <w:color w:val="auto"/>
              </w:rPr>
            </w:pPr>
            <w:r>
              <w:rPr>
                <w:rFonts w:ascii="Arial" w:cs="Arial" w:eastAsia="Arial" w:hAnsi="Arial"/>
                <w:sz w:val="13"/>
                <w:szCs w:val="13"/>
                <w:color w:val="auto"/>
              </w:rPr>
              <w:t>(1)</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DCDDDE"/>
            </w:tcBorders>
          </w:tcPr>
          <w:p>
            <w:pPr>
              <w:spacing w:after="0"/>
              <w:rPr>
                <w:sz w:val="15"/>
                <w:szCs w:val="15"/>
                <w:color w:val="auto"/>
              </w:rPr>
            </w:pPr>
          </w:p>
        </w:tc>
        <w:tc>
          <w:tcPr>
            <w:tcW w:w="4980" w:type="dxa"/>
            <w:vAlign w:val="bottom"/>
            <w:tcBorders>
              <w:bottom w:val="single" w:sz="8" w:color="DCDDDE"/>
            </w:tcBorders>
          </w:tcPr>
          <w:p>
            <w:pPr>
              <w:ind w:left="1400"/>
              <w:spacing w:after="0"/>
              <w:rPr>
                <w:sz w:val="20"/>
                <w:szCs w:val="20"/>
                <w:color w:val="auto"/>
              </w:rPr>
            </w:pPr>
            <w:r>
              <w:rPr>
                <w:rFonts w:ascii="Arial" w:cs="Arial" w:eastAsia="Arial" w:hAnsi="Arial"/>
                <w:sz w:val="15"/>
                <w:szCs w:val="15"/>
                <w:color w:val="auto"/>
              </w:rPr>
              <w:t>100 Vanguard Blvd., Malvern, PA 19355</w:t>
            </w:r>
          </w:p>
        </w:tc>
        <w:tc>
          <w:tcPr>
            <w:tcW w:w="1640" w:type="dxa"/>
            <w:vAlign w:val="bottom"/>
            <w:tcBorders>
              <w:bottom w:val="single" w:sz="8" w:color="DCDDDE"/>
            </w:tcBorders>
          </w:tcPr>
          <w:p>
            <w:pPr>
              <w:spacing w:after="0"/>
              <w:rPr>
                <w:sz w:val="15"/>
                <w:szCs w:val="15"/>
                <w:color w:val="auto"/>
              </w:rPr>
            </w:pPr>
          </w:p>
        </w:tc>
        <w:tc>
          <w:tcPr>
            <w:tcW w:w="300" w:type="dxa"/>
            <w:vAlign w:val="bottom"/>
            <w:tcBorders>
              <w:bottom w:val="single" w:sz="8" w:color="DCDDDE"/>
            </w:tcBorders>
          </w:tcPr>
          <w:p>
            <w:pPr>
              <w:spacing w:after="0"/>
              <w:rPr>
                <w:sz w:val="15"/>
                <w:szCs w:val="15"/>
                <w:color w:val="auto"/>
              </w:rPr>
            </w:pPr>
          </w:p>
        </w:tc>
        <w:tc>
          <w:tcPr>
            <w:tcW w:w="960" w:type="dxa"/>
            <w:vAlign w:val="bottom"/>
            <w:tcBorders>
              <w:bottom w:val="single" w:sz="8" w:color="DCDDD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80"/>
              <w:spacing w:after="0"/>
              <w:rPr>
                <w:sz w:val="20"/>
                <w:szCs w:val="20"/>
                <w:color w:val="auto"/>
              </w:rPr>
            </w:pPr>
            <w:r>
              <w:rPr>
                <w:rFonts w:ascii="Arial" w:cs="Arial" w:eastAsia="Arial" w:hAnsi="Arial"/>
                <w:sz w:val="15"/>
                <w:szCs w:val="15"/>
                <w:b w:val="1"/>
                <w:bCs w:val="1"/>
                <w:color w:val="auto"/>
              </w:rPr>
              <w:t>Class A common stock</w:t>
            </w:r>
          </w:p>
        </w:tc>
        <w:tc>
          <w:tcPr>
            <w:tcW w:w="4980" w:type="dxa"/>
            <w:vAlign w:val="bottom"/>
          </w:tcPr>
          <w:p>
            <w:pPr>
              <w:ind w:left="1400"/>
              <w:spacing w:after="0"/>
              <w:rPr>
                <w:sz w:val="20"/>
                <w:szCs w:val="20"/>
                <w:color w:val="auto"/>
              </w:rPr>
            </w:pPr>
            <w:r>
              <w:rPr>
                <w:rFonts w:ascii="Arial" w:cs="Arial" w:eastAsia="Arial" w:hAnsi="Arial"/>
                <w:sz w:val="15"/>
                <w:szCs w:val="15"/>
                <w:color w:val="auto"/>
              </w:rPr>
              <w:t>BlackRock, Inc.</w:t>
            </w:r>
          </w:p>
        </w:tc>
        <w:tc>
          <w:tcPr>
            <w:tcW w:w="1640" w:type="dxa"/>
            <w:vAlign w:val="bottom"/>
          </w:tcPr>
          <w:p>
            <w:pPr>
              <w:jc w:val="right"/>
              <w:spacing w:after="0"/>
              <w:rPr>
                <w:sz w:val="20"/>
                <w:szCs w:val="20"/>
                <w:color w:val="auto"/>
              </w:rPr>
            </w:pPr>
            <w:r>
              <w:rPr>
                <w:rFonts w:ascii="Arial" w:cs="Arial" w:eastAsia="Arial" w:hAnsi="Arial"/>
                <w:sz w:val="15"/>
                <w:szCs w:val="15"/>
                <w:color w:val="auto"/>
              </w:rPr>
              <w:t>298,215,422</w:t>
            </w:r>
          </w:p>
        </w:tc>
        <w:tc>
          <w:tcPr>
            <w:tcW w:w="300" w:type="dxa"/>
            <w:vAlign w:val="bottom"/>
          </w:tcPr>
          <w:p>
            <w:pPr>
              <w:jc w:val="right"/>
              <w:ind w:right="36"/>
              <w:spacing w:after="0"/>
              <w:rPr>
                <w:sz w:val="20"/>
                <w:szCs w:val="20"/>
                <w:color w:val="auto"/>
              </w:rPr>
            </w:pPr>
            <w:r>
              <w:rPr>
                <w:rFonts w:ascii="Arial" w:cs="Arial" w:eastAsia="Arial" w:hAnsi="Arial"/>
                <w:sz w:val="13"/>
                <w:szCs w:val="13"/>
                <w:color w:val="auto"/>
              </w:rPr>
              <w:t>(2)</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DCDDDE"/>
            </w:tcBorders>
          </w:tcPr>
          <w:p>
            <w:pPr>
              <w:spacing w:after="0"/>
              <w:rPr>
                <w:sz w:val="15"/>
                <w:szCs w:val="15"/>
                <w:color w:val="auto"/>
              </w:rPr>
            </w:pPr>
          </w:p>
        </w:tc>
        <w:tc>
          <w:tcPr>
            <w:tcW w:w="4980" w:type="dxa"/>
            <w:vAlign w:val="bottom"/>
            <w:tcBorders>
              <w:bottom w:val="single" w:sz="8" w:color="DCDDDE"/>
            </w:tcBorders>
          </w:tcPr>
          <w:p>
            <w:pPr>
              <w:ind w:left="1400"/>
              <w:spacing w:after="0"/>
              <w:rPr>
                <w:sz w:val="20"/>
                <w:szCs w:val="20"/>
                <w:color w:val="auto"/>
              </w:rPr>
            </w:pPr>
            <w:r>
              <w:rPr>
                <w:rFonts w:ascii="Arial" w:cs="Arial" w:eastAsia="Arial" w:hAnsi="Arial"/>
                <w:sz w:val="15"/>
                <w:szCs w:val="15"/>
                <w:color w:val="auto"/>
              </w:rPr>
              <w:t>55 East 52nd Street, New York, NY 10055</w:t>
            </w:r>
          </w:p>
        </w:tc>
        <w:tc>
          <w:tcPr>
            <w:tcW w:w="1640" w:type="dxa"/>
            <w:vAlign w:val="bottom"/>
            <w:tcBorders>
              <w:bottom w:val="single" w:sz="8" w:color="DCDDDE"/>
            </w:tcBorders>
          </w:tcPr>
          <w:p>
            <w:pPr>
              <w:spacing w:after="0"/>
              <w:rPr>
                <w:sz w:val="15"/>
                <w:szCs w:val="15"/>
                <w:color w:val="auto"/>
              </w:rPr>
            </w:pPr>
          </w:p>
        </w:tc>
        <w:tc>
          <w:tcPr>
            <w:tcW w:w="300" w:type="dxa"/>
            <w:vAlign w:val="bottom"/>
            <w:tcBorders>
              <w:bottom w:val="single" w:sz="8" w:color="DCDDDE"/>
            </w:tcBorders>
          </w:tcPr>
          <w:p>
            <w:pPr>
              <w:spacing w:after="0"/>
              <w:rPr>
                <w:sz w:val="15"/>
                <w:szCs w:val="15"/>
                <w:color w:val="auto"/>
              </w:rPr>
            </w:pPr>
          </w:p>
        </w:tc>
        <w:tc>
          <w:tcPr>
            <w:tcW w:w="960" w:type="dxa"/>
            <w:vAlign w:val="bottom"/>
            <w:tcBorders>
              <w:bottom w:val="single" w:sz="8" w:color="DCDDDE"/>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80"/>
              <w:spacing w:after="0"/>
              <w:rPr>
                <w:sz w:val="20"/>
                <w:szCs w:val="20"/>
                <w:color w:val="auto"/>
              </w:rPr>
            </w:pPr>
            <w:r>
              <w:rPr>
                <w:rFonts w:ascii="Arial" w:cs="Arial" w:eastAsia="Arial" w:hAnsi="Arial"/>
                <w:sz w:val="15"/>
                <w:szCs w:val="15"/>
                <w:b w:val="1"/>
                <w:bCs w:val="1"/>
                <w:color w:val="auto"/>
              </w:rPr>
              <w:t>Class B common stock</w:t>
            </w:r>
          </w:p>
        </w:tc>
        <w:tc>
          <w:tcPr>
            <w:tcW w:w="4980" w:type="dxa"/>
            <w:vAlign w:val="bottom"/>
          </w:tcPr>
          <w:p>
            <w:pPr>
              <w:ind w:left="1400"/>
              <w:spacing w:after="0"/>
              <w:rPr>
                <w:sz w:val="20"/>
                <w:szCs w:val="20"/>
                <w:color w:val="auto"/>
              </w:rPr>
            </w:pPr>
            <w:r>
              <w:rPr>
                <w:rFonts w:ascii="Arial" w:cs="Arial" w:eastAsia="Arial" w:hAnsi="Arial"/>
                <w:sz w:val="15"/>
                <w:szCs w:val="15"/>
                <w:color w:val="auto"/>
              </w:rPr>
              <w:t>Brian L. Roberts</w:t>
            </w:r>
          </w:p>
        </w:tc>
        <w:tc>
          <w:tcPr>
            <w:tcW w:w="1640" w:type="dxa"/>
            <w:vAlign w:val="bottom"/>
          </w:tcPr>
          <w:p>
            <w:pPr>
              <w:jc w:val="right"/>
              <w:spacing w:after="0"/>
              <w:rPr>
                <w:sz w:val="20"/>
                <w:szCs w:val="20"/>
                <w:color w:val="auto"/>
              </w:rPr>
            </w:pPr>
            <w:r>
              <w:rPr>
                <w:rFonts w:ascii="Arial" w:cs="Arial" w:eastAsia="Arial" w:hAnsi="Arial"/>
                <w:sz w:val="15"/>
                <w:szCs w:val="15"/>
                <w:color w:val="auto"/>
              </w:rPr>
              <w:t>9,444,375</w:t>
            </w:r>
          </w:p>
        </w:tc>
        <w:tc>
          <w:tcPr>
            <w:tcW w:w="300" w:type="dxa"/>
            <w:vAlign w:val="bottom"/>
          </w:tcPr>
          <w:p>
            <w:pPr>
              <w:jc w:val="right"/>
              <w:ind w:right="36"/>
              <w:spacing w:after="0"/>
              <w:rPr>
                <w:sz w:val="20"/>
                <w:szCs w:val="20"/>
                <w:color w:val="auto"/>
              </w:rPr>
            </w:pPr>
            <w:r>
              <w:rPr>
                <w:rFonts w:ascii="Arial" w:cs="Arial" w:eastAsia="Arial" w:hAnsi="Arial"/>
                <w:sz w:val="13"/>
                <w:szCs w:val="13"/>
                <w:color w:val="auto"/>
              </w:rPr>
              <w:t>(3)</w:t>
            </w:r>
          </w:p>
        </w:tc>
        <w:tc>
          <w:tcPr>
            <w:tcW w:w="960" w:type="dxa"/>
            <w:vAlign w:val="bottom"/>
          </w:tcPr>
          <w:p>
            <w:pPr>
              <w:jc w:val="right"/>
              <w:ind w:right="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auto"/>
            </w:tcBorders>
          </w:tcPr>
          <w:p>
            <w:pPr>
              <w:spacing w:after="0"/>
              <w:rPr>
                <w:sz w:val="15"/>
                <w:szCs w:val="15"/>
                <w:color w:val="auto"/>
              </w:rPr>
            </w:pPr>
          </w:p>
        </w:tc>
        <w:tc>
          <w:tcPr>
            <w:tcW w:w="4980" w:type="dxa"/>
            <w:vAlign w:val="bottom"/>
            <w:tcBorders>
              <w:bottom w:val="single" w:sz="8" w:color="auto"/>
            </w:tcBorders>
          </w:tcPr>
          <w:p>
            <w:pPr>
              <w:ind w:left="1400"/>
              <w:spacing w:after="0"/>
              <w:rPr>
                <w:sz w:val="20"/>
                <w:szCs w:val="20"/>
                <w:color w:val="auto"/>
              </w:rPr>
            </w:pPr>
            <w:r>
              <w:rPr>
                <w:rFonts w:ascii="Arial" w:cs="Arial" w:eastAsia="Arial" w:hAnsi="Arial"/>
                <w:sz w:val="15"/>
                <w:szCs w:val="15"/>
                <w:color w:val="auto"/>
              </w:rPr>
              <w:t>One Comcast Center, Philadelphia, PA 19103</w:t>
            </w:r>
          </w:p>
        </w:tc>
        <w:tc>
          <w:tcPr>
            <w:tcW w:w="1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right="140" w:hanging="312"/>
        <w:spacing w:after="0" w:line="238" w:lineRule="auto"/>
        <w:tabs>
          <w:tab w:leader="none" w:pos="320" w:val="left"/>
        </w:tabs>
        <w:numPr>
          <w:ilvl w:val="0"/>
          <w:numId w:val="113"/>
        </w:numPr>
        <w:rPr>
          <w:rFonts w:ascii="Arial" w:cs="Arial" w:eastAsia="Arial" w:hAnsi="Arial"/>
          <w:sz w:val="13"/>
          <w:szCs w:val="13"/>
          <w:color w:val="auto"/>
        </w:rPr>
      </w:pPr>
      <w:r>
        <w:rPr>
          <w:rFonts w:ascii="Arial" w:cs="Arial" w:eastAsia="Arial" w:hAnsi="Arial"/>
          <w:sz w:val="15"/>
          <w:szCs w:val="15"/>
          <w:color w:val="auto"/>
        </w:rPr>
        <w:t>This information is based upon a Schedule 13G/A filing with the SEC on February 13, 2024 made by The Vanguard Group setting forth information as of December 31, 2023. The Vanguard Group disclosed having sole voting power over 0 shares of our Class A common stock, shared voting power over 5,119,453 shares of our Class A common stock, sole dispositive power over 360,185,849 shares of our Class A common stock and shared dispositive power over 17,814,371 shares of our Class A common stock.</w:t>
      </w:r>
    </w:p>
    <w:p>
      <w:pPr>
        <w:spacing w:after="0" w:line="31" w:lineRule="exact"/>
        <w:rPr>
          <w:rFonts w:ascii="Arial" w:cs="Arial" w:eastAsia="Arial" w:hAnsi="Arial"/>
          <w:sz w:val="13"/>
          <w:szCs w:val="13"/>
          <w:color w:val="auto"/>
        </w:rPr>
      </w:pPr>
    </w:p>
    <w:p>
      <w:pPr>
        <w:ind w:left="320" w:right="20" w:hanging="312"/>
        <w:spacing w:after="0" w:line="244" w:lineRule="auto"/>
        <w:tabs>
          <w:tab w:leader="none" w:pos="320" w:val="left"/>
        </w:tabs>
        <w:numPr>
          <w:ilvl w:val="0"/>
          <w:numId w:val="113"/>
        </w:numPr>
        <w:rPr>
          <w:rFonts w:ascii="Arial" w:cs="Arial" w:eastAsia="Arial" w:hAnsi="Arial"/>
          <w:sz w:val="13"/>
          <w:szCs w:val="13"/>
          <w:color w:val="auto"/>
        </w:rPr>
      </w:pPr>
      <w:r>
        <w:rPr>
          <w:rFonts w:ascii="Arial" w:cs="Arial" w:eastAsia="Arial" w:hAnsi="Arial"/>
          <w:sz w:val="15"/>
          <w:szCs w:val="15"/>
          <w:color w:val="auto"/>
        </w:rPr>
        <w:t>This information is based upon a Schedule 13G/A filing with the SEC on February 13, 2024 made by BlackRock, Inc. setting forth information as of December 31, 2023. BlackRock, Inc. disclosed having sole voting power over 267,562,663 shares of our Class A common stock and sole dispositive power over 298,215,422 shares of our Class A common stock.</w:t>
      </w:r>
    </w:p>
    <w:p>
      <w:pPr>
        <w:spacing w:after="0" w:line="27" w:lineRule="exact"/>
        <w:rPr>
          <w:rFonts w:ascii="Arial" w:cs="Arial" w:eastAsia="Arial" w:hAnsi="Arial"/>
          <w:sz w:val="13"/>
          <w:szCs w:val="13"/>
          <w:color w:val="auto"/>
        </w:rPr>
      </w:pPr>
    </w:p>
    <w:p>
      <w:pPr>
        <w:ind w:left="320" w:right="100" w:hanging="312"/>
        <w:spacing w:after="0" w:line="236" w:lineRule="auto"/>
        <w:tabs>
          <w:tab w:leader="none" w:pos="320" w:val="left"/>
        </w:tabs>
        <w:numPr>
          <w:ilvl w:val="0"/>
          <w:numId w:val="113"/>
        </w:numPr>
        <w:rPr>
          <w:rFonts w:ascii="Arial" w:cs="Arial" w:eastAsia="Arial" w:hAnsi="Arial"/>
          <w:sz w:val="13"/>
          <w:szCs w:val="13"/>
          <w:color w:val="auto"/>
        </w:rPr>
      </w:pPr>
      <w:r>
        <w:rPr>
          <w:rFonts w:ascii="Arial" w:cs="Arial" w:eastAsia="Arial" w:hAnsi="Arial"/>
          <w:sz w:val="15"/>
          <w:szCs w:val="15"/>
          <w:color w:val="auto"/>
        </w:rPr>
        <w:t>Includes 9,444,375 shares of Class B common stock owned by a limited liability company of which Mr. Roberts is the managing member. The shares of Class B common stock beneficially owned by Mr. Roberts represent 33 1/3% of the combined voting power of the two classes of our voting common stock, which percentage is generally non-dilutable under the terms of our articles of incorporation. Under our articles of incorporation, each share of Class B common stock is convertible at the shareholder’s option into a share of Class A common stock. For information regarding Mr. Roberts’ beneficial ownership of Class A common stock, see the table immediately below, “Security Ownership of Directors and Executive Officers.”</w:t>
      </w:r>
    </w:p>
    <w:p>
      <w:pPr>
        <w:spacing w:after="0" w:line="208" w:lineRule="exact"/>
        <w:rPr>
          <w:sz w:val="20"/>
          <w:szCs w:val="20"/>
          <w:color w:val="auto"/>
        </w:rPr>
      </w:pPr>
    </w:p>
    <w:p>
      <w:pPr>
        <w:ind w:left="420" w:hanging="412"/>
        <w:spacing w:after="0"/>
        <w:tabs>
          <w:tab w:leader="none" w:pos="420" w:val="left"/>
        </w:tabs>
        <w:numPr>
          <w:ilvl w:val="0"/>
          <w:numId w:val="11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Security Ownership of Directors and Executive Officers</w:t>
      </w:r>
    </w:p>
    <w:p>
      <w:pPr>
        <w:spacing w:after="0" w:line="23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This table sets forth information about the amount of common stock beneficially owned by (i) our current directors (all of whom, other than Mr. Hassell and Ms. Montiel, are also director nominees), (ii) the NEOs listed in “Executive Compensation Tables – Summary Compensation Table” and (iii) our current directors and executive officers as a group. No shares of common stock held by our directors or executive officers are held in margin accounts or have been hedged or pledged.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40" w:type="dxa"/>
            <w:vAlign w:val="bottom"/>
          </w:tcPr>
          <w:p>
            <w:pPr>
              <w:spacing w:after="0"/>
              <w:rPr>
                <w:sz w:val="15"/>
                <w:szCs w:val="15"/>
                <w:color w:val="auto"/>
              </w:rPr>
            </w:pPr>
          </w:p>
        </w:tc>
        <w:tc>
          <w:tcPr>
            <w:tcW w:w="2460" w:type="dxa"/>
            <w:vAlign w:val="bottom"/>
            <w:gridSpan w:val="5"/>
          </w:tcPr>
          <w:p>
            <w:pPr>
              <w:ind w:left="200"/>
              <w:spacing w:after="0"/>
              <w:rPr>
                <w:sz w:val="20"/>
                <w:szCs w:val="20"/>
                <w:color w:val="auto"/>
              </w:rPr>
            </w:pPr>
            <w:r>
              <w:rPr>
                <w:rFonts w:ascii="Arial" w:cs="Arial" w:eastAsia="Arial" w:hAnsi="Arial"/>
                <w:sz w:val="15"/>
                <w:szCs w:val="15"/>
                <w:b w:val="1"/>
                <w:bCs w:val="1"/>
                <w:color w:val="auto"/>
              </w:rPr>
              <w:t>AMOUNT BENEFICIALLY</w:t>
            </w: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5"/>
        </w:trPr>
        <w:tc>
          <w:tcPr>
            <w:tcW w:w="6940" w:type="dxa"/>
            <w:vAlign w:val="bottom"/>
          </w:tcPr>
          <w:p>
            <w:pPr>
              <w:spacing w:after="0"/>
              <w:rPr>
                <w:sz w:val="20"/>
                <w:szCs w:val="20"/>
                <w:color w:val="auto"/>
              </w:rPr>
            </w:pPr>
          </w:p>
        </w:tc>
        <w:tc>
          <w:tcPr>
            <w:tcW w:w="1960" w:type="dxa"/>
            <w:vAlign w:val="bottom"/>
            <w:tcBorders>
              <w:bottom w:val="single" w:sz="8" w:color="auto"/>
            </w:tcBorders>
            <w:gridSpan w:val="3"/>
          </w:tcPr>
          <w:p>
            <w:pPr>
              <w:jc w:val="right"/>
              <w:ind w:right="404"/>
              <w:spacing w:after="0" w:line="235" w:lineRule="exact"/>
              <w:rPr>
                <w:sz w:val="20"/>
                <w:szCs w:val="20"/>
                <w:color w:val="auto"/>
              </w:rPr>
            </w:pPr>
            <w:r>
              <w:rPr>
                <w:rFonts w:ascii="Arial" w:cs="Arial" w:eastAsia="Arial" w:hAnsi="Arial"/>
                <w:sz w:val="15"/>
                <w:szCs w:val="15"/>
                <w:b w:val="1"/>
                <w:bCs w:val="1"/>
                <w:color w:val="auto"/>
              </w:rPr>
              <w:t>OWNED</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5"/>
                <w:szCs w:val="15"/>
                <w:b w:val="1"/>
                <w:bCs w:val="1"/>
                <w:color w:val="auto"/>
              </w:rPr>
              <w:t>PERCENT OF CLASS</w:t>
            </w:r>
          </w:p>
        </w:tc>
      </w:tr>
      <w:tr>
        <w:trPr>
          <w:trHeight w:val="250"/>
        </w:trPr>
        <w:tc>
          <w:tcPr>
            <w:tcW w:w="694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NAME OF BENEFICIAL OWNER</w:t>
            </w:r>
          </w:p>
        </w:tc>
        <w:tc>
          <w:tcPr>
            <w:tcW w:w="1120" w:type="dxa"/>
            <w:vAlign w:val="bottom"/>
            <w:tcBorders>
              <w:bottom w:val="single" w:sz="8" w:color="auto"/>
            </w:tcBorders>
            <w:gridSpan w:val="2"/>
          </w:tcPr>
          <w:p>
            <w:pPr>
              <w:jc w:val="right"/>
              <w:ind w:right="56"/>
              <w:spacing w:after="0" w:line="250" w:lineRule="exact"/>
              <w:rPr>
                <w:sz w:val="20"/>
                <w:szCs w:val="20"/>
                <w:color w:val="auto"/>
              </w:rPr>
            </w:pPr>
            <w:r>
              <w:rPr>
                <w:rFonts w:ascii="Arial" w:cs="Arial" w:eastAsia="Arial" w:hAnsi="Arial"/>
                <w:sz w:val="15"/>
                <w:szCs w:val="15"/>
                <w:b w:val="1"/>
                <w:bCs w:val="1"/>
                <w:color w:val="auto"/>
              </w:rPr>
              <w:t>CLASS A</w:t>
            </w:r>
            <w:r>
              <w:rPr>
                <w:rFonts w:ascii="Arial" w:cs="Arial" w:eastAsia="Arial" w:hAnsi="Arial"/>
                <w:sz w:val="25"/>
                <w:szCs w:val="25"/>
                <w:b w:val="1"/>
                <w:bCs w:val="1"/>
                <w:color w:val="auto"/>
                <w:vertAlign w:val="superscript"/>
              </w:rPr>
              <w:t>(2)</w:t>
            </w:r>
          </w:p>
        </w:tc>
        <w:tc>
          <w:tcPr>
            <w:tcW w:w="13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5"/>
                <w:szCs w:val="15"/>
                <w:b w:val="1"/>
                <w:bCs w:val="1"/>
                <w:color w:val="auto"/>
              </w:rPr>
              <w:t>CLASS B</w:t>
            </w:r>
          </w:p>
        </w:tc>
        <w:tc>
          <w:tcPr>
            <w:tcW w:w="940" w:type="dxa"/>
            <w:vAlign w:val="bottom"/>
            <w:tcBorders>
              <w:bottom w:val="single" w:sz="8" w:color="auto"/>
            </w:tcBorders>
          </w:tcPr>
          <w:p>
            <w:pPr>
              <w:jc w:val="right"/>
              <w:ind w:right="44"/>
              <w:spacing w:after="0" w:line="250" w:lineRule="exact"/>
              <w:rPr>
                <w:sz w:val="20"/>
                <w:szCs w:val="20"/>
                <w:color w:val="auto"/>
              </w:rPr>
            </w:pPr>
            <w:r>
              <w:rPr>
                <w:rFonts w:ascii="Arial" w:cs="Arial" w:eastAsia="Arial" w:hAnsi="Arial"/>
                <w:sz w:val="15"/>
                <w:szCs w:val="15"/>
                <w:b w:val="1"/>
                <w:bCs w:val="1"/>
                <w:color w:val="auto"/>
                <w:w w:val="92"/>
              </w:rPr>
              <w:t>CLASS A</w:t>
            </w:r>
            <w:r>
              <w:rPr>
                <w:rFonts w:ascii="Arial" w:cs="Arial" w:eastAsia="Arial" w:hAnsi="Arial"/>
                <w:sz w:val="25"/>
                <w:szCs w:val="25"/>
                <w:b w:val="1"/>
                <w:bCs w:val="1"/>
                <w:color w:val="auto"/>
                <w:w w:val="92"/>
                <w:vertAlign w:val="superscript"/>
              </w:rPr>
              <w:t>(2)</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CLASS B</w:t>
            </w:r>
          </w:p>
        </w:tc>
      </w:tr>
      <w:tr>
        <w:trPr>
          <w:trHeight w:val="211"/>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Jason S. Armstrong</w:t>
            </w:r>
          </w:p>
        </w:tc>
        <w:tc>
          <w:tcPr>
            <w:tcW w:w="800" w:type="dxa"/>
            <w:vAlign w:val="bottom"/>
          </w:tcPr>
          <w:p>
            <w:pPr>
              <w:jc w:val="right"/>
              <w:spacing w:after="0"/>
              <w:rPr>
                <w:sz w:val="20"/>
                <w:szCs w:val="20"/>
                <w:color w:val="auto"/>
              </w:rPr>
            </w:pPr>
            <w:r>
              <w:rPr>
                <w:rFonts w:ascii="Arial" w:cs="Arial" w:eastAsia="Arial" w:hAnsi="Arial"/>
                <w:sz w:val="15"/>
                <w:szCs w:val="15"/>
                <w:color w:val="auto"/>
              </w:rPr>
              <w:t>536,173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11"/>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Kenneth J. Bacon</w:t>
            </w:r>
          </w:p>
        </w:tc>
        <w:tc>
          <w:tcPr>
            <w:tcW w:w="800" w:type="dxa"/>
            <w:vAlign w:val="bottom"/>
          </w:tcPr>
          <w:p>
            <w:pPr>
              <w:jc w:val="right"/>
              <w:spacing w:after="0"/>
              <w:rPr>
                <w:sz w:val="20"/>
                <w:szCs w:val="20"/>
                <w:color w:val="auto"/>
              </w:rPr>
            </w:pPr>
            <w:r>
              <w:rPr>
                <w:rFonts w:ascii="Arial" w:cs="Arial" w:eastAsia="Arial" w:hAnsi="Arial"/>
                <w:sz w:val="15"/>
                <w:szCs w:val="15"/>
                <w:color w:val="auto"/>
              </w:rPr>
              <w:t>41,990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12"/>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Thomas J. Baltimore, Jr.</w:t>
            </w:r>
          </w:p>
        </w:tc>
        <w:tc>
          <w:tcPr>
            <w:tcW w:w="800" w:type="dxa"/>
            <w:vAlign w:val="bottom"/>
          </w:tcPr>
          <w:p>
            <w:pPr>
              <w:jc w:val="right"/>
              <w:spacing w:after="0"/>
              <w:rPr>
                <w:sz w:val="20"/>
                <w:szCs w:val="20"/>
                <w:color w:val="auto"/>
              </w:rPr>
            </w:pPr>
            <w:r>
              <w:rPr>
                <w:rFonts w:ascii="Arial" w:cs="Arial" w:eastAsia="Arial" w:hAnsi="Arial"/>
                <w:sz w:val="15"/>
                <w:szCs w:val="15"/>
                <w:color w:val="auto"/>
              </w:rPr>
              <w:t>13,589</w:t>
            </w:r>
          </w:p>
        </w:tc>
        <w:tc>
          <w:tcPr>
            <w:tcW w:w="32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38"/>
        </w:trPr>
        <w:tc>
          <w:tcPr>
            <w:tcW w:w="6940" w:type="dxa"/>
            <w:vAlign w:val="bottom"/>
            <w:tcBorders>
              <w:bottom w:val="single" w:sz="8" w:color="DCDDDE"/>
            </w:tcBorders>
          </w:tcPr>
          <w:p>
            <w:pPr>
              <w:spacing w:after="0"/>
              <w:rPr>
                <w:sz w:val="3"/>
                <w:szCs w:val="3"/>
                <w:color w:val="auto"/>
              </w:rPr>
            </w:pPr>
          </w:p>
        </w:tc>
        <w:tc>
          <w:tcPr>
            <w:tcW w:w="800" w:type="dxa"/>
            <w:vAlign w:val="bottom"/>
            <w:tcBorders>
              <w:bottom w:val="single" w:sz="8" w:color="DCDDDE"/>
            </w:tcBorders>
          </w:tcPr>
          <w:p>
            <w:pPr>
              <w:spacing w:after="0"/>
              <w:rPr>
                <w:sz w:val="3"/>
                <w:szCs w:val="3"/>
                <w:color w:val="auto"/>
              </w:rPr>
            </w:pPr>
          </w:p>
        </w:tc>
        <w:tc>
          <w:tcPr>
            <w:tcW w:w="320" w:type="dxa"/>
            <w:vAlign w:val="bottom"/>
            <w:tcBorders>
              <w:bottom w:val="single" w:sz="8" w:color="DCDDDE"/>
            </w:tcBorders>
          </w:tcPr>
          <w:p>
            <w:pPr>
              <w:spacing w:after="0"/>
              <w:rPr>
                <w:sz w:val="3"/>
                <w:szCs w:val="3"/>
                <w:color w:val="auto"/>
              </w:rPr>
            </w:pPr>
          </w:p>
        </w:tc>
        <w:tc>
          <w:tcPr>
            <w:tcW w:w="840" w:type="dxa"/>
            <w:vAlign w:val="bottom"/>
            <w:tcBorders>
              <w:bottom w:val="single" w:sz="8" w:color="DCDDDE"/>
            </w:tcBorders>
          </w:tcPr>
          <w:p>
            <w:pPr>
              <w:spacing w:after="0"/>
              <w:rPr>
                <w:sz w:val="3"/>
                <w:szCs w:val="3"/>
                <w:color w:val="auto"/>
              </w:rPr>
            </w:pPr>
          </w:p>
        </w:tc>
        <w:tc>
          <w:tcPr>
            <w:tcW w:w="280" w:type="dxa"/>
            <w:vAlign w:val="bottom"/>
            <w:tcBorders>
              <w:bottom w:val="single" w:sz="8" w:color="DCDDDE"/>
            </w:tcBorders>
          </w:tcPr>
          <w:p>
            <w:pPr>
              <w:spacing w:after="0"/>
              <w:rPr>
                <w:sz w:val="3"/>
                <w:szCs w:val="3"/>
                <w:color w:val="auto"/>
              </w:rPr>
            </w:pPr>
          </w:p>
        </w:tc>
        <w:tc>
          <w:tcPr>
            <w:tcW w:w="220" w:type="dxa"/>
            <w:vAlign w:val="bottom"/>
            <w:tcBorders>
              <w:bottom w:val="single" w:sz="8" w:color="DCDDDE"/>
            </w:tcBorders>
          </w:tcPr>
          <w:p>
            <w:pPr>
              <w:spacing w:after="0"/>
              <w:rPr>
                <w:sz w:val="3"/>
                <w:szCs w:val="3"/>
                <w:color w:val="auto"/>
              </w:rPr>
            </w:pPr>
          </w:p>
        </w:tc>
        <w:tc>
          <w:tcPr>
            <w:tcW w:w="940" w:type="dxa"/>
            <w:vAlign w:val="bottom"/>
            <w:tcBorders>
              <w:bottom w:val="single" w:sz="8" w:color="DCDDDE"/>
            </w:tcBorders>
          </w:tcPr>
          <w:p>
            <w:pPr>
              <w:spacing w:after="0"/>
              <w:rPr>
                <w:sz w:val="3"/>
                <w:szCs w:val="3"/>
                <w:color w:val="auto"/>
              </w:rPr>
            </w:pPr>
          </w:p>
        </w:tc>
        <w:tc>
          <w:tcPr>
            <w:tcW w:w="900" w:type="dxa"/>
            <w:vAlign w:val="bottom"/>
            <w:tcBorders>
              <w:bottom w:val="single" w:sz="8" w:color="DCDDDE"/>
            </w:tcBorders>
          </w:tcPr>
          <w:p>
            <w:pPr>
              <w:spacing w:after="0"/>
              <w:rPr>
                <w:sz w:val="3"/>
                <w:szCs w:val="3"/>
                <w:color w:val="auto"/>
              </w:rPr>
            </w:pPr>
          </w:p>
        </w:tc>
      </w:tr>
      <w:tr>
        <w:trPr>
          <w:trHeight w:val="212"/>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Madeline S. Bell</w:t>
            </w:r>
          </w:p>
        </w:tc>
        <w:tc>
          <w:tcPr>
            <w:tcW w:w="800" w:type="dxa"/>
            <w:vAlign w:val="bottom"/>
          </w:tcPr>
          <w:p>
            <w:pPr>
              <w:jc w:val="right"/>
              <w:spacing w:after="0"/>
              <w:rPr>
                <w:sz w:val="20"/>
                <w:szCs w:val="20"/>
                <w:color w:val="auto"/>
              </w:rPr>
            </w:pPr>
            <w:r>
              <w:rPr>
                <w:rFonts w:ascii="Arial" w:cs="Arial" w:eastAsia="Arial" w:hAnsi="Arial"/>
                <w:sz w:val="15"/>
                <w:szCs w:val="15"/>
                <w:color w:val="auto"/>
              </w:rPr>
              <w:t>50,838</w:t>
            </w:r>
          </w:p>
        </w:tc>
        <w:tc>
          <w:tcPr>
            <w:tcW w:w="320" w:type="dxa"/>
            <w:vAlign w:val="bottom"/>
          </w:tcPr>
          <w:p>
            <w:pPr>
              <w:jc w:val="right"/>
              <w:ind w:right="56"/>
              <w:spacing w:after="0"/>
              <w:rPr>
                <w:sz w:val="20"/>
                <w:szCs w:val="20"/>
                <w:color w:val="auto"/>
              </w:rPr>
            </w:pPr>
            <w:r>
              <w:rPr>
                <w:rFonts w:ascii="Arial" w:cs="Arial" w:eastAsia="Arial" w:hAnsi="Arial"/>
                <w:sz w:val="13"/>
                <w:szCs w:val="13"/>
                <w:color w:val="auto"/>
              </w:rPr>
              <w:t>(4)</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12"/>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Louise F. Brady</w:t>
            </w:r>
          </w:p>
        </w:tc>
        <w:tc>
          <w:tcPr>
            <w:tcW w:w="800" w:type="dxa"/>
            <w:vAlign w:val="bottom"/>
          </w:tcPr>
          <w:p>
            <w:pPr>
              <w:jc w:val="right"/>
              <w:spacing w:after="0"/>
              <w:rPr>
                <w:sz w:val="20"/>
                <w:szCs w:val="20"/>
                <w:color w:val="auto"/>
              </w:rPr>
            </w:pPr>
            <w:r>
              <w:rPr>
                <w:rFonts w:ascii="Arial" w:cs="Arial" w:eastAsia="Arial" w:hAnsi="Arial"/>
                <w:sz w:val="15"/>
                <w:szCs w:val="15"/>
                <w:color w:val="auto"/>
              </w:rPr>
              <w:t>7,362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12"/>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Edward D. Breen</w:t>
            </w:r>
          </w:p>
        </w:tc>
        <w:tc>
          <w:tcPr>
            <w:tcW w:w="800" w:type="dxa"/>
            <w:vAlign w:val="bottom"/>
          </w:tcPr>
          <w:p>
            <w:pPr>
              <w:jc w:val="right"/>
              <w:spacing w:after="0"/>
              <w:rPr>
                <w:sz w:val="20"/>
                <w:szCs w:val="20"/>
                <w:color w:val="auto"/>
              </w:rPr>
            </w:pPr>
            <w:r>
              <w:rPr>
                <w:rFonts w:ascii="Arial" w:cs="Arial" w:eastAsia="Arial" w:hAnsi="Arial"/>
                <w:sz w:val="15"/>
                <w:szCs w:val="15"/>
                <w:color w:val="auto"/>
              </w:rPr>
              <w:t>55,973</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11"/>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Michael J. Cavanagh</w:t>
            </w:r>
          </w:p>
        </w:tc>
        <w:tc>
          <w:tcPr>
            <w:tcW w:w="800" w:type="dxa"/>
            <w:vAlign w:val="bottom"/>
          </w:tcPr>
          <w:p>
            <w:pPr>
              <w:jc w:val="right"/>
              <w:spacing w:after="0"/>
              <w:rPr>
                <w:sz w:val="20"/>
                <w:szCs w:val="20"/>
                <w:color w:val="auto"/>
              </w:rPr>
            </w:pPr>
            <w:r>
              <w:rPr>
                <w:rFonts w:ascii="Arial" w:cs="Arial" w:eastAsia="Arial" w:hAnsi="Arial"/>
                <w:sz w:val="15"/>
                <w:szCs w:val="15"/>
                <w:color w:val="auto"/>
              </w:rPr>
              <w:t>5,904,276</w:t>
            </w:r>
          </w:p>
        </w:tc>
        <w:tc>
          <w:tcPr>
            <w:tcW w:w="320" w:type="dxa"/>
            <w:vAlign w:val="bottom"/>
          </w:tcPr>
          <w:p>
            <w:pPr>
              <w:jc w:val="right"/>
              <w:ind w:right="56"/>
              <w:spacing w:after="0"/>
              <w:rPr>
                <w:sz w:val="20"/>
                <w:szCs w:val="20"/>
                <w:color w:val="auto"/>
              </w:rPr>
            </w:pPr>
            <w:r>
              <w:rPr>
                <w:rFonts w:ascii="Arial" w:cs="Arial" w:eastAsia="Arial" w:hAnsi="Arial"/>
                <w:sz w:val="13"/>
                <w:szCs w:val="13"/>
                <w:color w:val="auto"/>
              </w:rPr>
              <w:t>(5)</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11"/>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Gerald L. Hassell</w:t>
            </w:r>
          </w:p>
        </w:tc>
        <w:tc>
          <w:tcPr>
            <w:tcW w:w="800" w:type="dxa"/>
            <w:vAlign w:val="bottom"/>
          </w:tcPr>
          <w:p>
            <w:pPr>
              <w:jc w:val="right"/>
              <w:spacing w:after="0"/>
              <w:rPr>
                <w:sz w:val="20"/>
                <w:szCs w:val="20"/>
                <w:color w:val="auto"/>
              </w:rPr>
            </w:pPr>
            <w:r>
              <w:rPr>
                <w:rFonts w:ascii="Arial" w:cs="Arial" w:eastAsia="Arial" w:hAnsi="Arial"/>
                <w:sz w:val="15"/>
                <w:szCs w:val="15"/>
                <w:color w:val="auto"/>
              </w:rPr>
              <w:t>195,712</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12"/>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Jeffrey A. Honickman</w:t>
            </w:r>
          </w:p>
        </w:tc>
        <w:tc>
          <w:tcPr>
            <w:tcW w:w="800" w:type="dxa"/>
            <w:vAlign w:val="bottom"/>
          </w:tcPr>
          <w:p>
            <w:pPr>
              <w:jc w:val="right"/>
              <w:spacing w:after="0"/>
              <w:rPr>
                <w:sz w:val="20"/>
                <w:szCs w:val="20"/>
                <w:color w:val="auto"/>
              </w:rPr>
            </w:pPr>
            <w:r>
              <w:rPr>
                <w:rFonts w:ascii="Arial" w:cs="Arial" w:eastAsia="Arial" w:hAnsi="Arial"/>
                <w:sz w:val="15"/>
                <w:szCs w:val="15"/>
                <w:color w:val="auto"/>
              </w:rPr>
              <w:t>396,577</w:t>
            </w:r>
          </w:p>
        </w:tc>
        <w:tc>
          <w:tcPr>
            <w:tcW w:w="320" w:type="dxa"/>
            <w:vAlign w:val="bottom"/>
          </w:tcPr>
          <w:p>
            <w:pPr>
              <w:jc w:val="right"/>
              <w:ind w:right="56"/>
              <w:spacing w:after="0"/>
              <w:rPr>
                <w:sz w:val="20"/>
                <w:szCs w:val="20"/>
                <w:color w:val="auto"/>
              </w:rPr>
            </w:pPr>
            <w:r>
              <w:rPr>
                <w:rFonts w:ascii="Arial" w:cs="Arial" w:eastAsia="Arial" w:hAnsi="Arial"/>
                <w:sz w:val="13"/>
                <w:szCs w:val="13"/>
                <w:color w:val="auto"/>
              </w:rPr>
              <w:t>(6)</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12"/>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Jennifer Khoury</w:t>
            </w:r>
          </w:p>
        </w:tc>
        <w:tc>
          <w:tcPr>
            <w:tcW w:w="800" w:type="dxa"/>
            <w:vAlign w:val="bottom"/>
          </w:tcPr>
          <w:p>
            <w:pPr>
              <w:jc w:val="right"/>
              <w:spacing w:after="0"/>
              <w:rPr>
                <w:sz w:val="20"/>
                <w:szCs w:val="20"/>
                <w:color w:val="auto"/>
              </w:rPr>
            </w:pPr>
            <w:r>
              <w:rPr>
                <w:rFonts w:ascii="Arial" w:cs="Arial" w:eastAsia="Arial" w:hAnsi="Arial"/>
                <w:sz w:val="15"/>
                <w:szCs w:val="15"/>
                <w:color w:val="auto"/>
              </w:rPr>
              <w:t>351,428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11"/>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Wonya Y. Lucas</w:t>
            </w:r>
          </w:p>
        </w:tc>
        <w:tc>
          <w:tcPr>
            <w:tcW w:w="800" w:type="dxa"/>
            <w:vAlign w:val="bottom"/>
          </w:tcPr>
          <w:p>
            <w:pPr>
              <w:jc w:val="right"/>
              <w:spacing w:after="0"/>
              <w:rPr>
                <w:sz w:val="20"/>
                <w:szCs w:val="20"/>
                <w:color w:val="auto"/>
              </w:rPr>
            </w:pPr>
            <w:r>
              <w:rPr>
                <w:rFonts w:ascii="Arial" w:cs="Arial" w:eastAsia="Arial" w:hAnsi="Arial"/>
                <w:sz w:val="15"/>
                <w:szCs w:val="15"/>
                <w:color w:val="auto"/>
              </w:rPr>
              <w:t>4,214</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11"/>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Maritza G. Montiel</w:t>
            </w:r>
          </w:p>
        </w:tc>
        <w:tc>
          <w:tcPr>
            <w:tcW w:w="800" w:type="dxa"/>
            <w:vAlign w:val="bottom"/>
          </w:tcPr>
          <w:p>
            <w:pPr>
              <w:jc w:val="right"/>
              <w:spacing w:after="0"/>
              <w:rPr>
                <w:sz w:val="20"/>
                <w:szCs w:val="20"/>
                <w:color w:val="auto"/>
              </w:rPr>
            </w:pPr>
            <w:r>
              <w:rPr>
                <w:rFonts w:ascii="Arial" w:cs="Arial" w:eastAsia="Arial" w:hAnsi="Arial"/>
                <w:sz w:val="15"/>
                <w:szCs w:val="15"/>
                <w:color w:val="auto"/>
              </w:rPr>
              <w:t>27,335</w:t>
            </w:r>
          </w:p>
        </w:tc>
        <w:tc>
          <w:tcPr>
            <w:tcW w:w="320" w:type="dxa"/>
            <w:vAlign w:val="bottom"/>
          </w:tcPr>
          <w:p>
            <w:pPr>
              <w:jc w:val="right"/>
              <w:ind w:right="56"/>
              <w:spacing w:after="0"/>
              <w:rPr>
                <w:sz w:val="20"/>
                <w:szCs w:val="20"/>
                <w:color w:val="auto"/>
              </w:rPr>
            </w:pPr>
            <w:r>
              <w:rPr>
                <w:rFonts w:ascii="Arial" w:cs="Arial" w:eastAsia="Arial" w:hAnsi="Arial"/>
                <w:sz w:val="13"/>
                <w:szCs w:val="13"/>
                <w:color w:val="auto"/>
              </w:rPr>
              <w:t>(7)</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12"/>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Asuka Nakahara</w:t>
            </w:r>
          </w:p>
        </w:tc>
        <w:tc>
          <w:tcPr>
            <w:tcW w:w="800" w:type="dxa"/>
            <w:vAlign w:val="bottom"/>
          </w:tcPr>
          <w:p>
            <w:pPr>
              <w:jc w:val="right"/>
              <w:spacing w:after="0"/>
              <w:rPr>
                <w:sz w:val="20"/>
                <w:szCs w:val="20"/>
                <w:color w:val="auto"/>
              </w:rPr>
            </w:pPr>
            <w:r>
              <w:rPr>
                <w:rFonts w:ascii="Arial" w:cs="Arial" w:eastAsia="Arial" w:hAnsi="Arial"/>
                <w:sz w:val="15"/>
                <w:szCs w:val="15"/>
                <w:color w:val="auto"/>
              </w:rPr>
              <w:t>66,300</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12"/>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David C. Novak</w:t>
            </w:r>
          </w:p>
        </w:tc>
        <w:tc>
          <w:tcPr>
            <w:tcW w:w="800" w:type="dxa"/>
            <w:vAlign w:val="bottom"/>
          </w:tcPr>
          <w:p>
            <w:pPr>
              <w:jc w:val="right"/>
              <w:spacing w:after="0"/>
              <w:rPr>
                <w:sz w:val="20"/>
                <w:szCs w:val="20"/>
                <w:color w:val="auto"/>
              </w:rPr>
            </w:pPr>
            <w:r>
              <w:rPr>
                <w:rFonts w:ascii="Arial" w:cs="Arial" w:eastAsia="Arial" w:hAnsi="Arial"/>
                <w:sz w:val="15"/>
                <w:szCs w:val="15"/>
                <w:color w:val="auto"/>
              </w:rPr>
              <w:t>387,873</w:t>
            </w:r>
          </w:p>
        </w:tc>
        <w:tc>
          <w:tcPr>
            <w:tcW w:w="320" w:type="dxa"/>
            <w:vAlign w:val="bottom"/>
          </w:tcPr>
          <w:p>
            <w:pPr>
              <w:jc w:val="right"/>
              <w:ind w:right="56"/>
              <w:spacing w:after="0"/>
              <w:rPr>
                <w:sz w:val="20"/>
                <w:szCs w:val="20"/>
                <w:color w:val="auto"/>
              </w:rPr>
            </w:pPr>
            <w:r>
              <w:rPr>
                <w:rFonts w:ascii="Arial" w:cs="Arial" w:eastAsia="Arial" w:hAnsi="Arial"/>
                <w:sz w:val="13"/>
                <w:szCs w:val="13"/>
                <w:color w:val="auto"/>
              </w:rPr>
              <w:t>(8)</w:t>
            </w: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12"/>
        </w:trPr>
        <w:tc>
          <w:tcPr>
            <w:tcW w:w="6940" w:type="dxa"/>
            <w:vAlign w:val="bottom"/>
          </w:tcPr>
          <w:p>
            <w:pPr>
              <w:ind w:left="80"/>
              <w:spacing w:after="0"/>
              <w:rPr>
                <w:sz w:val="20"/>
                <w:szCs w:val="20"/>
                <w:color w:val="auto"/>
              </w:rPr>
            </w:pPr>
            <w:r>
              <w:rPr>
                <w:rFonts w:ascii="Arial" w:cs="Arial" w:eastAsia="Arial" w:hAnsi="Arial"/>
                <w:sz w:val="15"/>
                <w:szCs w:val="15"/>
                <w:b w:val="1"/>
                <w:bCs w:val="1"/>
                <w:color w:val="auto"/>
              </w:rPr>
              <w:t>Thomas J. Reid</w:t>
            </w:r>
          </w:p>
        </w:tc>
        <w:tc>
          <w:tcPr>
            <w:tcW w:w="800" w:type="dxa"/>
            <w:vAlign w:val="bottom"/>
          </w:tcPr>
          <w:p>
            <w:pPr>
              <w:jc w:val="right"/>
              <w:spacing w:after="0"/>
              <w:rPr>
                <w:sz w:val="20"/>
                <w:szCs w:val="20"/>
                <w:color w:val="auto"/>
              </w:rPr>
            </w:pPr>
            <w:r>
              <w:rPr>
                <w:rFonts w:ascii="Arial" w:cs="Arial" w:eastAsia="Arial" w:hAnsi="Arial"/>
                <w:sz w:val="15"/>
                <w:szCs w:val="15"/>
                <w:color w:val="auto"/>
              </w:rPr>
              <w:t>576,505</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464"/>
              <w:spacing w:after="0"/>
              <w:rPr>
                <w:sz w:val="20"/>
                <w:szCs w:val="20"/>
                <w:color w:val="auto"/>
              </w:rPr>
            </w:pPr>
            <w:r>
              <w:rPr>
                <w:rFonts w:ascii="Arial" w:cs="Arial" w:eastAsia="Arial" w:hAnsi="Arial"/>
                <w:sz w:val="15"/>
                <w:szCs w:val="15"/>
                <w:color w:val="auto"/>
              </w:rPr>
              <w:t>—</w:t>
            </w:r>
          </w:p>
        </w:tc>
      </w:tr>
      <w:tr>
        <w:trPr>
          <w:trHeight w:val="25"/>
        </w:trPr>
        <w:tc>
          <w:tcPr>
            <w:tcW w:w="6940" w:type="dxa"/>
            <w:vAlign w:val="bottom"/>
            <w:tcBorders>
              <w:bottom w:val="single" w:sz="8" w:color="DCDDDE"/>
            </w:tcBorders>
          </w:tcPr>
          <w:p>
            <w:pPr>
              <w:spacing w:after="0"/>
              <w:rPr>
                <w:sz w:val="2"/>
                <w:szCs w:val="2"/>
                <w:color w:val="auto"/>
              </w:rPr>
            </w:pPr>
          </w:p>
        </w:tc>
        <w:tc>
          <w:tcPr>
            <w:tcW w:w="800" w:type="dxa"/>
            <w:vAlign w:val="bottom"/>
            <w:tcBorders>
              <w:bottom w:val="single" w:sz="8" w:color="DCDDDE"/>
            </w:tcBorders>
          </w:tcPr>
          <w:p>
            <w:pPr>
              <w:spacing w:after="0"/>
              <w:rPr>
                <w:sz w:val="2"/>
                <w:szCs w:val="2"/>
                <w:color w:val="auto"/>
              </w:rPr>
            </w:pPr>
          </w:p>
        </w:tc>
        <w:tc>
          <w:tcPr>
            <w:tcW w:w="320" w:type="dxa"/>
            <w:vAlign w:val="bottom"/>
            <w:tcBorders>
              <w:bottom w:val="single" w:sz="8" w:color="DCDDDE"/>
            </w:tcBorders>
          </w:tcPr>
          <w:p>
            <w:pPr>
              <w:spacing w:after="0"/>
              <w:rPr>
                <w:sz w:val="2"/>
                <w:szCs w:val="2"/>
                <w:color w:val="auto"/>
              </w:rPr>
            </w:pPr>
          </w:p>
        </w:tc>
        <w:tc>
          <w:tcPr>
            <w:tcW w:w="840" w:type="dxa"/>
            <w:vAlign w:val="bottom"/>
            <w:tcBorders>
              <w:bottom w:val="single" w:sz="8" w:color="DCDDDE"/>
            </w:tcBorders>
          </w:tcPr>
          <w:p>
            <w:pPr>
              <w:spacing w:after="0"/>
              <w:rPr>
                <w:sz w:val="2"/>
                <w:szCs w:val="2"/>
                <w:color w:val="auto"/>
              </w:rPr>
            </w:pPr>
          </w:p>
        </w:tc>
        <w:tc>
          <w:tcPr>
            <w:tcW w:w="280" w:type="dxa"/>
            <w:vAlign w:val="bottom"/>
            <w:tcBorders>
              <w:bottom w:val="single" w:sz="8" w:color="DCDDDE"/>
            </w:tcBorders>
          </w:tcPr>
          <w:p>
            <w:pPr>
              <w:spacing w:after="0"/>
              <w:rPr>
                <w:sz w:val="2"/>
                <w:szCs w:val="2"/>
                <w:color w:val="auto"/>
              </w:rPr>
            </w:pPr>
          </w:p>
        </w:tc>
        <w:tc>
          <w:tcPr>
            <w:tcW w:w="220" w:type="dxa"/>
            <w:vAlign w:val="bottom"/>
            <w:tcBorders>
              <w:bottom w:val="single" w:sz="8" w:color="DCDDDE"/>
            </w:tcBorders>
          </w:tcPr>
          <w:p>
            <w:pPr>
              <w:spacing w:after="0"/>
              <w:rPr>
                <w:sz w:val="2"/>
                <w:szCs w:val="2"/>
                <w:color w:val="auto"/>
              </w:rPr>
            </w:pPr>
          </w:p>
        </w:tc>
        <w:tc>
          <w:tcPr>
            <w:tcW w:w="940" w:type="dxa"/>
            <w:vAlign w:val="bottom"/>
            <w:tcBorders>
              <w:bottom w:val="single" w:sz="8" w:color="DCDDDE"/>
            </w:tcBorders>
          </w:tcPr>
          <w:p>
            <w:pPr>
              <w:spacing w:after="0"/>
              <w:rPr>
                <w:sz w:val="2"/>
                <w:szCs w:val="2"/>
                <w:color w:val="auto"/>
              </w:rPr>
            </w:pPr>
          </w:p>
        </w:tc>
        <w:tc>
          <w:tcPr>
            <w:tcW w:w="900" w:type="dxa"/>
            <w:vAlign w:val="bottom"/>
            <w:tcBorders>
              <w:bottom w:val="single" w:sz="8" w:color="DCDDDE"/>
            </w:tcBorders>
          </w:tcPr>
          <w:p>
            <w:pPr>
              <w:spacing w:after="0"/>
              <w:rPr>
                <w:sz w:val="2"/>
                <w:szCs w:val="2"/>
                <w:color w:val="auto"/>
              </w:rPr>
            </w:pPr>
          </w:p>
        </w:tc>
      </w:tr>
      <w:tr>
        <w:trPr>
          <w:trHeight w:val="250"/>
        </w:trPr>
        <w:tc>
          <w:tcPr>
            <w:tcW w:w="694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Brian L. Roberts</w:t>
            </w:r>
          </w:p>
        </w:tc>
        <w:tc>
          <w:tcPr>
            <w:tcW w:w="80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w w:val="98"/>
              </w:rPr>
              <w:t>31,345,338</w:t>
            </w:r>
          </w:p>
        </w:tc>
        <w:tc>
          <w:tcPr>
            <w:tcW w:w="320" w:type="dxa"/>
            <w:vAlign w:val="bottom"/>
            <w:tcBorders>
              <w:bottom w:val="single" w:sz="8" w:color="DCDDDE"/>
            </w:tcBorders>
          </w:tcPr>
          <w:p>
            <w:pPr>
              <w:jc w:val="right"/>
              <w:ind w:right="56"/>
              <w:spacing w:after="0"/>
              <w:rPr>
                <w:sz w:val="20"/>
                <w:szCs w:val="20"/>
                <w:color w:val="auto"/>
              </w:rPr>
            </w:pPr>
            <w:r>
              <w:rPr>
                <w:rFonts w:ascii="Arial" w:cs="Arial" w:eastAsia="Arial" w:hAnsi="Arial"/>
                <w:sz w:val="13"/>
                <w:szCs w:val="13"/>
                <w:color w:val="auto"/>
              </w:rPr>
              <w:t>(9)</w:t>
            </w:r>
          </w:p>
        </w:tc>
        <w:tc>
          <w:tcPr>
            <w:tcW w:w="840" w:type="dxa"/>
            <w:vAlign w:val="bottom"/>
            <w:tcBorders>
              <w:bottom w:val="single" w:sz="8" w:color="DCDDDE"/>
            </w:tcBorders>
          </w:tcPr>
          <w:p>
            <w:pPr>
              <w:jc w:val="right"/>
              <w:spacing w:after="0"/>
              <w:rPr>
                <w:sz w:val="20"/>
                <w:szCs w:val="20"/>
                <w:color w:val="auto"/>
              </w:rPr>
            </w:pPr>
            <w:r>
              <w:rPr>
                <w:rFonts w:ascii="Arial" w:cs="Arial" w:eastAsia="Arial" w:hAnsi="Arial"/>
                <w:sz w:val="15"/>
                <w:szCs w:val="15"/>
                <w:color w:val="auto"/>
              </w:rPr>
              <w:t>9,444,375</w:t>
            </w:r>
          </w:p>
        </w:tc>
        <w:tc>
          <w:tcPr>
            <w:tcW w:w="500" w:type="dxa"/>
            <w:vAlign w:val="bottom"/>
            <w:tcBorders>
              <w:bottom w:val="single" w:sz="8" w:color="DCDDDE"/>
            </w:tcBorders>
            <w:gridSpan w:val="2"/>
          </w:tcPr>
          <w:p>
            <w:pPr>
              <w:jc w:val="right"/>
              <w:ind w:right="220"/>
              <w:spacing w:after="0"/>
              <w:rPr>
                <w:sz w:val="20"/>
                <w:szCs w:val="20"/>
                <w:color w:val="auto"/>
              </w:rPr>
            </w:pPr>
            <w:r>
              <w:rPr>
                <w:rFonts w:ascii="Arial" w:cs="Arial" w:eastAsia="Arial" w:hAnsi="Arial"/>
                <w:sz w:val="13"/>
                <w:szCs w:val="13"/>
                <w:color w:val="auto"/>
              </w:rPr>
              <w:t>(10)</w:t>
            </w:r>
          </w:p>
        </w:tc>
        <w:tc>
          <w:tcPr>
            <w:tcW w:w="94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DCDDDE"/>
            </w:tcBorders>
          </w:tcPr>
          <w:p>
            <w:pPr>
              <w:jc w:val="right"/>
              <w:ind w:right="4"/>
              <w:spacing w:after="0" w:line="250" w:lineRule="exact"/>
              <w:rPr>
                <w:sz w:val="20"/>
                <w:szCs w:val="20"/>
                <w:color w:val="auto"/>
              </w:rPr>
            </w:pPr>
            <w:r>
              <w:rPr>
                <w:rFonts w:ascii="Arial" w:cs="Arial" w:eastAsia="Arial" w:hAnsi="Arial"/>
                <w:sz w:val="15"/>
                <w:szCs w:val="15"/>
                <w:color w:val="auto"/>
              </w:rPr>
              <w:t xml:space="preserve">100% </w:t>
            </w:r>
            <w:r>
              <w:rPr>
                <w:rFonts w:ascii="Arial" w:cs="Arial" w:eastAsia="Arial" w:hAnsi="Arial"/>
                <w:sz w:val="25"/>
                <w:szCs w:val="25"/>
                <w:color w:val="auto"/>
                <w:vertAlign w:val="superscript"/>
              </w:rPr>
              <w:t>(10)</w:t>
            </w:r>
          </w:p>
        </w:tc>
      </w:tr>
      <w:tr>
        <w:trPr>
          <w:trHeight w:val="204"/>
        </w:trPr>
        <w:tc>
          <w:tcPr>
            <w:tcW w:w="6940" w:type="dxa"/>
            <w:vAlign w:val="bottom"/>
          </w:tcPr>
          <w:p>
            <w:pPr>
              <w:ind w:left="80"/>
              <w:spacing w:after="0"/>
              <w:rPr>
                <w:sz w:val="20"/>
                <w:szCs w:val="20"/>
                <w:color w:val="auto"/>
              </w:rPr>
            </w:pPr>
            <w:r>
              <w:rPr>
                <w:rFonts w:ascii="Arial" w:cs="Arial" w:eastAsia="Arial" w:hAnsi="Arial"/>
                <w:sz w:val="15"/>
                <w:szCs w:val="15"/>
                <w:color w:val="auto"/>
              </w:rPr>
              <w:t>All directors and executive officers as a group (17 persons)</w:t>
            </w:r>
          </w:p>
        </w:tc>
        <w:tc>
          <w:tcPr>
            <w:tcW w:w="800" w:type="dxa"/>
            <w:vAlign w:val="bottom"/>
          </w:tcPr>
          <w:p>
            <w:pPr>
              <w:jc w:val="right"/>
              <w:spacing w:after="0"/>
              <w:rPr>
                <w:sz w:val="20"/>
                <w:szCs w:val="20"/>
                <w:color w:val="auto"/>
              </w:rPr>
            </w:pPr>
            <w:r>
              <w:rPr>
                <w:rFonts w:ascii="Arial" w:cs="Arial" w:eastAsia="Arial" w:hAnsi="Arial"/>
                <w:sz w:val="15"/>
                <w:szCs w:val="15"/>
                <w:color w:val="auto"/>
                <w:w w:val="98"/>
              </w:rPr>
              <w:t>40,268,422</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9,444,375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324"/>
              <w:spacing w:after="0"/>
              <w:rPr>
                <w:sz w:val="20"/>
                <w:szCs w:val="20"/>
                <w:color w:val="auto"/>
              </w:rPr>
            </w:pPr>
            <w:r>
              <w:rPr>
                <w:rFonts w:ascii="Arial" w:cs="Arial" w:eastAsia="Arial" w:hAnsi="Arial"/>
                <w:sz w:val="15"/>
                <w:szCs w:val="15"/>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7" w:lineRule="exact"/>
        <w:rPr>
          <w:sz w:val="20"/>
          <w:szCs w:val="20"/>
          <w:color w:val="auto"/>
        </w:rPr>
      </w:pPr>
    </w:p>
    <w:p>
      <w:pPr>
        <w:ind w:left="380" w:hanging="372"/>
        <w:spacing w:after="0"/>
        <w:tabs>
          <w:tab w:leader="none" w:pos="380" w:val="left"/>
        </w:tabs>
        <w:numPr>
          <w:ilvl w:val="0"/>
          <w:numId w:val="115"/>
        </w:numPr>
        <w:rPr>
          <w:rFonts w:ascii="Arial" w:cs="Arial" w:eastAsia="Arial" w:hAnsi="Arial"/>
          <w:sz w:val="15"/>
          <w:szCs w:val="15"/>
          <w:color w:val="auto"/>
        </w:rPr>
      </w:pPr>
      <w:r>
        <w:rPr>
          <w:rFonts w:ascii="Arial" w:cs="Arial" w:eastAsia="Arial" w:hAnsi="Arial"/>
          <w:sz w:val="15"/>
          <w:szCs w:val="15"/>
          <w:color w:val="auto"/>
        </w:rPr>
        <w:t>Less than 1% of the outstanding shares of the applicable class.</w:t>
      </w:r>
    </w:p>
    <w:p>
      <w:pPr>
        <w:spacing w:after="0" w:line="57" w:lineRule="exact"/>
        <w:rPr>
          <w:sz w:val="20"/>
          <w:szCs w:val="20"/>
          <w:color w:val="auto"/>
        </w:rPr>
      </w:pPr>
    </w:p>
    <w:p>
      <w:pPr>
        <w:ind w:left="380" w:right="340" w:hanging="372"/>
        <w:spacing w:after="0" w:line="264" w:lineRule="auto"/>
        <w:tabs>
          <w:tab w:leader="none" w:pos="380" w:val="left"/>
        </w:tabs>
        <w:numPr>
          <w:ilvl w:val="0"/>
          <w:numId w:val="116"/>
        </w:numPr>
        <w:rPr>
          <w:rFonts w:ascii="Arial" w:cs="Arial" w:eastAsia="Arial" w:hAnsi="Arial"/>
          <w:sz w:val="13"/>
          <w:szCs w:val="13"/>
          <w:color w:val="auto"/>
        </w:rPr>
      </w:pPr>
      <w:r>
        <w:rPr>
          <w:rFonts w:ascii="Arial" w:cs="Arial" w:eastAsia="Arial" w:hAnsi="Arial"/>
          <w:sz w:val="15"/>
          <w:szCs w:val="15"/>
          <w:color w:val="auto"/>
        </w:rPr>
        <w:t>Beneficial ownership as of February 28, 2024 (except for Ms. Lucas, which is as of April 15, 2024 when she first became a director) has been determined in accordance with Rule 13d-3 under the Exchange Act.</w:t>
      </w:r>
    </w:p>
    <w:p>
      <w:pPr>
        <w:spacing w:after="0" w:line="12" w:lineRule="exact"/>
        <w:rPr>
          <w:rFonts w:ascii="Arial" w:cs="Arial" w:eastAsia="Arial" w:hAnsi="Arial"/>
          <w:sz w:val="13"/>
          <w:szCs w:val="13"/>
          <w:color w:val="auto"/>
        </w:rPr>
      </w:pPr>
    </w:p>
    <w:p>
      <w:pPr>
        <w:ind w:left="380" w:right="40" w:hanging="372"/>
        <w:spacing w:after="0" w:line="244" w:lineRule="auto"/>
        <w:tabs>
          <w:tab w:leader="none" w:pos="380" w:val="left"/>
        </w:tabs>
        <w:numPr>
          <w:ilvl w:val="0"/>
          <w:numId w:val="116"/>
        </w:numPr>
        <w:rPr>
          <w:rFonts w:ascii="Arial" w:cs="Arial" w:eastAsia="Arial" w:hAnsi="Arial"/>
          <w:sz w:val="13"/>
          <w:szCs w:val="13"/>
          <w:color w:val="auto"/>
        </w:rPr>
      </w:pPr>
      <w:r>
        <w:rPr>
          <w:rFonts w:ascii="Arial" w:cs="Arial" w:eastAsia="Arial" w:hAnsi="Arial"/>
          <w:sz w:val="15"/>
          <w:szCs w:val="15"/>
          <w:color w:val="auto"/>
        </w:rPr>
        <w:t>Includes beneficial ownership of the following number of shares for which the following persons hold options exercisable on or within 60 days of February 28, 2024: Mr. Armstrong, 498,044; Mr. Cavanagh, 4,155,270; Ms. Khoury, 306,848; Mr. Reid, 470,146; Mr. Roberts, 5,570,447; and all executive officers as a group, 11,273,063.</w:t>
      </w:r>
    </w:p>
    <w:p>
      <w:pPr>
        <w:spacing w:after="0" w:line="27" w:lineRule="exact"/>
        <w:rPr>
          <w:rFonts w:ascii="Arial" w:cs="Arial" w:eastAsia="Arial" w:hAnsi="Arial"/>
          <w:sz w:val="13"/>
          <w:szCs w:val="13"/>
          <w:color w:val="auto"/>
        </w:rPr>
      </w:pPr>
    </w:p>
    <w:p>
      <w:pPr>
        <w:ind w:left="380" w:right="180"/>
        <w:spacing w:after="0" w:line="244" w:lineRule="auto"/>
        <w:rPr>
          <w:rFonts w:ascii="Arial" w:cs="Arial" w:eastAsia="Arial" w:hAnsi="Arial"/>
          <w:sz w:val="13"/>
          <w:szCs w:val="13"/>
          <w:color w:val="auto"/>
        </w:rPr>
      </w:pPr>
      <w:r>
        <w:rPr>
          <w:rFonts w:ascii="Arial" w:cs="Arial" w:eastAsia="Arial" w:hAnsi="Arial"/>
          <w:sz w:val="15"/>
          <w:szCs w:val="15"/>
          <w:color w:val="auto"/>
        </w:rPr>
        <w:t>Includes beneficial ownership of the following number of shares underlying stock units held by the following persons that vest on or within 60 days of February 28, 2024: Mr. Armstrong, 12,822; Mr. Cavanagh, 342,689; Ms. Khoury, 12,885; Mr. Reid, 80,116; Mr. Roberts, 418,990; and all executive officers as a group, 879,352.</w:t>
      </w:r>
    </w:p>
    <w:p>
      <w:pPr>
        <w:spacing w:after="0" w:line="27" w:lineRule="exact"/>
        <w:rPr>
          <w:rFonts w:ascii="Arial" w:cs="Arial" w:eastAsia="Arial" w:hAnsi="Arial"/>
          <w:sz w:val="13"/>
          <w:szCs w:val="13"/>
          <w:color w:val="auto"/>
        </w:rPr>
      </w:pPr>
    </w:p>
    <w:p>
      <w:pPr>
        <w:ind w:left="380" w:right="360"/>
        <w:spacing w:after="0" w:line="244" w:lineRule="auto"/>
        <w:rPr>
          <w:rFonts w:ascii="Arial" w:cs="Arial" w:eastAsia="Arial" w:hAnsi="Arial"/>
          <w:sz w:val="13"/>
          <w:szCs w:val="13"/>
          <w:color w:val="auto"/>
        </w:rPr>
      </w:pPr>
      <w:r>
        <w:rPr>
          <w:rFonts w:ascii="Arial" w:cs="Arial" w:eastAsia="Arial" w:hAnsi="Arial"/>
          <w:sz w:val="15"/>
          <w:szCs w:val="15"/>
          <w:color w:val="auto"/>
        </w:rPr>
        <w:t>Includes the following number of shares that will be paid at a future date in stock under our deferred compensation plans for the following persons: Mr. Baltimore, 12,468; Ms. Bell, 42,333; Ms. Brady, 7,362; Mr. Breen, 1,115; Mr. Hassell, 191,002; Mr. Honickman, 275,144; Ms. Montiel, 15,340; Mr. Nakahara, 62,108; and Mr. Novak, 58,323.</w:t>
      </w:r>
    </w:p>
    <w:p>
      <w:pPr>
        <w:spacing w:after="0" w:line="27" w:lineRule="exact"/>
        <w:rPr>
          <w:rFonts w:ascii="Arial" w:cs="Arial" w:eastAsia="Arial" w:hAnsi="Arial"/>
          <w:sz w:val="13"/>
          <w:szCs w:val="13"/>
          <w:color w:val="auto"/>
        </w:rPr>
      </w:pPr>
    </w:p>
    <w:p>
      <w:pPr>
        <w:ind w:left="380" w:hanging="372"/>
        <w:spacing w:after="0"/>
        <w:tabs>
          <w:tab w:leader="none" w:pos="380" w:val="left"/>
        </w:tabs>
        <w:numPr>
          <w:ilvl w:val="0"/>
          <w:numId w:val="116"/>
        </w:numPr>
        <w:rPr>
          <w:rFonts w:ascii="Arial" w:cs="Arial" w:eastAsia="Arial" w:hAnsi="Arial"/>
          <w:sz w:val="13"/>
          <w:szCs w:val="13"/>
          <w:color w:val="auto"/>
        </w:rPr>
      </w:pPr>
      <w:r>
        <w:rPr>
          <w:rFonts w:ascii="Arial" w:cs="Arial" w:eastAsia="Arial" w:hAnsi="Arial"/>
          <w:sz w:val="15"/>
          <w:szCs w:val="15"/>
          <w:color w:val="auto"/>
        </w:rPr>
        <w:t>Includes 477 shares held by his spouse.</w:t>
      </w:r>
    </w:p>
    <w:p>
      <w:pPr>
        <w:spacing w:after="0" w:line="70" w:lineRule="exact"/>
        <w:rPr>
          <w:rFonts w:ascii="Arial" w:cs="Arial" w:eastAsia="Arial" w:hAnsi="Arial"/>
          <w:sz w:val="13"/>
          <w:szCs w:val="13"/>
          <w:color w:val="auto"/>
        </w:rPr>
      </w:pPr>
    </w:p>
    <w:p>
      <w:pPr>
        <w:ind w:left="380" w:hanging="372"/>
        <w:spacing w:after="0"/>
        <w:tabs>
          <w:tab w:leader="none" w:pos="380" w:val="left"/>
        </w:tabs>
        <w:numPr>
          <w:ilvl w:val="0"/>
          <w:numId w:val="116"/>
        </w:numPr>
        <w:rPr>
          <w:rFonts w:ascii="Arial" w:cs="Arial" w:eastAsia="Arial" w:hAnsi="Arial"/>
          <w:sz w:val="13"/>
          <w:szCs w:val="13"/>
          <w:color w:val="auto"/>
        </w:rPr>
      </w:pPr>
      <w:r>
        <w:rPr>
          <w:rFonts w:ascii="Arial" w:cs="Arial" w:eastAsia="Arial" w:hAnsi="Arial"/>
          <w:sz w:val="15"/>
          <w:szCs w:val="15"/>
          <w:color w:val="auto"/>
        </w:rPr>
        <w:t>Includes 2,200 shares held jointly by her and her spouse and 400 shares held by her spouse.</w:t>
      </w:r>
    </w:p>
    <w:p>
      <w:pPr>
        <w:spacing w:after="0" w:line="70" w:lineRule="exact"/>
        <w:rPr>
          <w:rFonts w:ascii="Arial" w:cs="Arial" w:eastAsia="Arial" w:hAnsi="Arial"/>
          <w:sz w:val="13"/>
          <w:szCs w:val="13"/>
          <w:color w:val="auto"/>
        </w:rPr>
      </w:pPr>
    </w:p>
    <w:p>
      <w:pPr>
        <w:ind w:left="380" w:hanging="372"/>
        <w:spacing w:after="0"/>
        <w:tabs>
          <w:tab w:leader="none" w:pos="380" w:val="left"/>
        </w:tabs>
        <w:numPr>
          <w:ilvl w:val="0"/>
          <w:numId w:val="116"/>
        </w:numPr>
        <w:rPr>
          <w:rFonts w:ascii="Arial" w:cs="Arial" w:eastAsia="Arial" w:hAnsi="Arial"/>
          <w:sz w:val="13"/>
          <w:szCs w:val="13"/>
          <w:color w:val="auto"/>
        </w:rPr>
      </w:pPr>
      <w:r>
        <w:rPr>
          <w:rFonts w:ascii="Arial" w:cs="Arial" w:eastAsia="Arial" w:hAnsi="Arial"/>
          <w:sz w:val="15"/>
          <w:szCs w:val="15"/>
          <w:color w:val="auto"/>
        </w:rPr>
        <w:t>Includes 238,540 shares and 1,167,777 shares underlying options held by a trust of which his spouse is a trustee.</w:t>
      </w:r>
    </w:p>
    <w:p>
      <w:pPr>
        <w:spacing w:after="0" w:line="70" w:lineRule="exact"/>
        <w:rPr>
          <w:rFonts w:ascii="Arial" w:cs="Arial" w:eastAsia="Arial" w:hAnsi="Arial"/>
          <w:sz w:val="13"/>
          <w:szCs w:val="13"/>
          <w:color w:val="auto"/>
        </w:rPr>
      </w:pPr>
    </w:p>
    <w:p>
      <w:pPr>
        <w:ind w:left="380" w:hanging="372"/>
        <w:spacing w:after="0"/>
        <w:tabs>
          <w:tab w:leader="none" w:pos="380" w:val="left"/>
        </w:tabs>
        <w:numPr>
          <w:ilvl w:val="0"/>
          <w:numId w:val="116"/>
        </w:numPr>
        <w:rPr>
          <w:rFonts w:ascii="Arial" w:cs="Arial" w:eastAsia="Arial" w:hAnsi="Arial"/>
          <w:sz w:val="13"/>
          <w:szCs w:val="13"/>
          <w:color w:val="auto"/>
        </w:rPr>
      </w:pPr>
      <w:r>
        <w:rPr>
          <w:rFonts w:ascii="Arial" w:cs="Arial" w:eastAsia="Arial" w:hAnsi="Arial"/>
          <w:sz w:val="15"/>
          <w:szCs w:val="15"/>
          <w:color w:val="auto"/>
        </w:rPr>
        <w:t>Includes 20,150 shares held by trusts of which he is a trustee.</w:t>
      </w:r>
    </w:p>
    <w:p>
      <w:pPr>
        <w:spacing w:after="0" w:line="70" w:lineRule="exact"/>
        <w:rPr>
          <w:rFonts w:ascii="Arial" w:cs="Arial" w:eastAsia="Arial" w:hAnsi="Arial"/>
          <w:sz w:val="13"/>
          <w:szCs w:val="13"/>
          <w:color w:val="auto"/>
        </w:rPr>
      </w:pPr>
    </w:p>
    <w:p>
      <w:pPr>
        <w:ind w:left="380" w:hanging="372"/>
        <w:spacing w:after="0"/>
        <w:tabs>
          <w:tab w:leader="none" w:pos="380" w:val="left"/>
        </w:tabs>
        <w:numPr>
          <w:ilvl w:val="0"/>
          <w:numId w:val="116"/>
        </w:numPr>
        <w:rPr>
          <w:rFonts w:ascii="Arial" w:cs="Arial" w:eastAsia="Arial" w:hAnsi="Arial"/>
          <w:sz w:val="13"/>
          <w:szCs w:val="13"/>
          <w:color w:val="auto"/>
        </w:rPr>
      </w:pPr>
      <w:r>
        <w:rPr>
          <w:rFonts w:ascii="Arial" w:cs="Arial" w:eastAsia="Arial" w:hAnsi="Arial"/>
          <w:sz w:val="15"/>
          <w:szCs w:val="15"/>
          <w:color w:val="auto"/>
        </w:rPr>
        <w:t>Includes 425 shares held in an individual retirement account.</w:t>
      </w:r>
    </w:p>
    <w:p>
      <w:pPr>
        <w:spacing w:after="0" w:line="70" w:lineRule="exact"/>
        <w:rPr>
          <w:rFonts w:ascii="Arial" w:cs="Arial" w:eastAsia="Arial" w:hAnsi="Arial"/>
          <w:sz w:val="13"/>
          <w:szCs w:val="13"/>
          <w:color w:val="auto"/>
        </w:rPr>
      </w:pPr>
    </w:p>
    <w:p>
      <w:pPr>
        <w:ind w:left="380" w:hanging="372"/>
        <w:spacing w:after="0"/>
        <w:tabs>
          <w:tab w:leader="none" w:pos="380" w:val="left"/>
        </w:tabs>
        <w:numPr>
          <w:ilvl w:val="0"/>
          <w:numId w:val="116"/>
        </w:numPr>
        <w:rPr>
          <w:rFonts w:ascii="Arial" w:cs="Arial" w:eastAsia="Arial" w:hAnsi="Arial"/>
          <w:sz w:val="13"/>
          <w:szCs w:val="13"/>
          <w:color w:val="auto"/>
        </w:rPr>
      </w:pPr>
      <w:r>
        <w:rPr>
          <w:rFonts w:ascii="Arial" w:cs="Arial" w:eastAsia="Arial" w:hAnsi="Arial"/>
          <w:sz w:val="15"/>
          <w:szCs w:val="15"/>
          <w:color w:val="auto"/>
        </w:rPr>
        <w:t>Includes 500 shares held by family trusts.</w:t>
      </w:r>
    </w:p>
    <w:p>
      <w:pPr>
        <w:spacing w:after="0" w:line="70" w:lineRule="exact"/>
        <w:rPr>
          <w:rFonts w:ascii="Arial" w:cs="Arial" w:eastAsia="Arial" w:hAnsi="Arial"/>
          <w:sz w:val="13"/>
          <w:szCs w:val="13"/>
          <w:color w:val="auto"/>
        </w:rPr>
      </w:pPr>
    </w:p>
    <w:p>
      <w:pPr>
        <w:ind w:left="380" w:right="20" w:hanging="372"/>
        <w:spacing w:after="0" w:line="244" w:lineRule="auto"/>
        <w:tabs>
          <w:tab w:leader="none" w:pos="380" w:val="left"/>
        </w:tabs>
        <w:numPr>
          <w:ilvl w:val="0"/>
          <w:numId w:val="116"/>
        </w:numPr>
        <w:rPr>
          <w:rFonts w:ascii="Arial" w:cs="Arial" w:eastAsia="Arial" w:hAnsi="Arial"/>
          <w:sz w:val="13"/>
          <w:szCs w:val="13"/>
          <w:color w:val="auto"/>
        </w:rPr>
      </w:pPr>
      <w:r>
        <w:rPr>
          <w:rFonts w:ascii="Arial" w:cs="Arial" w:eastAsia="Arial" w:hAnsi="Arial"/>
          <w:sz w:val="15"/>
          <w:szCs w:val="15"/>
          <w:color w:val="auto"/>
        </w:rPr>
        <w:t>Includes 286,044 shares owned by his spouse; 1,032,645 shares owned by a family charitable foundation of which his spouse is a trustee; and 16,799,517 shares owned by certain family trusts. Does not include shares of Class A common stock issuable upon conversion of Class B common stock beneficially owned by him; if he were to convert the Class B common stock into Class A common stock, he would beneficially own approximately 1% of the Class A common stock.</w:t>
      </w:r>
    </w:p>
    <w:p>
      <w:pPr>
        <w:spacing w:after="0" w:line="27" w:lineRule="exact"/>
        <w:rPr>
          <w:rFonts w:ascii="Arial" w:cs="Arial" w:eastAsia="Arial" w:hAnsi="Arial"/>
          <w:sz w:val="13"/>
          <w:szCs w:val="13"/>
          <w:color w:val="auto"/>
        </w:rPr>
      </w:pPr>
    </w:p>
    <w:p>
      <w:pPr>
        <w:ind w:left="380" w:hanging="372"/>
        <w:spacing w:after="0"/>
        <w:tabs>
          <w:tab w:leader="none" w:pos="380" w:val="left"/>
        </w:tabs>
        <w:numPr>
          <w:ilvl w:val="0"/>
          <w:numId w:val="116"/>
        </w:numPr>
        <w:rPr>
          <w:rFonts w:ascii="Arial" w:cs="Arial" w:eastAsia="Arial" w:hAnsi="Arial"/>
          <w:sz w:val="13"/>
          <w:szCs w:val="13"/>
          <w:color w:val="auto"/>
        </w:rPr>
      </w:pPr>
      <w:r>
        <w:rPr>
          <w:rFonts w:ascii="Arial" w:cs="Arial" w:eastAsia="Arial" w:hAnsi="Arial"/>
          <w:sz w:val="15"/>
          <w:szCs w:val="15"/>
          <w:color w:val="auto"/>
        </w:rPr>
        <w:t>See footnote (3) under “— Principal Shareholders” above.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60" w:type="dxa"/>
            <w:vAlign w:val="bottom"/>
          </w:tcPr>
          <w:p>
            <w:pPr>
              <w:ind w:left="948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56</w:t>
            </w:r>
          </w:p>
        </w:tc>
      </w:tr>
      <w:tr>
        <w:trPr>
          <w:trHeight w:val="362"/>
        </w:trPr>
        <w:tc>
          <w:tcPr>
            <w:tcW w:w="10960" w:type="dxa"/>
            <w:vAlign w:val="bottom"/>
            <w:tcBorders>
              <w:bottom w:val="single" w:sz="8" w:color="A1A1A1"/>
            </w:tcBorders>
          </w:tcPr>
          <w:p>
            <w:pPr>
              <w:spacing w:after="0"/>
              <w:rPr>
                <w:sz w:val="24"/>
                <w:szCs w:val="24"/>
                <w:color w:val="auto"/>
              </w:rPr>
            </w:pPr>
          </w:p>
        </w:tc>
        <w:tc>
          <w:tcPr>
            <w:tcW w:w="28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Delinquent Section 16(a) Reports</w:t>
      </w:r>
    </w:p>
    <w:p>
      <w:pPr>
        <w:spacing w:after="0" w:line="235"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Our directors and executive officers file reports with the SEC pursuant to Section 16(a) of the Exchange Act indicating the number of shares of any class of our equity securities they owned when they became a director or executive officer and, after that, any changes in their ownership of our equity securities. Based on our review of such reports and written representations from the individuals required to file the reports, we believe that all filings required to be made by our reporting persons for 2023 were made on a timely basis, other than a late Form 4 filing on behalf of Thomas J. Reid with respect to one transaction and an amendment to each of the Form 3s filed on behalf of Jason S. Armstrong and Jennifer Khoury to report holdings which were inadvertently omitted from the Form 3s originally filed.</w:t>
      </w:r>
    </w:p>
    <w:p>
      <w:pPr>
        <w:spacing w:after="0" w:line="16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of Directors</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Director Compensation Program</w:t>
      </w:r>
    </w:p>
    <w:p>
      <w:pPr>
        <w:spacing w:after="0" w:line="23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From time to time, the CHC Committee directs an independent compensation consultant to provide analyses with respect to various nonemployee director compensation data. Korn Ferry last provided this analysis in 2023. Pursuant to Korn Ferry’s recommendations in 2023, the CHC Committee recommended and the Board approved certain changes to nonemployee director compensation effective October 1, 2023 to (1) increase the annual retainer from $110,000 to $120,000, (2) increase the value of the annual stock grant from $195,000 to $225,000 and (3) increase the GCR Committee chair and member retainers from $20,000 and $12,500, respectively, to $40,000 and $15,000, respectively. Our current nonemployee director annual compensation reflecting these changes is as follows:</w:t>
      </w:r>
    </w:p>
    <w:p>
      <w:pPr>
        <w:sectPr>
          <w:pgSz w:w="11900" w:h="16838" w:orient="portrait"/>
          <w:cols w:equalWidth="0" w:num="1">
            <w:col w:w="11220"/>
          </w:cols>
          <w:pgMar w:left="320" w:top="122" w:right="35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00A0DD"/>
        </w:rPr>
        <w:t>DIRECTOR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2768600" cy="4457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68600"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COMMITTEE MEMBERSHIP FEES FOR EACH BOARD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00A0DD"/>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1602740" cy="3860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02740" cy="386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48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annual retainer may be received, at the election of the nonemployee director, in shares of Class A common stock, the receipt of which may be deferred in whole or in part. The receipt of the annual stock grant (which is fully vested upon grant) also may be deferred in whole or in part, as may any fees received by a director. Deferred fees must be invested notionally in a third-party mutual or exchange fund or our Class A common stock fund (with dividends being reinvested in Comcast stock).</w:t>
      </w:r>
    </w:p>
    <w:p>
      <w:pPr>
        <w:spacing w:after="0" w:line="174"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A director emeritus receives an annual cash payment equal to the fair market value of our annual stock grant and the same annual retainer as provided above for nonemployee directors for the first year of service and remains eligible for participation in our deferred compensation plans as an active participant for the first two years of service.</w:t>
      </w:r>
    </w:p>
    <w:p>
      <w:pPr>
        <w:spacing w:after="0" w:line="16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Nonemployee directors and directors emeritus are reimbursed for travel expenses for meetings attended and are provided with our high-speed internet, video, voice and home security and automation services at two residences, if in our service areas, at no cost during the time they serve, and for five years thereafter.</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Director Stock Ownership Policy</w:t>
      </w:r>
    </w:p>
    <w:p>
      <w:pPr>
        <w:spacing w:after="0" w:line="23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nonemployee director stock ownership policy requires our nonemployee directors to hold a number of shares of our common stock having a value equal to five times the director’s annual cash retainer. Each nonemployee director has a period of five years following his or her first year of service to reach this ownership requirement. For purposes of this policy, “ownership” includes 60% of any deferred shares. In determining compliance, the CHC Committee may consider any noncompliance that occurs solely or primarily as a result of a decline in the market price of our stock. All nonemployee directors satisfied the requirements of our stock ownership policy in 2023.</w:t>
      </w:r>
    </w:p>
    <w:p>
      <w:pPr>
        <w:spacing w:after="0" w:line="181" w:lineRule="exact"/>
        <w:rPr>
          <w:sz w:val="20"/>
          <w:szCs w:val="20"/>
          <w:color w:val="auto"/>
        </w:rPr>
      </w:pPr>
    </w:p>
    <w:p>
      <w:pPr>
        <w:ind w:left="420" w:hanging="412"/>
        <w:spacing w:after="0"/>
        <w:tabs>
          <w:tab w:leader="none" w:pos="420" w:val="left"/>
        </w:tabs>
        <w:numPr>
          <w:ilvl w:val="0"/>
          <w:numId w:val="11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00A0DD"/>
        </w:rPr>
        <w:t>Director Compensation</w:t>
      </w:r>
    </w:p>
    <w:p>
      <w:pPr>
        <w:spacing w:after="0" w:line="235"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following table sets forth specified information regarding the compensation of our nonemployee directors in 2023. No information is provided for Mr. Roberts, who is an employee director and does not receive compensation for his services as a director, or for Ms. Lucas, who joined our Board in April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4240" w:type="dxa"/>
            <w:vAlign w:val="bottom"/>
          </w:tcPr>
          <w:p>
            <w:pPr>
              <w:jc w:val="right"/>
              <w:ind w:right="24"/>
              <w:spacing w:after="0"/>
              <w:rPr>
                <w:sz w:val="20"/>
                <w:szCs w:val="20"/>
                <w:color w:val="auto"/>
              </w:rPr>
            </w:pPr>
            <w:r>
              <w:rPr>
                <w:rFonts w:ascii="Arial" w:cs="Arial" w:eastAsia="Arial" w:hAnsi="Arial"/>
                <w:sz w:val="15"/>
                <w:szCs w:val="15"/>
                <w:b w:val="1"/>
                <w:bCs w:val="1"/>
                <w:color w:val="auto"/>
              </w:rPr>
              <w:t>FEES</w:t>
            </w: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4240" w:type="dxa"/>
            <w:vAlign w:val="bottom"/>
          </w:tcPr>
          <w:p>
            <w:pPr>
              <w:jc w:val="right"/>
              <w:ind w:right="24"/>
              <w:spacing w:after="0" w:line="162" w:lineRule="exact"/>
              <w:rPr>
                <w:sz w:val="20"/>
                <w:szCs w:val="20"/>
                <w:color w:val="auto"/>
              </w:rPr>
            </w:pPr>
            <w:r>
              <w:rPr>
                <w:rFonts w:ascii="Arial" w:cs="Arial" w:eastAsia="Arial" w:hAnsi="Arial"/>
                <w:sz w:val="15"/>
                <w:szCs w:val="15"/>
                <w:b w:val="1"/>
                <w:bCs w:val="1"/>
                <w:color w:val="auto"/>
              </w:rPr>
              <w:t>EARNED</w:t>
            </w:r>
          </w:p>
        </w:tc>
        <w:tc>
          <w:tcPr>
            <w:tcW w:w="106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STOCK</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4240" w:type="dxa"/>
            <w:vAlign w:val="bottom"/>
          </w:tcPr>
          <w:p>
            <w:pPr>
              <w:jc w:val="right"/>
              <w:ind w:right="24"/>
              <w:spacing w:after="0"/>
              <w:rPr>
                <w:sz w:val="20"/>
                <w:szCs w:val="20"/>
                <w:color w:val="auto"/>
              </w:rPr>
            </w:pPr>
            <w:r>
              <w:rPr>
                <w:rFonts w:ascii="Arial" w:cs="Arial" w:eastAsia="Arial" w:hAnsi="Arial"/>
                <w:sz w:val="15"/>
                <w:szCs w:val="15"/>
                <w:b w:val="1"/>
                <w:bCs w:val="1"/>
                <w:color w:val="auto"/>
              </w:rPr>
              <w:t>OR PAID</w:t>
            </w:r>
          </w:p>
        </w:tc>
        <w:tc>
          <w:tcPr>
            <w:tcW w:w="10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NAME</w:t>
            </w:r>
          </w:p>
        </w:tc>
        <w:tc>
          <w:tcPr>
            <w:tcW w:w="4240" w:type="dxa"/>
            <w:vAlign w:val="bottom"/>
          </w:tcPr>
          <w:p>
            <w:pPr>
              <w:jc w:val="right"/>
              <w:ind w:right="24"/>
              <w:spacing w:after="0" w:line="189" w:lineRule="exact"/>
              <w:rPr>
                <w:sz w:val="20"/>
                <w:szCs w:val="20"/>
                <w:color w:val="auto"/>
              </w:rPr>
            </w:pPr>
            <w:r>
              <w:rPr>
                <w:rFonts w:ascii="Arial" w:cs="Arial" w:eastAsia="Arial" w:hAnsi="Arial"/>
                <w:sz w:val="13"/>
                <w:szCs w:val="13"/>
                <w:b w:val="1"/>
                <w:bCs w:val="1"/>
                <w:color w:val="auto"/>
              </w:rPr>
              <w:t>IN CASH</w:t>
            </w:r>
            <w:r>
              <w:rPr>
                <w:rFonts w:ascii="Arial" w:cs="Arial" w:eastAsia="Arial" w:hAnsi="Arial"/>
                <w:sz w:val="21"/>
                <w:szCs w:val="21"/>
                <w:b w:val="1"/>
                <w:bCs w:val="1"/>
                <w:color w:val="auto"/>
                <w:vertAlign w:val="superscript"/>
              </w:rPr>
              <w:t>(1)</w:t>
            </w:r>
          </w:p>
        </w:tc>
        <w:tc>
          <w:tcPr>
            <w:tcW w:w="1060" w:type="dxa"/>
            <w:vAlign w:val="bottom"/>
          </w:tcPr>
          <w:p>
            <w:pPr>
              <w:jc w:val="right"/>
              <w:ind w:right="44"/>
              <w:spacing w:after="0" w:line="189"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21"/>
                <w:szCs w:val="21"/>
                <w:b w:val="1"/>
                <w:bCs w:val="1"/>
                <w:color w:val="auto"/>
                <w:vertAlign w:val="superscript"/>
              </w:rPr>
              <w:t>(2)</w:t>
            </w: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4240" w:type="dxa"/>
            <w:vAlign w:val="bottom"/>
          </w:tcPr>
          <w:p>
            <w:pPr>
              <w:jc w:val="right"/>
              <w:ind w:right="24"/>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39"/>
        </w:trPr>
        <w:tc>
          <w:tcPr>
            <w:tcW w:w="520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5200" w:type="dxa"/>
            <w:vAlign w:val="bottom"/>
          </w:tcPr>
          <w:p>
            <w:pPr>
              <w:ind w:left="80"/>
              <w:spacing w:after="0"/>
              <w:rPr>
                <w:sz w:val="20"/>
                <w:szCs w:val="20"/>
                <w:color w:val="auto"/>
              </w:rPr>
            </w:pPr>
            <w:r>
              <w:rPr>
                <w:rFonts w:ascii="Arial" w:cs="Arial" w:eastAsia="Arial" w:hAnsi="Arial"/>
                <w:sz w:val="15"/>
                <w:szCs w:val="15"/>
                <w:b w:val="1"/>
                <w:bCs w:val="1"/>
                <w:color w:val="auto"/>
              </w:rPr>
              <w:t>Kenneth J. Bacon</w:t>
            </w:r>
          </w:p>
        </w:tc>
        <w:tc>
          <w:tcPr>
            <w:tcW w:w="4240" w:type="dxa"/>
            <w:vAlign w:val="bottom"/>
          </w:tcPr>
          <w:p>
            <w:pPr>
              <w:jc w:val="right"/>
              <w:ind w:right="24"/>
              <w:spacing w:after="0"/>
              <w:rPr>
                <w:sz w:val="20"/>
                <w:szCs w:val="20"/>
                <w:color w:val="auto"/>
              </w:rPr>
            </w:pPr>
            <w:r>
              <w:rPr>
                <w:rFonts w:ascii="Arial" w:cs="Arial" w:eastAsia="Arial" w:hAnsi="Arial"/>
                <w:sz w:val="15"/>
                <w:szCs w:val="15"/>
                <w:color w:val="auto"/>
              </w:rPr>
              <w:t>137,500</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225,006</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362,506</w:t>
            </w:r>
          </w:p>
        </w:tc>
        <w:tc>
          <w:tcPr>
            <w:tcW w:w="0" w:type="dxa"/>
            <w:vAlign w:val="bottom"/>
          </w:tcPr>
          <w:p>
            <w:pPr>
              <w:spacing w:after="0"/>
              <w:rPr>
                <w:sz w:val="1"/>
                <w:szCs w:val="1"/>
                <w:color w:val="auto"/>
              </w:rPr>
            </w:pPr>
          </w:p>
        </w:tc>
      </w:tr>
      <w:tr>
        <w:trPr>
          <w:trHeight w:val="38"/>
        </w:trPr>
        <w:tc>
          <w:tcPr>
            <w:tcW w:w="5200" w:type="dxa"/>
            <w:vAlign w:val="bottom"/>
            <w:tcBorders>
              <w:bottom w:val="single" w:sz="8" w:color="DCDDDE"/>
            </w:tcBorders>
          </w:tcPr>
          <w:p>
            <w:pPr>
              <w:spacing w:after="0"/>
              <w:rPr>
                <w:sz w:val="3"/>
                <w:szCs w:val="3"/>
                <w:color w:val="auto"/>
              </w:rPr>
            </w:pPr>
          </w:p>
        </w:tc>
        <w:tc>
          <w:tcPr>
            <w:tcW w:w="4240" w:type="dxa"/>
            <w:vAlign w:val="bottom"/>
            <w:tcBorders>
              <w:bottom w:val="single" w:sz="8" w:color="DCDDDE"/>
            </w:tcBorders>
          </w:tcPr>
          <w:p>
            <w:pPr>
              <w:spacing w:after="0"/>
              <w:rPr>
                <w:sz w:val="3"/>
                <w:szCs w:val="3"/>
                <w:color w:val="auto"/>
              </w:rPr>
            </w:pPr>
          </w:p>
        </w:tc>
        <w:tc>
          <w:tcPr>
            <w:tcW w:w="1060" w:type="dxa"/>
            <w:vAlign w:val="bottom"/>
            <w:tcBorders>
              <w:bottom w:val="single" w:sz="8" w:color="DCDDDE"/>
            </w:tcBorders>
          </w:tcPr>
          <w:p>
            <w:pPr>
              <w:spacing w:after="0"/>
              <w:rPr>
                <w:sz w:val="3"/>
                <w:szCs w:val="3"/>
                <w:color w:val="auto"/>
              </w:rPr>
            </w:pPr>
          </w:p>
        </w:tc>
        <w:tc>
          <w:tcPr>
            <w:tcW w:w="74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5200" w:type="dxa"/>
            <w:vAlign w:val="bottom"/>
          </w:tcPr>
          <w:p>
            <w:pPr>
              <w:ind w:left="80"/>
              <w:spacing w:after="0"/>
              <w:rPr>
                <w:sz w:val="20"/>
                <w:szCs w:val="20"/>
                <w:color w:val="auto"/>
              </w:rPr>
            </w:pPr>
            <w:r>
              <w:rPr>
                <w:rFonts w:ascii="Arial" w:cs="Arial" w:eastAsia="Arial" w:hAnsi="Arial"/>
                <w:sz w:val="15"/>
                <w:szCs w:val="15"/>
                <w:b w:val="1"/>
                <w:bCs w:val="1"/>
                <w:color w:val="auto"/>
              </w:rPr>
              <w:t>Thomas J. Baltimore, Jr.</w:t>
            </w:r>
          </w:p>
        </w:tc>
        <w:tc>
          <w:tcPr>
            <w:tcW w:w="4240" w:type="dxa"/>
            <w:vAlign w:val="bottom"/>
          </w:tcPr>
          <w:p>
            <w:pPr>
              <w:jc w:val="right"/>
              <w:ind w:right="24"/>
              <w:spacing w:after="0"/>
              <w:rPr>
                <w:sz w:val="20"/>
                <w:szCs w:val="20"/>
                <w:color w:val="auto"/>
              </w:rPr>
            </w:pPr>
            <w:r>
              <w:rPr>
                <w:rFonts w:ascii="Arial" w:cs="Arial" w:eastAsia="Arial" w:hAnsi="Arial"/>
                <w:sz w:val="15"/>
                <w:szCs w:val="15"/>
                <w:color w:val="auto"/>
              </w:rPr>
              <w:t>123,750</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371,257</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495,007</w:t>
            </w:r>
          </w:p>
        </w:tc>
        <w:tc>
          <w:tcPr>
            <w:tcW w:w="0" w:type="dxa"/>
            <w:vAlign w:val="bottom"/>
          </w:tcPr>
          <w:p>
            <w:pPr>
              <w:spacing w:after="0"/>
              <w:rPr>
                <w:sz w:val="1"/>
                <w:szCs w:val="1"/>
                <w:color w:val="auto"/>
              </w:rPr>
            </w:pPr>
          </w:p>
        </w:tc>
      </w:tr>
      <w:tr>
        <w:trPr>
          <w:trHeight w:val="38"/>
        </w:trPr>
        <w:tc>
          <w:tcPr>
            <w:tcW w:w="5200" w:type="dxa"/>
            <w:vAlign w:val="bottom"/>
            <w:tcBorders>
              <w:bottom w:val="single" w:sz="8" w:color="DCDDDE"/>
            </w:tcBorders>
          </w:tcPr>
          <w:p>
            <w:pPr>
              <w:spacing w:after="0"/>
              <w:rPr>
                <w:sz w:val="3"/>
                <w:szCs w:val="3"/>
                <w:color w:val="auto"/>
              </w:rPr>
            </w:pPr>
          </w:p>
        </w:tc>
        <w:tc>
          <w:tcPr>
            <w:tcW w:w="4240" w:type="dxa"/>
            <w:vAlign w:val="bottom"/>
            <w:tcBorders>
              <w:bottom w:val="single" w:sz="8" w:color="DCDDDE"/>
            </w:tcBorders>
          </w:tcPr>
          <w:p>
            <w:pPr>
              <w:spacing w:after="0"/>
              <w:rPr>
                <w:sz w:val="3"/>
                <w:szCs w:val="3"/>
                <w:color w:val="auto"/>
              </w:rPr>
            </w:pPr>
          </w:p>
        </w:tc>
        <w:tc>
          <w:tcPr>
            <w:tcW w:w="1060" w:type="dxa"/>
            <w:vAlign w:val="bottom"/>
            <w:tcBorders>
              <w:bottom w:val="single" w:sz="8" w:color="DCDDDE"/>
            </w:tcBorders>
          </w:tcPr>
          <w:p>
            <w:pPr>
              <w:spacing w:after="0"/>
              <w:rPr>
                <w:sz w:val="3"/>
                <w:szCs w:val="3"/>
                <w:color w:val="auto"/>
              </w:rPr>
            </w:pPr>
          </w:p>
        </w:tc>
        <w:tc>
          <w:tcPr>
            <w:tcW w:w="74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5200" w:type="dxa"/>
            <w:vAlign w:val="bottom"/>
          </w:tcPr>
          <w:p>
            <w:pPr>
              <w:ind w:left="80"/>
              <w:spacing w:after="0"/>
              <w:rPr>
                <w:sz w:val="20"/>
                <w:szCs w:val="20"/>
                <w:color w:val="auto"/>
              </w:rPr>
            </w:pPr>
            <w:r>
              <w:rPr>
                <w:rFonts w:ascii="Arial" w:cs="Arial" w:eastAsia="Arial" w:hAnsi="Arial"/>
                <w:sz w:val="15"/>
                <w:szCs w:val="15"/>
                <w:b w:val="1"/>
                <w:bCs w:val="1"/>
                <w:color w:val="auto"/>
              </w:rPr>
              <w:t>Madeline S. Bell</w:t>
            </w:r>
          </w:p>
        </w:tc>
        <w:tc>
          <w:tcPr>
            <w:tcW w:w="4240" w:type="dxa"/>
            <w:vAlign w:val="bottom"/>
          </w:tcPr>
          <w:p>
            <w:pPr>
              <w:jc w:val="right"/>
              <w:ind w:right="24"/>
              <w:spacing w:after="0"/>
              <w:rPr>
                <w:sz w:val="20"/>
                <w:szCs w:val="20"/>
                <w:color w:val="auto"/>
              </w:rPr>
            </w:pPr>
            <w:r>
              <w:rPr>
                <w:rFonts w:ascii="Arial" w:cs="Arial" w:eastAsia="Arial" w:hAnsi="Arial"/>
                <w:sz w:val="15"/>
                <w:szCs w:val="15"/>
                <w:color w:val="auto"/>
              </w:rPr>
              <w:t>125,625</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225,006</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350,631</w:t>
            </w:r>
          </w:p>
        </w:tc>
        <w:tc>
          <w:tcPr>
            <w:tcW w:w="0" w:type="dxa"/>
            <w:vAlign w:val="bottom"/>
          </w:tcPr>
          <w:p>
            <w:pPr>
              <w:spacing w:after="0"/>
              <w:rPr>
                <w:sz w:val="1"/>
                <w:szCs w:val="1"/>
                <w:color w:val="auto"/>
              </w:rPr>
            </w:pPr>
          </w:p>
        </w:tc>
      </w:tr>
      <w:tr>
        <w:trPr>
          <w:trHeight w:val="38"/>
        </w:trPr>
        <w:tc>
          <w:tcPr>
            <w:tcW w:w="5200" w:type="dxa"/>
            <w:vAlign w:val="bottom"/>
            <w:tcBorders>
              <w:bottom w:val="single" w:sz="8" w:color="DCDDDE"/>
            </w:tcBorders>
          </w:tcPr>
          <w:p>
            <w:pPr>
              <w:spacing w:after="0"/>
              <w:rPr>
                <w:sz w:val="3"/>
                <w:szCs w:val="3"/>
                <w:color w:val="auto"/>
              </w:rPr>
            </w:pPr>
          </w:p>
        </w:tc>
        <w:tc>
          <w:tcPr>
            <w:tcW w:w="4240" w:type="dxa"/>
            <w:vAlign w:val="bottom"/>
            <w:tcBorders>
              <w:bottom w:val="single" w:sz="8" w:color="DCDDDE"/>
            </w:tcBorders>
          </w:tcPr>
          <w:p>
            <w:pPr>
              <w:spacing w:after="0"/>
              <w:rPr>
                <w:sz w:val="3"/>
                <w:szCs w:val="3"/>
                <w:color w:val="auto"/>
              </w:rPr>
            </w:pPr>
          </w:p>
        </w:tc>
        <w:tc>
          <w:tcPr>
            <w:tcW w:w="1060" w:type="dxa"/>
            <w:vAlign w:val="bottom"/>
            <w:tcBorders>
              <w:bottom w:val="single" w:sz="8" w:color="DCDDDE"/>
            </w:tcBorders>
          </w:tcPr>
          <w:p>
            <w:pPr>
              <w:spacing w:after="0"/>
              <w:rPr>
                <w:sz w:val="3"/>
                <w:szCs w:val="3"/>
                <w:color w:val="auto"/>
              </w:rPr>
            </w:pPr>
          </w:p>
        </w:tc>
        <w:tc>
          <w:tcPr>
            <w:tcW w:w="74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5200" w:type="dxa"/>
            <w:vAlign w:val="bottom"/>
          </w:tcPr>
          <w:p>
            <w:pPr>
              <w:ind w:left="80"/>
              <w:spacing w:after="0"/>
              <w:rPr>
                <w:sz w:val="20"/>
                <w:szCs w:val="20"/>
                <w:color w:val="auto"/>
              </w:rPr>
            </w:pPr>
            <w:r>
              <w:rPr>
                <w:rFonts w:ascii="Arial" w:cs="Arial" w:eastAsia="Arial" w:hAnsi="Arial"/>
                <w:sz w:val="15"/>
                <w:szCs w:val="15"/>
                <w:b w:val="1"/>
                <w:bCs w:val="1"/>
                <w:color w:val="auto"/>
              </w:rPr>
              <w:t>Louise F. Brady</w:t>
            </w:r>
          </w:p>
        </w:tc>
        <w:tc>
          <w:tcPr>
            <w:tcW w:w="4240" w:type="dxa"/>
            <w:vAlign w:val="bottom"/>
          </w:tcPr>
          <w:p>
            <w:pPr>
              <w:jc w:val="right"/>
              <w:ind w:right="24"/>
              <w:spacing w:after="0"/>
              <w:rPr>
                <w:sz w:val="20"/>
                <w:szCs w:val="20"/>
                <w:color w:val="auto"/>
              </w:rPr>
            </w:pPr>
            <w:r>
              <w:rPr>
                <w:rFonts w:ascii="Arial" w:cs="Arial" w:eastAsia="Arial" w:hAnsi="Arial"/>
                <w:sz w:val="15"/>
                <w:szCs w:val="15"/>
                <w:color w:val="auto"/>
              </w:rPr>
              <w:t>33,750</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281,273</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315,023</w:t>
            </w:r>
          </w:p>
        </w:tc>
        <w:tc>
          <w:tcPr>
            <w:tcW w:w="0" w:type="dxa"/>
            <w:vAlign w:val="bottom"/>
          </w:tcPr>
          <w:p>
            <w:pPr>
              <w:spacing w:after="0"/>
              <w:rPr>
                <w:sz w:val="1"/>
                <w:szCs w:val="1"/>
                <w:color w:val="auto"/>
              </w:rPr>
            </w:pPr>
          </w:p>
        </w:tc>
      </w:tr>
      <w:tr>
        <w:trPr>
          <w:trHeight w:val="38"/>
        </w:trPr>
        <w:tc>
          <w:tcPr>
            <w:tcW w:w="5200" w:type="dxa"/>
            <w:vAlign w:val="bottom"/>
            <w:tcBorders>
              <w:bottom w:val="single" w:sz="8" w:color="DCDDDE"/>
            </w:tcBorders>
          </w:tcPr>
          <w:p>
            <w:pPr>
              <w:spacing w:after="0"/>
              <w:rPr>
                <w:sz w:val="3"/>
                <w:szCs w:val="3"/>
                <w:color w:val="auto"/>
              </w:rPr>
            </w:pPr>
          </w:p>
        </w:tc>
        <w:tc>
          <w:tcPr>
            <w:tcW w:w="4240" w:type="dxa"/>
            <w:vAlign w:val="bottom"/>
            <w:tcBorders>
              <w:bottom w:val="single" w:sz="8" w:color="DCDDDE"/>
            </w:tcBorders>
          </w:tcPr>
          <w:p>
            <w:pPr>
              <w:spacing w:after="0"/>
              <w:rPr>
                <w:sz w:val="3"/>
                <w:szCs w:val="3"/>
                <w:color w:val="auto"/>
              </w:rPr>
            </w:pPr>
          </w:p>
        </w:tc>
        <w:tc>
          <w:tcPr>
            <w:tcW w:w="1060" w:type="dxa"/>
            <w:vAlign w:val="bottom"/>
            <w:tcBorders>
              <w:bottom w:val="single" w:sz="8" w:color="DCDDDE"/>
            </w:tcBorders>
          </w:tcPr>
          <w:p>
            <w:pPr>
              <w:spacing w:after="0"/>
              <w:rPr>
                <w:sz w:val="3"/>
                <w:szCs w:val="3"/>
                <w:color w:val="auto"/>
              </w:rPr>
            </w:pPr>
          </w:p>
        </w:tc>
        <w:tc>
          <w:tcPr>
            <w:tcW w:w="74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5200" w:type="dxa"/>
            <w:vAlign w:val="bottom"/>
          </w:tcPr>
          <w:p>
            <w:pPr>
              <w:ind w:left="80"/>
              <w:spacing w:after="0"/>
              <w:rPr>
                <w:sz w:val="20"/>
                <w:szCs w:val="20"/>
                <w:color w:val="auto"/>
              </w:rPr>
            </w:pPr>
            <w:r>
              <w:rPr>
                <w:rFonts w:ascii="Arial" w:cs="Arial" w:eastAsia="Arial" w:hAnsi="Arial"/>
                <w:sz w:val="15"/>
                <w:szCs w:val="15"/>
                <w:b w:val="1"/>
                <w:bCs w:val="1"/>
                <w:color w:val="auto"/>
              </w:rPr>
              <w:t>Edward D. Breen</w:t>
            </w:r>
          </w:p>
        </w:tc>
        <w:tc>
          <w:tcPr>
            <w:tcW w:w="4240" w:type="dxa"/>
            <w:vAlign w:val="bottom"/>
          </w:tcPr>
          <w:p>
            <w:pPr>
              <w:jc w:val="right"/>
              <w:ind w:right="24"/>
              <w:spacing w:after="0"/>
              <w:rPr>
                <w:sz w:val="20"/>
                <w:szCs w:val="20"/>
                <w:color w:val="auto"/>
              </w:rPr>
            </w:pPr>
            <w:r>
              <w:rPr>
                <w:rFonts w:ascii="Arial" w:cs="Arial" w:eastAsia="Arial" w:hAnsi="Arial"/>
                <w:sz w:val="15"/>
                <w:szCs w:val="15"/>
                <w:color w:val="auto"/>
              </w:rPr>
              <w:t>152,500</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225,006</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377,506</w:t>
            </w:r>
          </w:p>
        </w:tc>
        <w:tc>
          <w:tcPr>
            <w:tcW w:w="0" w:type="dxa"/>
            <w:vAlign w:val="bottom"/>
          </w:tcPr>
          <w:p>
            <w:pPr>
              <w:spacing w:after="0"/>
              <w:rPr>
                <w:sz w:val="1"/>
                <w:szCs w:val="1"/>
                <w:color w:val="auto"/>
              </w:rPr>
            </w:pPr>
          </w:p>
        </w:tc>
      </w:tr>
      <w:tr>
        <w:trPr>
          <w:trHeight w:val="39"/>
        </w:trPr>
        <w:tc>
          <w:tcPr>
            <w:tcW w:w="5200" w:type="dxa"/>
            <w:vAlign w:val="bottom"/>
            <w:tcBorders>
              <w:bottom w:val="single" w:sz="8" w:color="DCDDDE"/>
            </w:tcBorders>
          </w:tcPr>
          <w:p>
            <w:pPr>
              <w:spacing w:after="0"/>
              <w:rPr>
                <w:sz w:val="3"/>
                <w:szCs w:val="3"/>
                <w:color w:val="auto"/>
              </w:rPr>
            </w:pPr>
          </w:p>
        </w:tc>
        <w:tc>
          <w:tcPr>
            <w:tcW w:w="4240" w:type="dxa"/>
            <w:vAlign w:val="bottom"/>
            <w:tcBorders>
              <w:bottom w:val="single" w:sz="8" w:color="DCDDDE"/>
            </w:tcBorders>
          </w:tcPr>
          <w:p>
            <w:pPr>
              <w:spacing w:after="0"/>
              <w:rPr>
                <w:sz w:val="3"/>
                <w:szCs w:val="3"/>
                <w:color w:val="auto"/>
              </w:rPr>
            </w:pPr>
          </w:p>
        </w:tc>
        <w:tc>
          <w:tcPr>
            <w:tcW w:w="1060" w:type="dxa"/>
            <w:vAlign w:val="bottom"/>
            <w:tcBorders>
              <w:bottom w:val="single" w:sz="8" w:color="DCDDDE"/>
            </w:tcBorders>
          </w:tcPr>
          <w:p>
            <w:pPr>
              <w:spacing w:after="0"/>
              <w:rPr>
                <w:sz w:val="3"/>
                <w:szCs w:val="3"/>
                <w:color w:val="auto"/>
              </w:rPr>
            </w:pPr>
          </w:p>
        </w:tc>
        <w:tc>
          <w:tcPr>
            <w:tcW w:w="74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52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Gerald L. Hassell</w:t>
            </w:r>
            <w:r>
              <w:rPr>
                <w:rFonts w:ascii="Arial" w:cs="Arial" w:eastAsia="Arial" w:hAnsi="Arial"/>
                <w:sz w:val="25"/>
                <w:szCs w:val="25"/>
                <w:b w:val="1"/>
                <w:bCs w:val="1"/>
                <w:color w:val="auto"/>
                <w:vertAlign w:val="superscript"/>
              </w:rPr>
              <w:t>(3)</w:t>
            </w:r>
          </w:p>
        </w:tc>
        <w:tc>
          <w:tcPr>
            <w:tcW w:w="424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127,500</w:t>
            </w:r>
          </w:p>
        </w:tc>
        <w:tc>
          <w:tcPr>
            <w:tcW w:w="106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225,006</w:t>
            </w:r>
          </w:p>
        </w:tc>
        <w:tc>
          <w:tcPr>
            <w:tcW w:w="7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352,506</w:t>
            </w:r>
          </w:p>
        </w:tc>
        <w:tc>
          <w:tcPr>
            <w:tcW w:w="0" w:type="dxa"/>
            <w:vAlign w:val="bottom"/>
          </w:tcPr>
          <w:p>
            <w:pPr>
              <w:spacing w:after="0"/>
              <w:rPr>
                <w:sz w:val="1"/>
                <w:szCs w:val="1"/>
                <w:color w:val="auto"/>
              </w:rPr>
            </w:pPr>
          </w:p>
        </w:tc>
      </w:tr>
      <w:tr>
        <w:trPr>
          <w:trHeight w:val="252"/>
        </w:trPr>
        <w:tc>
          <w:tcPr>
            <w:tcW w:w="5200" w:type="dxa"/>
            <w:vAlign w:val="bottom"/>
          </w:tcPr>
          <w:p>
            <w:pPr>
              <w:ind w:left="80"/>
              <w:spacing w:after="0"/>
              <w:rPr>
                <w:sz w:val="20"/>
                <w:szCs w:val="20"/>
                <w:color w:val="auto"/>
              </w:rPr>
            </w:pPr>
            <w:r>
              <w:rPr>
                <w:rFonts w:ascii="Arial" w:cs="Arial" w:eastAsia="Arial" w:hAnsi="Arial"/>
                <w:sz w:val="15"/>
                <w:szCs w:val="15"/>
                <w:b w:val="1"/>
                <w:bCs w:val="1"/>
                <w:color w:val="auto"/>
              </w:rPr>
              <w:t>Jeffrey A. Honickman</w:t>
            </w:r>
          </w:p>
        </w:tc>
        <w:tc>
          <w:tcPr>
            <w:tcW w:w="4240" w:type="dxa"/>
            <w:vAlign w:val="bottom"/>
          </w:tcPr>
          <w:p>
            <w:pPr>
              <w:jc w:val="right"/>
              <w:ind w:right="24"/>
              <w:spacing w:after="0"/>
              <w:rPr>
                <w:sz w:val="20"/>
                <w:szCs w:val="20"/>
                <w:color w:val="auto"/>
              </w:rPr>
            </w:pPr>
            <w:r>
              <w:rPr>
                <w:rFonts w:ascii="Arial" w:cs="Arial" w:eastAsia="Arial" w:hAnsi="Arial"/>
                <w:sz w:val="15"/>
                <w:szCs w:val="15"/>
                <w:color w:val="auto"/>
              </w:rPr>
              <w:t>165,625</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225,006</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390,631</w:t>
            </w:r>
          </w:p>
        </w:tc>
        <w:tc>
          <w:tcPr>
            <w:tcW w:w="0" w:type="dxa"/>
            <w:vAlign w:val="bottom"/>
          </w:tcPr>
          <w:p>
            <w:pPr>
              <w:spacing w:after="0"/>
              <w:rPr>
                <w:sz w:val="1"/>
                <w:szCs w:val="1"/>
                <w:color w:val="auto"/>
              </w:rPr>
            </w:pPr>
          </w:p>
        </w:tc>
      </w:tr>
      <w:tr>
        <w:trPr>
          <w:trHeight w:val="38"/>
        </w:trPr>
        <w:tc>
          <w:tcPr>
            <w:tcW w:w="5200" w:type="dxa"/>
            <w:vAlign w:val="bottom"/>
            <w:tcBorders>
              <w:bottom w:val="single" w:sz="8" w:color="DCDDDE"/>
            </w:tcBorders>
          </w:tcPr>
          <w:p>
            <w:pPr>
              <w:spacing w:after="0"/>
              <w:rPr>
                <w:sz w:val="3"/>
                <w:szCs w:val="3"/>
                <w:color w:val="auto"/>
              </w:rPr>
            </w:pPr>
          </w:p>
        </w:tc>
        <w:tc>
          <w:tcPr>
            <w:tcW w:w="4240" w:type="dxa"/>
            <w:vAlign w:val="bottom"/>
            <w:tcBorders>
              <w:bottom w:val="single" w:sz="8" w:color="DCDDDE"/>
            </w:tcBorders>
          </w:tcPr>
          <w:p>
            <w:pPr>
              <w:spacing w:after="0"/>
              <w:rPr>
                <w:sz w:val="3"/>
                <w:szCs w:val="3"/>
                <w:color w:val="auto"/>
              </w:rPr>
            </w:pPr>
          </w:p>
        </w:tc>
        <w:tc>
          <w:tcPr>
            <w:tcW w:w="1060" w:type="dxa"/>
            <w:vAlign w:val="bottom"/>
            <w:tcBorders>
              <w:bottom w:val="single" w:sz="8" w:color="DCDDDE"/>
            </w:tcBorders>
          </w:tcPr>
          <w:p>
            <w:pPr>
              <w:spacing w:after="0"/>
              <w:rPr>
                <w:sz w:val="3"/>
                <w:szCs w:val="3"/>
                <w:color w:val="auto"/>
              </w:rPr>
            </w:pPr>
          </w:p>
        </w:tc>
        <w:tc>
          <w:tcPr>
            <w:tcW w:w="74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5200" w:type="dxa"/>
            <w:vAlign w:val="bottom"/>
            <w:tcBorders>
              <w:bottom w:val="single" w:sz="8" w:color="DCDDDE"/>
            </w:tcBorders>
          </w:tcPr>
          <w:p>
            <w:pPr>
              <w:ind w:left="80"/>
              <w:spacing w:after="0"/>
              <w:rPr>
                <w:sz w:val="20"/>
                <w:szCs w:val="20"/>
                <w:color w:val="auto"/>
              </w:rPr>
            </w:pPr>
            <w:r>
              <w:rPr>
                <w:rFonts w:ascii="Arial" w:cs="Arial" w:eastAsia="Arial" w:hAnsi="Arial"/>
                <w:sz w:val="15"/>
                <w:szCs w:val="15"/>
                <w:b w:val="1"/>
                <w:bCs w:val="1"/>
                <w:color w:val="auto"/>
              </w:rPr>
              <w:t>Maritza G. Montiel</w:t>
            </w:r>
            <w:r>
              <w:rPr>
                <w:rFonts w:ascii="Arial" w:cs="Arial" w:eastAsia="Arial" w:hAnsi="Arial"/>
                <w:sz w:val="25"/>
                <w:szCs w:val="25"/>
                <w:b w:val="1"/>
                <w:bCs w:val="1"/>
                <w:color w:val="auto"/>
                <w:vertAlign w:val="superscript"/>
              </w:rPr>
              <w:t>(3)</w:t>
            </w:r>
          </w:p>
        </w:tc>
        <w:tc>
          <w:tcPr>
            <w:tcW w:w="4240" w:type="dxa"/>
            <w:vAlign w:val="bottom"/>
            <w:tcBorders>
              <w:bottom w:val="single" w:sz="8" w:color="DCDDDE"/>
            </w:tcBorders>
          </w:tcPr>
          <w:p>
            <w:pPr>
              <w:jc w:val="right"/>
              <w:ind w:right="24"/>
              <w:spacing w:after="0"/>
              <w:rPr>
                <w:sz w:val="20"/>
                <w:szCs w:val="20"/>
                <w:color w:val="auto"/>
              </w:rPr>
            </w:pPr>
            <w:r>
              <w:rPr>
                <w:rFonts w:ascii="Arial" w:cs="Arial" w:eastAsia="Arial" w:hAnsi="Arial"/>
                <w:sz w:val="15"/>
                <w:szCs w:val="15"/>
                <w:color w:val="auto"/>
              </w:rPr>
              <w:t>127,500</w:t>
            </w:r>
          </w:p>
        </w:tc>
        <w:tc>
          <w:tcPr>
            <w:tcW w:w="1060" w:type="dxa"/>
            <w:vAlign w:val="bottom"/>
            <w:tcBorders>
              <w:bottom w:val="single" w:sz="8" w:color="DCDDDE"/>
            </w:tcBorders>
          </w:tcPr>
          <w:p>
            <w:pPr>
              <w:jc w:val="right"/>
              <w:ind w:right="44"/>
              <w:spacing w:after="0"/>
              <w:rPr>
                <w:sz w:val="20"/>
                <w:szCs w:val="20"/>
                <w:color w:val="auto"/>
              </w:rPr>
            </w:pPr>
            <w:r>
              <w:rPr>
                <w:rFonts w:ascii="Arial" w:cs="Arial" w:eastAsia="Arial" w:hAnsi="Arial"/>
                <w:sz w:val="15"/>
                <w:szCs w:val="15"/>
                <w:color w:val="auto"/>
              </w:rPr>
              <w:t>225,006</w:t>
            </w:r>
          </w:p>
        </w:tc>
        <w:tc>
          <w:tcPr>
            <w:tcW w:w="740" w:type="dxa"/>
            <w:vAlign w:val="bottom"/>
            <w:tcBorders>
              <w:bottom w:val="single" w:sz="8" w:color="DCDDDE"/>
            </w:tcBorders>
          </w:tcPr>
          <w:p>
            <w:pPr>
              <w:jc w:val="right"/>
              <w:ind w:right="4"/>
              <w:spacing w:after="0"/>
              <w:rPr>
                <w:sz w:val="20"/>
                <w:szCs w:val="20"/>
                <w:color w:val="auto"/>
              </w:rPr>
            </w:pPr>
            <w:r>
              <w:rPr>
                <w:rFonts w:ascii="Arial" w:cs="Arial" w:eastAsia="Arial" w:hAnsi="Arial"/>
                <w:sz w:val="15"/>
                <w:szCs w:val="15"/>
                <w:color w:val="auto"/>
              </w:rPr>
              <w:t>352,506</w:t>
            </w:r>
          </w:p>
        </w:tc>
        <w:tc>
          <w:tcPr>
            <w:tcW w:w="0" w:type="dxa"/>
            <w:vAlign w:val="bottom"/>
          </w:tcPr>
          <w:p>
            <w:pPr>
              <w:spacing w:after="0"/>
              <w:rPr>
                <w:sz w:val="1"/>
                <w:szCs w:val="1"/>
                <w:color w:val="auto"/>
              </w:rPr>
            </w:pPr>
          </w:p>
        </w:tc>
      </w:tr>
      <w:tr>
        <w:trPr>
          <w:trHeight w:val="252"/>
        </w:trPr>
        <w:tc>
          <w:tcPr>
            <w:tcW w:w="5200" w:type="dxa"/>
            <w:vAlign w:val="bottom"/>
          </w:tcPr>
          <w:p>
            <w:pPr>
              <w:ind w:left="80"/>
              <w:spacing w:after="0"/>
              <w:rPr>
                <w:sz w:val="20"/>
                <w:szCs w:val="20"/>
                <w:color w:val="auto"/>
              </w:rPr>
            </w:pPr>
            <w:r>
              <w:rPr>
                <w:rFonts w:ascii="Arial" w:cs="Arial" w:eastAsia="Arial" w:hAnsi="Arial"/>
                <w:sz w:val="15"/>
                <w:szCs w:val="15"/>
                <w:b w:val="1"/>
                <w:bCs w:val="1"/>
                <w:color w:val="auto"/>
              </w:rPr>
              <w:t>Asuka Nakahara</w:t>
            </w:r>
          </w:p>
        </w:tc>
        <w:tc>
          <w:tcPr>
            <w:tcW w:w="4240" w:type="dxa"/>
            <w:vAlign w:val="bottom"/>
          </w:tcPr>
          <w:p>
            <w:pPr>
              <w:jc w:val="right"/>
              <w:ind w:right="24"/>
              <w:spacing w:after="0"/>
              <w:rPr>
                <w:sz w:val="20"/>
                <w:szCs w:val="20"/>
                <w:color w:val="auto"/>
              </w:rPr>
            </w:pPr>
            <w:r>
              <w:rPr>
                <w:rFonts w:ascii="Arial" w:cs="Arial" w:eastAsia="Arial" w:hAnsi="Arial"/>
                <w:sz w:val="15"/>
                <w:szCs w:val="15"/>
                <w:color w:val="auto"/>
              </w:rPr>
              <w:t>127,500</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225,006</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352,506</w:t>
            </w:r>
          </w:p>
        </w:tc>
        <w:tc>
          <w:tcPr>
            <w:tcW w:w="0" w:type="dxa"/>
            <w:vAlign w:val="bottom"/>
          </w:tcPr>
          <w:p>
            <w:pPr>
              <w:spacing w:after="0"/>
              <w:rPr>
                <w:sz w:val="1"/>
                <w:szCs w:val="1"/>
                <w:color w:val="auto"/>
              </w:rPr>
            </w:pPr>
          </w:p>
        </w:tc>
      </w:tr>
      <w:tr>
        <w:trPr>
          <w:trHeight w:val="38"/>
        </w:trPr>
        <w:tc>
          <w:tcPr>
            <w:tcW w:w="5200" w:type="dxa"/>
            <w:vAlign w:val="bottom"/>
            <w:tcBorders>
              <w:bottom w:val="single" w:sz="8" w:color="DCDDDE"/>
            </w:tcBorders>
          </w:tcPr>
          <w:p>
            <w:pPr>
              <w:spacing w:after="0"/>
              <w:rPr>
                <w:sz w:val="3"/>
                <w:szCs w:val="3"/>
                <w:color w:val="auto"/>
              </w:rPr>
            </w:pPr>
          </w:p>
        </w:tc>
        <w:tc>
          <w:tcPr>
            <w:tcW w:w="4240" w:type="dxa"/>
            <w:vAlign w:val="bottom"/>
            <w:tcBorders>
              <w:bottom w:val="single" w:sz="8" w:color="DCDDDE"/>
            </w:tcBorders>
          </w:tcPr>
          <w:p>
            <w:pPr>
              <w:spacing w:after="0"/>
              <w:rPr>
                <w:sz w:val="3"/>
                <w:szCs w:val="3"/>
                <w:color w:val="auto"/>
              </w:rPr>
            </w:pPr>
          </w:p>
        </w:tc>
        <w:tc>
          <w:tcPr>
            <w:tcW w:w="1060" w:type="dxa"/>
            <w:vAlign w:val="bottom"/>
            <w:tcBorders>
              <w:bottom w:val="single" w:sz="8" w:color="DCDDDE"/>
            </w:tcBorders>
          </w:tcPr>
          <w:p>
            <w:pPr>
              <w:spacing w:after="0"/>
              <w:rPr>
                <w:sz w:val="3"/>
                <w:szCs w:val="3"/>
                <w:color w:val="auto"/>
              </w:rPr>
            </w:pPr>
          </w:p>
        </w:tc>
        <w:tc>
          <w:tcPr>
            <w:tcW w:w="740" w:type="dxa"/>
            <w:vAlign w:val="bottom"/>
            <w:tcBorders>
              <w:bottom w:val="single" w:sz="8" w:color="DCDDDE"/>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5200" w:type="dxa"/>
            <w:vAlign w:val="bottom"/>
          </w:tcPr>
          <w:p>
            <w:pPr>
              <w:ind w:left="80"/>
              <w:spacing w:after="0"/>
              <w:rPr>
                <w:sz w:val="20"/>
                <w:szCs w:val="20"/>
                <w:color w:val="auto"/>
              </w:rPr>
            </w:pPr>
            <w:r>
              <w:rPr>
                <w:rFonts w:ascii="Arial" w:cs="Arial" w:eastAsia="Arial" w:hAnsi="Arial"/>
                <w:sz w:val="15"/>
                <w:szCs w:val="15"/>
                <w:b w:val="1"/>
                <w:bCs w:val="1"/>
                <w:color w:val="auto"/>
              </w:rPr>
              <w:t>David C. Novak</w:t>
            </w:r>
          </w:p>
        </w:tc>
        <w:tc>
          <w:tcPr>
            <w:tcW w:w="4240" w:type="dxa"/>
            <w:vAlign w:val="bottom"/>
          </w:tcPr>
          <w:p>
            <w:pPr>
              <w:jc w:val="right"/>
              <w:ind w:right="24"/>
              <w:spacing w:after="0"/>
              <w:rPr>
                <w:sz w:val="20"/>
                <w:szCs w:val="20"/>
                <w:color w:val="auto"/>
              </w:rPr>
            </w:pPr>
            <w:r>
              <w:rPr>
                <w:rFonts w:ascii="Arial" w:cs="Arial" w:eastAsia="Arial" w:hAnsi="Arial"/>
                <w:sz w:val="15"/>
                <w:szCs w:val="15"/>
                <w:color w:val="auto"/>
              </w:rPr>
              <w:t>127,500</w:t>
            </w:r>
          </w:p>
        </w:tc>
        <w:tc>
          <w:tcPr>
            <w:tcW w:w="1060" w:type="dxa"/>
            <w:vAlign w:val="bottom"/>
          </w:tcPr>
          <w:p>
            <w:pPr>
              <w:jc w:val="right"/>
              <w:ind w:right="44"/>
              <w:spacing w:after="0"/>
              <w:rPr>
                <w:sz w:val="20"/>
                <w:szCs w:val="20"/>
                <w:color w:val="auto"/>
              </w:rPr>
            </w:pPr>
            <w:r>
              <w:rPr>
                <w:rFonts w:ascii="Arial" w:cs="Arial" w:eastAsia="Arial" w:hAnsi="Arial"/>
                <w:sz w:val="15"/>
                <w:szCs w:val="15"/>
                <w:color w:val="auto"/>
              </w:rPr>
              <w:t>225,006</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352,506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2" w:lineRule="exact"/>
        <w:rPr>
          <w:sz w:val="20"/>
          <w:szCs w:val="20"/>
          <w:color w:val="auto"/>
        </w:rPr>
      </w:pPr>
    </w:p>
    <w:p>
      <w:pPr>
        <w:ind w:left="320" w:right="80" w:hanging="312"/>
        <w:spacing w:after="0" w:line="244" w:lineRule="auto"/>
        <w:tabs>
          <w:tab w:leader="none" w:pos="320" w:val="left"/>
        </w:tabs>
        <w:numPr>
          <w:ilvl w:val="0"/>
          <w:numId w:val="118"/>
        </w:numPr>
        <w:rPr>
          <w:rFonts w:ascii="Arial" w:cs="Arial" w:eastAsia="Arial" w:hAnsi="Arial"/>
          <w:sz w:val="13"/>
          <w:szCs w:val="13"/>
          <w:color w:val="auto"/>
        </w:rPr>
      </w:pPr>
      <w:r>
        <w:rPr>
          <w:rFonts w:ascii="Arial" w:cs="Arial" w:eastAsia="Arial" w:hAnsi="Arial"/>
          <w:sz w:val="15"/>
          <w:szCs w:val="15"/>
          <w:color w:val="auto"/>
        </w:rPr>
        <w:t>This column represents all cash retainers and meeting fees earned by our nonemployee directors in 2023, regardless of whether such amounts were deferred or elected to be received in shares of our Class A common stock. Refer to footnote (2) of the Security Ownership of Directors and Executive Officers table for information on shares deferred by directors.</w:t>
      </w:r>
    </w:p>
    <w:p>
      <w:pPr>
        <w:spacing w:after="0" w:line="27" w:lineRule="exact"/>
        <w:rPr>
          <w:rFonts w:ascii="Arial" w:cs="Arial" w:eastAsia="Arial" w:hAnsi="Arial"/>
          <w:sz w:val="13"/>
          <w:szCs w:val="13"/>
          <w:color w:val="auto"/>
        </w:rPr>
      </w:pPr>
    </w:p>
    <w:p>
      <w:pPr>
        <w:ind w:left="320" w:right="40" w:hanging="312"/>
        <w:spacing w:after="0" w:line="238" w:lineRule="auto"/>
        <w:tabs>
          <w:tab w:leader="none" w:pos="320" w:val="left"/>
        </w:tabs>
        <w:numPr>
          <w:ilvl w:val="0"/>
          <w:numId w:val="118"/>
        </w:numPr>
        <w:rPr>
          <w:rFonts w:ascii="Arial" w:cs="Arial" w:eastAsia="Arial" w:hAnsi="Arial"/>
          <w:sz w:val="13"/>
          <w:szCs w:val="13"/>
          <w:color w:val="auto"/>
        </w:rPr>
      </w:pPr>
      <w:r>
        <w:rPr>
          <w:rFonts w:ascii="Arial" w:cs="Arial" w:eastAsia="Arial" w:hAnsi="Arial"/>
          <w:sz w:val="15"/>
          <w:szCs w:val="15"/>
          <w:color w:val="auto"/>
        </w:rPr>
        <w:t>The amounts in this column represent the aggregate grant date fair value for each award of shares of Class A common stock granted in 2023, in accordance with FASB ASC Topic 718. The amounts in this column were calculated using the valuation assumptions discussed in the “Share-Based Compensation” footnote to the financial statements in our Annual Report on Form 10-K for the year ended December 31, 2023. The amounts were determined by multiplying the Class A common stock closing price on their respective grant date by the number of shares subject to the grant.</w:t>
      </w:r>
    </w:p>
    <w:p>
      <w:pPr>
        <w:spacing w:after="0" w:line="31" w:lineRule="exact"/>
        <w:rPr>
          <w:rFonts w:ascii="Arial" w:cs="Arial" w:eastAsia="Arial" w:hAnsi="Arial"/>
          <w:sz w:val="13"/>
          <w:szCs w:val="13"/>
          <w:color w:val="auto"/>
        </w:rPr>
      </w:pPr>
    </w:p>
    <w:p>
      <w:pPr>
        <w:ind w:left="320" w:hanging="312"/>
        <w:spacing w:after="0"/>
        <w:tabs>
          <w:tab w:leader="none" w:pos="320" w:val="left"/>
        </w:tabs>
        <w:numPr>
          <w:ilvl w:val="0"/>
          <w:numId w:val="118"/>
        </w:numPr>
        <w:rPr>
          <w:rFonts w:ascii="Arial" w:cs="Arial" w:eastAsia="Arial" w:hAnsi="Arial"/>
          <w:sz w:val="13"/>
          <w:szCs w:val="13"/>
          <w:color w:val="auto"/>
        </w:rPr>
      </w:pPr>
      <w:r>
        <w:rPr>
          <w:rFonts w:ascii="Arial" w:cs="Arial" w:eastAsia="Arial" w:hAnsi="Arial"/>
          <w:sz w:val="15"/>
          <w:szCs w:val="15"/>
          <w:color w:val="auto"/>
        </w:rPr>
        <w:t>Mr. Hassel and Ms. Montiel are not nominees for director at our 2024 annual meeting.</w:t>
      </w:r>
    </w:p>
    <w:p>
      <w:pPr>
        <w:spacing w:after="0" w:line="19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Related Party Transactions Policy and Certain Transactions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review all transactions, except for certain de minimis transactions as set forth in our related party transactions policy, involving us in which any of our directors, director nominees, significant shareholders and executive officers and their immediate family members are participants, to determine whether such person has a direct or indirect material interest in the transaction. All directors, director nominees and executive officers are required to promptly notify our Chief Legal Officer of any proposed transaction involving us in which such person has a direct or indirect material interest. The proposed transaction is then reviewed by either the independent members of our Board as a whole, the GCR Committee or the Audit Committee to determine whether the proposed transaction is a related party transaction under our policy. In reviewing any related party transaction, the independent members of the Board as a whole, the GCR Committee or the Audit Committee will determine whether or not to approve or ratify the transaction based on all relevant facts and circumstances, including the following:</w:t>
      </w:r>
    </w:p>
    <w:p>
      <w:pPr>
        <w:spacing w:after="0" w:line="180" w:lineRule="exact"/>
        <w:rPr>
          <w:sz w:val="20"/>
          <w:szCs w:val="20"/>
          <w:color w:val="auto"/>
        </w:rPr>
      </w:pPr>
    </w:p>
    <w:p>
      <w:pPr>
        <w:ind w:left="260" w:hanging="252"/>
        <w:spacing w:after="0"/>
        <w:tabs>
          <w:tab w:leader="none" w:pos="260" w:val="left"/>
        </w:tabs>
        <w:numPr>
          <w:ilvl w:val="0"/>
          <w:numId w:val="119"/>
        </w:numPr>
        <w:rPr>
          <w:rFonts w:ascii="Arial" w:cs="Arial" w:eastAsia="Arial" w:hAnsi="Arial"/>
          <w:sz w:val="17"/>
          <w:szCs w:val="17"/>
          <w:color w:val="00A0DD"/>
        </w:rPr>
      </w:pPr>
      <w:r>
        <w:rPr>
          <w:rFonts w:ascii="Arial" w:cs="Arial" w:eastAsia="Arial" w:hAnsi="Arial"/>
          <w:sz w:val="18"/>
          <w:szCs w:val="18"/>
          <w:color w:val="auto"/>
        </w:rPr>
        <w:t>the materiality and character of the related person’s interest in the transaction;</w:t>
      </w:r>
    </w:p>
    <w:p>
      <w:pPr>
        <w:spacing w:after="0" w:line="63" w:lineRule="exact"/>
        <w:rPr>
          <w:rFonts w:ascii="Arial" w:cs="Arial" w:eastAsia="Arial" w:hAnsi="Arial"/>
          <w:sz w:val="17"/>
          <w:szCs w:val="17"/>
          <w:color w:val="00A0DD"/>
        </w:rPr>
      </w:pPr>
    </w:p>
    <w:p>
      <w:pPr>
        <w:ind w:left="260" w:hanging="252"/>
        <w:spacing w:after="0"/>
        <w:tabs>
          <w:tab w:leader="none" w:pos="260" w:val="left"/>
        </w:tabs>
        <w:numPr>
          <w:ilvl w:val="0"/>
          <w:numId w:val="119"/>
        </w:numPr>
        <w:rPr>
          <w:rFonts w:ascii="Arial" w:cs="Arial" w:eastAsia="Arial" w:hAnsi="Arial"/>
          <w:sz w:val="17"/>
          <w:szCs w:val="17"/>
          <w:color w:val="00A0DD"/>
        </w:rPr>
      </w:pPr>
      <w:r>
        <w:rPr>
          <w:rFonts w:ascii="Arial" w:cs="Arial" w:eastAsia="Arial" w:hAnsi="Arial"/>
          <w:sz w:val="18"/>
          <w:szCs w:val="18"/>
          <w:color w:val="auto"/>
        </w:rPr>
        <w:t>the commercial reasonableness of the terms of the transaction;</w:t>
      </w:r>
    </w:p>
    <w:p>
      <w:pPr>
        <w:spacing w:after="0" w:line="63" w:lineRule="exact"/>
        <w:rPr>
          <w:rFonts w:ascii="Arial" w:cs="Arial" w:eastAsia="Arial" w:hAnsi="Arial"/>
          <w:sz w:val="17"/>
          <w:szCs w:val="17"/>
          <w:color w:val="00A0DD"/>
        </w:rPr>
      </w:pPr>
    </w:p>
    <w:p>
      <w:pPr>
        <w:ind w:left="260" w:hanging="252"/>
        <w:spacing w:after="0"/>
        <w:tabs>
          <w:tab w:leader="none" w:pos="260" w:val="left"/>
        </w:tabs>
        <w:numPr>
          <w:ilvl w:val="0"/>
          <w:numId w:val="119"/>
        </w:numPr>
        <w:rPr>
          <w:rFonts w:ascii="Arial" w:cs="Arial" w:eastAsia="Arial" w:hAnsi="Arial"/>
          <w:sz w:val="17"/>
          <w:szCs w:val="17"/>
          <w:color w:val="00A0DD"/>
        </w:rPr>
      </w:pPr>
      <w:r>
        <w:rPr>
          <w:rFonts w:ascii="Arial" w:cs="Arial" w:eastAsia="Arial" w:hAnsi="Arial"/>
          <w:sz w:val="18"/>
          <w:szCs w:val="18"/>
          <w:color w:val="auto"/>
        </w:rPr>
        <w:t>the benefit and perceived benefit, or lack thereof, to our company;</w:t>
      </w:r>
    </w:p>
    <w:p>
      <w:pPr>
        <w:spacing w:after="0" w:line="63" w:lineRule="exact"/>
        <w:rPr>
          <w:rFonts w:ascii="Arial" w:cs="Arial" w:eastAsia="Arial" w:hAnsi="Arial"/>
          <w:sz w:val="17"/>
          <w:szCs w:val="17"/>
          <w:color w:val="00A0DD"/>
        </w:rPr>
      </w:pPr>
    </w:p>
    <w:p>
      <w:pPr>
        <w:ind w:left="260" w:hanging="252"/>
        <w:spacing w:after="0"/>
        <w:tabs>
          <w:tab w:leader="none" w:pos="260" w:val="left"/>
        </w:tabs>
        <w:numPr>
          <w:ilvl w:val="0"/>
          <w:numId w:val="119"/>
        </w:numPr>
        <w:rPr>
          <w:rFonts w:ascii="Arial" w:cs="Arial" w:eastAsia="Arial" w:hAnsi="Arial"/>
          <w:sz w:val="17"/>
          <w:szCs w:val="17"/>
          <w:color w:val="00A0DD"/>
        </w:rPr>
      </w:pPr>
      <w:r>
        <w:rPr>
          <w:rFonts w:ascii="Arial" w:cs="Arial" w:eastAsia="Arial" w:hAnsi="Arial"/>
          <w:sz w:val="18"/>
          <w:szCs w:val="18"/>
          <w:color w:val="auto"/>
        </w:rPr>
        <w:t>the opportunity costs of alternate transactions; and</w:t>
      </w:r>
    </w:p>
    <w:p>
      <w:pPr>
        <w:spacing w:after="0" w:line="63" w:lineRule="exact"/>
        <w:rPr>
          <w:rFonts w:ascii="Arial" w:cs="Arial" w:eastAsia="Arial" w:hAnsi="Arial"/>
          <w:sz w:val="17"/>
          <w:szCs w:val="17"/>
          <w:color w:val="00A0DD"/>
        </w:rPr>
      </w:pPr>
    </w:p>
    <w:p>
      <w:pPr>
        <w:ind w:left="260" w:hanging="252"/>
        <w:spacing w:after="0"/>
        <w:tabs>
          <w:tab w:leader="none" w:pos="260" w:val="left"/>
        </w:tabs>
        <w:numPr>
          <w:ilvl w:val="0"/>
          <w:numId w:val="119"/>
        </w:numPr>
        <w:rPr>
          <w:rFonts w:ascii="Arial" w:cs="Arial" w:eastAsia="Arial" w:hAnsi="Arial"/>
          <w:sz w:val="17"/>
          <w:szCs w:val="17"/>
          <w:color w:val="00A0DD"/>
        </w:rPr>
      </w:pPr>
      <w:r>
        <w:rPr>
          <w:rFonts w:ascii="Arial" w:cs="Arial" w:eastAsia="Arial" w:hAnsi="Arial"/>
          <w:sz w:val="18"/>
          <w:szCs w:val="18"/>
          <w:color w:val="auto"/>
        </w:rPr>
        <w:t>the actual or apparent conflict of interest of the related person.</w:t>
      </w:r>
    </w:p>
    <w:p>
      <w:pPr>
        <w:spacing w:after="0" w:line="21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 xml:space="preserve">If the reviewing body determines that a transaction has potential conflict of interest issues and other circumstances warrant, it may also recommend that a special committee review the transaction. After such review, the reviewing body approves or ratifies the transaction only if it determines that the transaction is in, or not inconsistent with, the best interests of our company and our shareholders. Our related party transactions policy is posted under “Corporate Governance” in the Investors section of our website at </w:t>
      </w:r>
      <w:r>
        <w:rPr>
          <w:rFonts w:ascii="Arial" w:cs="Arial" w:eastAsia="Arial" w:hAnsi="Arial"/>
          <w:sz w:val="18"/>
          <w:szCs w:val="18"/>
          <w:i w:val="1"/>
          <w:iCs w:val="1"/>
          <w:color w:val="auto"/>
        </w:rPr>
        <w:t>www.cmcsa.com</w:t>
      </w:r>
      <w:r>
        <w:rPr>
          <w:rFonts w:ascii="Arial" w:cs="Arial" w:eastAsia="Arial" w:hAnsi="Arial"/>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60" w:type="dxa"/>
            <w:vAlign w:val="bottom"/>
          </w:tcPr>
          <w:p>
            <w:pPr>
              <w:ind w:left="948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58</w:t>
            </w:r>
          </w:p>
        </w:tc>
      </w:tr>
      <w:tr>
        <w:trPr>
          <w:trHeight w:val="362"/>
        </w:trPr>
        <w:tc>
          <w:tcPr>
            <w:tcW w:w="10960" w:type="dxa"/>
            <w:vAlign w:val="bottom"/>
            <w:tcBorders>
              <w:bottom w:val="single" w:sz="8" w:color="A1A1A1"/>
            </w:tcBorders>
          </w:tcPr>
          <w:p>
            <w:pPr>
              <w:spacing w:after="0"/>
              <w:rPr>
                <w:sz w:val="24"/>
                <w:szCs w:val="24"/>
                <w:color w:val="auto"/>
              </w:rPr>
            </w:pPr>
          </w:p>
        </w:tc>
        <w:tc>
          <w:tcPr>
            <w:tcW w:w="28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Related Party Transactions</w:t>
      </w:r>
    </w:p>
    <w:p>
      <w:pPr>
        <w:spacing w:after="0" w:line="235" w:lineRule="exact"/>
        <w:rPr>
          <w:sz w:val="20"/>
          <w:szCs w:val="20"/>
          <w:color w:val="auto"/>
        </w:rPr>
      </w:pPr>
    </w:p>
    <w:p>
      <w:pPr>
        <w:ind w:right="360"/>
        <w:spacing w:after="0" w:line="301" w:lineRule="auto"/>
        <w:rPr>
          <w:sz w:val="20"/>
          <w:szCs w:val="20"/>
          <w:color w:val="auto"/>
        </w:rPr>
      </w:pPr>
      <w:r>
        <w:rPr>
          <w:rFonts w:ascii="Arial" w:cs="Arial" w:eastAsia="Arial" w:hAnsi="Arial"/>
          <w:sz w:val="17"/>
          <w:szCs w:val="17"/>
          <w:color w:val="auto"/>
        </w:rPr>
        <w:t>Mr. Roberts’ son is an employee of Comcast Spectacor, one of our business units. He received approximately $902,000 in compensation from us and also participated in our employee benefit plans on the same basis as other similarly situated employees in 2023.</w:t>
      </w:r>
    </w:p>
    <w:p>
      <w:pPr>
        <w:spacing w:after="0" w:line="13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Mr. Cavanagh’s daughter is an employee of Comcast Corporation. She received approximately $147,000 in compensation from us and also participated in our employee benefit plans on the same basis as other similarly situated employees in 2023.</w:t>
      </w:r>
    </w:p>
    <w:p>
      <w:pPr>
        <w:spacing w:after="0" w:line="13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Who May Vote</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Holders of record of Class A and Class B common stock of Comcast at the close of business on April 1, 2024 may vote at the annual meeting of shareholders. The Notice of Internet Availability of Proxy Materials (the “Notice”) is being mailed, and this proxy statement is being made available, to our shareholders beginning on or about April 26, 2024.</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Participating and Voting at the Meeting</w:t>
      </w:r>
    </w:p>
    <w:p>
      <w:pPr>
        <w:spacing w:after="0" w:line="23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Attendance at the meeting for purposes of voting and asking questions is limited to shareholders of record on April 1, 2024. Please be sure to have your proxy voting card or notice with you so that you may access your 16-digit control number to log on to the meeting. If your shares are held in the name of your bank, brokerage firm or other nominee, please have your voting instruction form received from your bank, brokerage firm or other nominee, which will contain the relevant control number.</w:t>
      </w:r>
    </w:p>
    <w:p>
      <w:pPr>
        <w:spacing w:after="0" w:line="174"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If you encounter any difficulties accessing the virtual meeting, please call the technical support number that will be posted on the meeting login page. If there are any technical issues in convening or hosting the meeting, we will promptly post information to the Investors section of our website at </w:t>
      </w:r>
      <w:r>
        <w:rPr>
          <w:rFonts w:ascii="Arial" w:cs="Arial" w:eastAsia="Arial" w:hAnsi="Arial"/>
          <w:sz w:val="18"/>
          <w:szCs w:val="18"/>
          <w:i w:val="1"/>
          <w:iCs w:val="1"/>
          <w:color w:val="auto"/>
        </w:rPr>
        <w:t>www.cmcsa.com</w:t>
      </w:r>
      <w:r>
        <w:rPr>
          <w:rFonts w:ascii="Arial" w:cs="Arial" w:eastAsia="Arial" w:hAnsi="Arial"/>
          <w:sz w:val="18"/>
          <w:szCs w:val="18"/>
          <w:color w:val="auto"/>
        </w:rPr>
        <w:t>, including information on when the meeting will be reconvened. If your shares are held in the name of your bank, brokerage firm or other nominee and you have any questions about your control number, please contact the bank, brokerage firm or other nominee that holds your shares.</w:t>
      </w:r>
    </w:p>
    <w:p>
      <w:pPr>
        <w:spacing w:after="0" w:line="161"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Conduct of the Meeting</w:t>
      </w:r>
    </w:p>
    <w:p>
      <w:pPr>
        <w:spacing w:after="0" w:line="23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Chairman of our Board (or any other person designated by our Board) has broad authority to conduct the annual meeting of shareholders in an orderly manner. This authority includes establishing and enforcing rules of conduct, which will be available at the meeting online, for shareholders who wish to participate in the meeting. We have structured our virtual meeting to provide shareholders the same rights as if the meeting were held in person, including the ability to vote shares electronically during the meeting and ask questions in accordance with the rules of conduct for the meeting. Questions may be submitted during the meeting in the online question box provided at the meeting. Questions submitted in accordance with the rules of conduct generally will be addressed in the order received (both with respect to specific agenda items and the general question and answer session) and will be read as submitted, unless the question is duplicative of a question already asked and answered or is deemed profane or otherwise inappropriate, in which case the question may be edited or paraphrased.</w:t>
      </w:r>
    </w:p>
    <w:p>
      <w:pPr>
        <w:spacing w:after="0" w:line="168"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How to Vote</w:t>
      </w:r>
    </w:p>
    <w:p>
      <w:pPr>
        <w:spacing w:after="0" w:line="235"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You may vote at the meeting or by proxy before the meeting. We recommend that you vote by proxy even if you plan to participate in the meeting. You can always change your vote at the meeting.</w:t>
      </w:r>
    </w:p>
    <w:p>
      <w:pPr>
        <w:spacing w:after="0" w:line="138"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How Proxies Work</w:t>
      </w:r>
    </w:p>
    <w:p>
      <w:pPr>
        <w:spacing w:after="0" w:line="235" w:lineRule="exact"/>
        <w:rPr>
          <w:sz w:val="20"/>
          <w:szCs w:val="20"/>
          <w:color w:val="auto"/>
        </w:rPr>
      </w:pPr>
    </w:p>
    <w:p>
      <w:pPr>
        <w:ind w:right="380"/>
        <w:spacing w:after="0" w:line="253" w:lineRule="auto"/>
        <w:rPr>
          <w:sz w:val="20"/>
          <w:szCs w:val="20"/>
          <w:color w:val="auto"/>
        </w:rPr>
      </w:pPr>
      <w:r>
        <w:rPr>
          <w:rFonts w:ascii="Arial" w:cs="Arial" w:eastAsia="Arial" w:hAnsi="Arial"/>
          <w:sz w:val="18"/>
          <w:szCs w:val="18"/>
          <w:color w:val="auto"/>
        </w:rPr>
        <w:t>Our Board of Directors is asking for your proxy. Giving us your proxy means you authorize us to vote your shares at the meeting in the manner you direct. You may vote for all, some or none of our director candidates. You also may vote for or against the other proposals or abstain from voting.</w:t>
      </w:r>
    </w:p>
    <w:p>
      <w:pPr>
        <w:spacing w:after="0" w:line="200" w:lineRule="exact"/>
        <w:rPr>
          <w:sz w:val="20"/>
          <w:szCs w:val="20"/>
          <w:color w:val="auto"/>
        </w:rPr>
      </w:pPr>
    </w:p>
    <w:p>
      <w:pPr>
        <w:spacing w:after="0" w:line="216" w:lineRule="exact"/>
        <w:rPr>
          <w:sz w:val="20"/>
          <w:szCs w:val="20"/>
          <w:color w:val="auto"/>
        </w:rPr>
      </w:pPr>
    </w:p>
    <w:p>
      <w:pPr>
        <w:ind w:left="360" w:hanging="352"/>
        <w:spacing w:after="0"/>
        <w:tabs>
          <w:tab w:leader="none" w:pos="360" w:val="left"/>
        </w:tabs>
        <w:numPr>
          <w:ilvl w:val="0"/>
          <w:numId w:val="12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can vote by proxy before the meeting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342900" cy="3257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0" cy="325755"/>
                    </a:xfrm>
                    <a:prstGeom prst="rect">
                      <a:avLst/>
                    </a:prstGeom>
                    <a:noFill/>
                  </pic:spPr>
                </pic:pic>
              </a:graphicData>
            </a:graphic>
          </wp:anchor>
        </w:drawing>
      </w:r>
    </w:p>
    <w:p>
      <w:pPr>
        <w:spacing w:after="0" w:line="172" w:lineRule="exact"/>
        <w:rPr>
          <w:sz w:val="20"/>
          <w:szCs w:val="20"/>
          <w:color w:val="auto"/>
        </w:rPr>
      </w:pPr>
    </w:p>
    <w:p>
      <w:pPr>
        <w:ind w:left="700"/>
        <w:spacing w:after="0"/>
        <w:tabs>
          <w:tab w:leader="none" w:pos="3889" w:val="left"/>
        </w:tabs>
        <w:rPr>
          <w:sz w:val="20"/>
          <w:szCs w:val="20"/>
          <w:color w:val="auto"/>
        </w:rPr>
      </w:pPr>
      <w:r>
        <w:rPr>
          <w:rFonts w:ascii="Arial" w:cs="Arial" w:eastAsia="Arial" w:hAnsi="Arial"/>
          <w:sz w:val="18"/>
          <w:szCs w:val="18"/>
          <w:b w:val="1"/>
          <w:bCs w:val="1"/>
          <w:i w:val="1"/>
          <w:iCs w:val="1"/>
          <w:color w:val="00A0E0"/>
        </w:rPr>
        <w:t>Internet</w:t>
      </w:r>
      <w:r>
        <w:rPr>
          <w:sz w:val="20"/>
          <w:szCs w:val="20"/>
          <w:color w:val="auto"/>
        </w:rPr>
        <w:tab/>
      </w:r>
      <w:r>
        <w:rPr>
          <w:sz w:val="1"/>
          <w:szCs w:val="1"/>
          <w:color w:val="auto"/>
        </w:rPr>
        <w:drawing>
          <wp:inline distT="0" distB="0" distL="0" distR="0">
            <wp:extent cx="222885" cy="32575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22885" cy="325755"/>
                    </a:xfrm>
                    <a:prstGeom prst="rect">
                      <a:avLst/>
                    </a:prstGeom>
                    <a:noFill/>
                    <a:ln>
                      <a:noFill/>
                    </a:ln>
                  </pic:spPr>
                </pic:pic>
              </a:graphicData>
            </a:graphic>
          </wp:inline>
        </w:drawing>
      </w:r>
      <w:r>
        <w:rPr>
          <w:rFonts w:ascii="Arial" w:cs="Arial" w:eastAsia="Arial" w:hAnsi="Arial"/>
          <w:sz w:val="18"/>
          <w:szCs w:val="18"/>
          <w:b w:val="1"/>
          <w:bCs w:val="1"/>
          <w:i w:val="1"/>
          <w:iCs w:val="1"/>
          <w:color w:val="00A0E0"/>
        </w:rPr>
        <w:t xml:space="preserve">  Telephone                        </w:t>
      </w:r>
      <w:r>
        <w:rPr>
          <w:sz w:val="1"/>
          <w:szCs w:val="1"/>
          <w:color w:val="auto"/>
        </w:rPr>
        <w:drawing>
          <wp:inline distT="0" distB="0" distL="0" distR="0">
            <wp:extent cx="342900" cy="32575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0" cy="325755"/>
                    </a:xfrm>
                    <a:prstGeom prst="rect">
                      <a:avLst/>
                    </a:prstGeom>
                    <a:noFill/>
                    <a:ln>
                      <a:noFill/>
                    </a:ln>
                  </pic:spPr>
                </pic:pic>
              </a:graphicData>
            </a:graphic>
          </wp:inline>
        </w:drawing>
      </w:r>
      <w:r>
        <w:rPr>
          <w:rFonts w:ascii="Arial" w:cs="Arial" w:eastAsia="Arial" w:hAnsi="Arial"/>
          <w:sz w:val="18"/>
          <w:szCs w:val="18"/>
          <w:b w:val="1"/>
          <w:bCs w:val="1"/>
          <w:i w:val="1"/>
          <w:iCs w:val="1"/>
          <w:color w:val="00A0E0"/>
        </w:rPr>
        <w:t xml:space="preserve">  Mail</w:t>
      </w:r>
    </w:p>
    <w:p>
      <w:pPr>
        <w:sectPr>
          <w:pgSz w:w="11900" w:h="16838" w:orient="portrait"/>
          <w:cols w:equalWidth="0" w:num="1">
            <w:col w:w="11240"/>
          </w:cols>
          <w:pgMar w:left="320" w:top="122" w:right="339" w:bottom="1440" w:gutter="0" w:footer="0" w:header="0"/>
        </w:sectPr>
      </w:pPr>
    </w:p>
    <w:p>
      <w:pPr>
        <w:spacing w:after="0" w:line="8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Go to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scan the QR code on your Notice or proxy card with a smartphone or tablet, and then follow the instructions outlined on the secure website.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Call toll free 1-800-690-6903 and follow the instructions provided on the recorded message. If you hold shares beneficially, through a broker, brokerage firm, bank or other nominee, please refer to the instructions your broker, brokerage firm, bank or other nominee provided to you regarding voting by telephone.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Complete, sign and date your proxy card and return it in the enclosed envelope.</w:t>
      </w:r>
    </w:p>
    <w:p>
      <w:pPr>
        <w:spacing w:after="0" w:line="1368" w:lineRule="exact"/>
        <w:rPr>
          <w:sz w:val="20"/>
          <w:szCs w:val="20"/>
          <w:color w:val="auto"/>
        </w:rPr>
      </w:pPr>
    </w:p>
    <w:p>
      <w:pPr>
        <w:sectPr>
          <w:pgSz w:w="11900" w:h="16838" w:orient="portrait"/>
          <w:cols w:equalWidth="0" w:num="3">
            <w:col w:w="3440" w:space="460"/>
            <w:col w:w="3280" w:space="300"/>
            <w:col w:w="3760"/>
          </w:cols>
          <w:pgMar w:left="320" w:top="122" w:right="339" w:bottom="1440" w:gutter="0" w:footer="0" w:header="0"/>
          <w:type w:val="continuous"/>
        </w:sectPr>
      </w:pPr>
    </w:p>
    <w:p>
      <w:pPr>
        <w:spacing w:after="0"/>
        <w:rPr>
          <w:sz w:val="20"/>
          <w:szCs w:val="20"/>
          <w:color w:val="auto"/>
        </w:rPr>
      </w:pPr>
      <w:r>
        <w:rPr>
          <w:rFonts w:ascii="Arial" w:cs="Arial" w:eastAsia="Arial" w:hAnsi="Arial"/>
          <w:sz w:val="18"/>
          <w:szCs w:val="18"/>
          <w:color w:val="auto"/>
        </w:rPr>
        <w:t>If you vote via the internet or by telephone, your vote must be received by 11:59 p.m. Eastern Time on June 9, 2024.</w:t>
      </w:r>
    </w:p>
    <w:p>
      <w:pPr>
        <w:spacing w:after="0" w:line="212"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If your shares are held in the name of your bank, brokerage firm or other nominee, please follow the voting instructions you received from your bank, brokerage firm or other nominee.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give us your signed proxy but do not specify how to vote, we will vote your shares (i) in favor of (a) the director candidates,</w:t>
      </w:r>
    </w:p>
    <w:p>
      <w:pPr>
        <w:spacing w:after="0" w:line="14" w:lineRule="exact"/>
        <w:rPr>
          <w:sz w:val="20"/>
          <w:szCs w:val="20"/>
          <w:color w:val="auto"/>
        </w:rPr>
      </w:pPr>
    </w:p>
    <w:p>
      <w:pPr>
        <w:ind w:right="480" w:firstLine="8"/>
        <w:spacing w:after="0" w:line="260" w:lineRule="auto"/>
        <w:tabs>
          <w:tab w:leader="none" w:pos="2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the ratification of the appointment of our independent auditors and (c) the approval, on an advisory basis, of our executive compensation; and (ii) against the shareholder proposal.</w:t>
      </w:r>
    </w:p>
    <w:p>
      <w:pPr>
        <w:spacing w:after="0" w:line="139"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Matters to be Presented</w:t>
      </w:r>
    </w:p>
    <w:p>
      <w:pPr>
        <w:spacing w:after="0" w:line="235"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We are not aware of any matters to be presented at the meeting other than those described in this proxy statement. If any matters not described in this proxy statement are properly presented at the meeting, the proxies will use their own judgment to determine how to vote your shares. If the meeting is postponed or adjourned, the proxies will vote your shares on the new meeting date in accordance with your previous instructions, unless you have revoked your proxy.</w:t>
      </w:r>
    </w:p>
    <w:p>
      <w:pPr>
        <w:spacing w:after="0" w:line="159"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Revoking a Proxy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before it is voted by:</w:t>
      </w:r>
    </w:p>
    <w:p>
      <w:pPr>
        <w:spacing w:after="0" w:line="212" w:lineRule="exact"/>
        <w:rPr>
          <w:sz w:val="20"/>
          <w:szCs w:val="20"/>
          <w:color w:val="auto"/>
        </w:rPr>
      </w:pPr>
    </w:p>
    <w:p>
      <w:pPr>
        <w:ind w:left="260" w:hanging="252"/>
        <w:spacing w:after="0"/>
        <w:tabs>
          <w:tab w:leader="none" w:pos="260" w:val="left"/>
        </w:tabs>
        <w:numPr>
          <w:ilvl w:val="0"/>
          <w:numId w:val="122"/>
        </w:numPr>
        <w:rPr>
          <w:rFonts w:ascii="Arial" w:cs="Arial" w:eastAsia="Arial" w:hAnsi="Arial"/>
          <w:sz w:val="17"/>
          <w:szCs w:val="17"/>
          <w:color w:val="00A0E0"/>
        </w:rPr>
      </w:pPr>
      <w:r>
        <w:rPr>
          <w:rFonts w:ascii="Arial" w:cs="Arial" w:eastAsia="Arial" w:hAnsi="Arial"/>
          <w:sz w:val="18"/>
          <w:szCs w:val="18"/>
          <w:color w:val="auto"/>
        </w:rPr>
        <w:t>submitting a new proxy with a later date, including a proxy given via the internet or by telephone;</w:t>
      </w:r>
    </w:p>
    <w:p>
      <w:pPr>
        <w:spacing w:after="0" w:line="63" w:lineRule="exact"/>
        <w:rPr>
          <w:rFonts w:ascii="Arial" w:cs="Arial" w:eastAsia="Arial" w:hAnsi="Arial"/>
          <w:sz w:val="17"/>
          <w:szCs w:val="17"/>
          <w:color w:val="00A0E0"/>
        </w:rPr>
      </w:pPr>
    </w:p>
    <w:p>
      <w:pPr>
        <w:ind w:left="260" w:hanging="252"/>
        <w:spacing w:after="0"/>
        <w:tabs>
          <w:tab w:leader="none" w:pos="260" w:val="left"/>
        </w:tabs>
        <w:numPr>
          <w:ilvl w:val="0"/>
          <w:numId w:val="122"/>
        </w:numPr>
        <w:rPr>
          <w:rFonts w:ascii="Arial" w:cs="Arial" w:eastAsia="Arial" w:hAnsi="Arial"/>
          <w:sz w:val="17"/>
          <w:szCs w:val="17"/>
          <w:color w:val="00A0E0"/>
        </w:rPr>
      </w:pPr>
      <w:r>
        <w:rPr>
          <w:rFonts w:ascii="Arial" w:cs="Arial" w:eastAsia="Arial" w:hAnsi="Arial"/>
          <w:sz w:val="18"/>
          <w:szCs w:val="18"/>
          <w:color w:val="auto"/>
        </w:rPr>
        <w:t>notifying our Secretary in writing before the meeting at the address given below; or</w:t>
      </w:r>
    </w:p>
    <w:p>
      <w:pPr>
        <w:spacing w:after="0" w:line="63" w:lineRule="exact"/>
        <w:rPr>
          <w:rFonts w:ascii="Arial" w:cs="Arial" w:eastAsia="Arial" w:hAnsi="Arial"/>
          <w:sz w:val="17"/>
          <w:szCs w:val="17"/>
          <w:color w:val="00A0E0"/>
        </w:rPr>
      </w:pPr>
    </w:p>
    <w:p>
      <w:pPr>
        <w:ind w:left="260" w:hanging="252"/>
        <w:spacing w:after="0"/>
        <w:tabs>
          <w:tab w:leader="none" w:pos="260" w:val="left"/>
        </w:tabs>
        <w:numPr>
          <w:ilvl w:val="0"/>
          <w:numId w:val="122"/>
        </w:numPr>
        <w:rPr>
          <w:rFonts w:ascii="Arial" w:cs="Arial" w:eastAsia="Arial" w:hAnsi="Arial"/>
          <w:sz w:val="17"/>
          <w:szCs w:val="17"/>
          <w:color w:val="00A0E0"/>
        </w:rPr>
      </w:pPr>
      <w:r>
        <w:rPr>
          <w:rFonts w:ascii="Arial" w:cs="Arial" w:eastAsia="Arial" w:hAnsi="Arial"/>
          <w:sz w:val="18"/>
          <w:szCs w:val="18"/>
          <w:color w:val="auto"/>
        </w:rPr>
        <w:t>voting in person at the meeting.</w:t>
      </w:r>
    </w:p>
    <w:p>
      <w:pPr>
        <w:spacing w:after="0" w:line="196"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Notice of Electronic Availability of Proxy Materials</w:t>
      </w:r>
    </w:p>
    <w:p>
      <w:pPr>
        <w:spacing w:after="0" w:line="23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Pursuant to the rules of the SEC, we are making this proxy statement and our Annual Report on Form 10-K available to our shareholders electronically via the internet. In compliance with this e-proxy process, on or about April 26, 2024, we mailed to our shareholders of record and beneficial owners the Notice containing instructions on how to access this proxy statement and our Annual Report on Form 10-K via the internet and how to vote online. As a result, you will not receive a paper copy of the proxy materials unless you request one. All shareholders may access the proxy materials on the website referred to in the Notice and in this proxy statement and request to receive a set of the proxy materials by mail or electronically, in either case, free of charge. If you would like to receive a paper or electronic copy of our proxy materials, you should follow the instructions for requesting such materials in the Notice. By participating in the e-proxy process, we reduce the impact of our annual meeting of shareholders on the environment and save money on the cost of printing and mailing documents to you. See “Electronic Access to Proxy Materials and Annual Report on Form 10-K” below for further information on electing to receive proxy materials electronically.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60</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Additional Information on the Annual Meeting of Shareholders</w:t>
      </w:r>
    </w:p>
    <w:p>
      <w:pPr>
        <w:spacing w:after="0" w:line="23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If you have questions or would like more information about the annual meeting of shareholders, you can contact us in any of the following ways:</w:t>
      </w:r>
    </w:p>
    <w:p>
      <w:pPr>
        <w:sectPr>
          <w:pgSz w:w="11900" w:h="16838" w:orient="portrait"/>
          <w:cols w:equalWidth="0" w:num="1">
            <w:col w:w="11200"/>
          </w:cols>
          <w:pgMar w:left="320" w:top="122" w:right="379" w:bottom="1440" w:gutter="0" w:footer="0" w:header="0"/>
        </w:sectPr>
      </w:pPr>
    </w:p>
    <w:p>
      <w:pPr>
        <w:spacing w:after="0" w:line="156" w:lineRule="exact"/>
        <w:rPr>
          <w:sz w:val="20"/>
          <w:szCs w:val="20"/>
          <w:color w:val="auto"/>
        </w:rPr>
      </w:pPr>
    </w:p>
    <w:p>
      <w:pPr>
        <w:ind w:left="280" w:hanging="260"/>
        <w:spacing w:after="0" w:line="323" w:lineRule="auto"/>
        <w:rPr>
          <w:sz w:val="20"/>
          <w:szCs w:val="20"/>
          <w:color w:val="auto"/>
        </w:rPr>
      </w:pPr>
      <w:r>
        <w:rPr>
          <w:rFonts w:ascii="Times New Roman" w:cs="Times New Roman" w:eastAsia="Times New Roman" w:hAnsi="Times New Roman"/>
          <w:sz w:val="17"/>
          <w:szCs w:val="17"/>
          <w:color w:val="00A0E0"/>
        </w:rPr>
        <w:t xml:space="preserve">● </w:t>
      </w:r>
      <w:r>
        <w:rPr>
          <w:rFonts w:ascii="Arial" w:cs="Arial" w:eastAsia="Arial" w:hAnsi="Arial"/>
          <w:sz w:val="17"/>
          <w:szCs w:val="17"/>
          <w:b w:val="1"/>
          <w:bCs w:val="1"/>
          <w:i w:val="1"/>
          <w:iCs w:val="1"/>
          <w:color w:val="000000"/>
        </w:rPr>
        <w:t>Via the</w:t>
      </w:r>
      <w:r>
        <w:rPr>
          <w:rFonts w:ascii="Times New Roman" w:cs="Times New Roman" w:eastAsia="Times New Roman" w:hAnsi="Times New Roman"/>
          <w:sz w:val="17"/>
          <w:szCs w:val="17"/>
          <w:color w:val="00A0E0"/>
        </w:rPr>
        <w:t xml:space="preserve"> </w:t>
      </w:r>
      <w:r>
        <w:rPr>
          <w:rFonts w:ascii="Arial" w:cs="Arial" w:eastAsia="Arial" w:hAnsi="Arial"/>
          <w:sz w:val="17"/>
          <w:szCs w:val="17"/>
          <w:b w:val="1"/>
          <w:bCs w:val="1"/>
          <w:i w:val="1"/>
          <w:iCs w:val="1"/>
          <w:color w:val="000000"/>
        </w:rPr>
        <w:t>internet: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 xml:space="preserve">Go to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scan the QR code on your Notice or proxy card with a smartphone or tablet.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A0E0"/>
        </w:rPr>
        <w:t xml:space="preserve">● </w:t>
      </w:r>
      <w:r>
        <w:rPr>
          <w:rFonts w:ascii="Arial" w:cs="Arial" w:eastAsia="Arial" w:hAnsi="Arial"/>
          <w:sz w:val="17"/>
          <w:szCs w:val="17"/>
          <w:b w:val="1"/>
          <w:bCs w:val="1"/>
          <w:i w:val="1"/>
          <w:iCs w:val="1"/>
          <w:color w:val="000000"/>
        </w:rPr>
        <w:t>By writing:</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1560"/>
        <w:spacing w:after="0" w:line="245" w:lineRule="auto"/>
        <w:rPr>
          <w:sz w:val="20"/>
          <w:szCs w:val="20"/>
          <w:color w:val="auto"/>
        </w:rPr>
      </w:pPr>
      <w:r>
        <w:rPr>
          <w:rFonts w:ascii="Arial" w:cs="Arial" w:eastAsia="Arial" w:hAnsi="Arial"/>
          <w:sz w:val="18"/>
          <w:szCs w:val="18"/>
          <w:color w:val="auto"/>
        </w:rPr>
        <w:t>Thomas J. Reid, Secretary Comcast Corporation One Comcast Center Philadelphia, PA 19103</w:t>
      </w:r>
    </w:p>
    <w:p>
      <w:pPr>
        <w:spacing w:after="0" w:line="1" w:lineRule="exact"/>
        <w:rPr>
          <w:sz w:val="20"/>
          <w:szCs w:val="20"/>
          <w:color w:val="auto"/>
        </w:rPr>
      </w:pPr>
    </w:p>
    <w:p>
      <w:pPr>
        <w:sectPr>
          <w:pgSz w:w="11900" w:h="16838" w:orient="portrait"/>
          <w:cols w:equalWidth="0" w:num="4">
            <w:col w:w="1000" w:space="580"/>
            <w:col w:w="4280" w:space="280"/>
            <w:col w:w="1180" w:space="180"/>
            <w:col w:w="3700"/>
          </w:cols>
          <w:pgMar w:left="320" w:top="122" w:right="379" w:bottom="1440" w:gutter="0" w:footer="0" w:header="0"/>
          <w:type w:val="continuous"/>
        </w:sectPr>
      </w:pPr>
    </w:p>
    <w:p>
      <w:pPr>
        <w:ind w:left="260" w:hanging="243"/>
        <w:spacing w:after="0"/>
        <w:tabs>
          <w:tab w:leader="none" w:pos="260" w:val="left"/>
        </w:tabs>
        <w:numPr>
          <w:ilvl w:val="0"/>
          <w:numId w:val="123"/>
        </w:numPr>
        <w:rPr>
          <w:rFonts w:ascii="Times New Roman" w:cs="Times New Roman" w:eastAsia="Times New Roman" w:hAnsi="Times New Roman"/>
          <w:sz w:val="17"/>
          <w:szCs w:val="17"/>
          <w:color w:val="00A0E0"/>
        </w:rPr>
      </w:pPr>
      <w:r>
        <w:rPr>
          <w:rFonts w:ascii="Arial" w:cs="Arial" w:eastAsia="Arial" w:hAnsi="Arial"/>
          <w:sz w:val="18"/>
          <w:szCs w:val="18"/>
          <w:b w:val="1"/>
          <w:bCs w:val="1"/>
          <w:i w:val="1"/>
          <w:iCs w:val="1"/>
          <w:color w:val="auto"/>
        </w:rPr>
        <w:t xml:space="preserve">By telephone:  </w:t>
      </w:r>
      <w:r>
        <w:rPr>
          <w:rFonts w:ascii="Arial" w:cs="Arial" w:eastAsia="Arial" w:hAnsi="Arial"/>
          <w:sz w:val="18"/>
          <w:szCs w:val="18"/>
          <w:color w:val="auto"/>
        </w:rPr>
        <w:t>Call toll free 1-866-281-2100</w:t>
      </w:r>
    </w:p>
    <w:p>
      <w:pPr>
        <w:spacing w:after="0" w:line="173"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Shareholder Proposals for Next Year</w:t>
      </w:r>
    </w:p>
    <w:p>
      <w:pPr>
        <w:spacing w:after="0" w:line="23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Any shareholder proposals intended to be presented at our 2025 annual meeting of shareholders and considered for inclusion in our proxy materials under Rule 14a-8 under the Exchange Act (“Rule 14a-8”) must be received no later than December 27, 2024 and must comply with the procedures and requirements of Rule 14a-8. Shareholder proposals failing to comply with the procedures of Rule 14a-8 under the Exchange Act will be excluded. If the date of our 2025 annual meeting is more than 30 days from June 10, 2025, we will publicly announce a different submission deadline from that set forth above, in compliance with SEC rules.</w:t>
      </w:r>
    </w:p>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Any shareholder proposals (other than those proposals seeking to nominate directors) that are intended to be presented at the annual meeting of shareholders in 2025 but not to be included in our proxy materials must comply with the advance notice provision in Section 2.09 of our bylaws. If we call the 2025 annual meeting of shareholders for a date between May 11, 2025 and July 10, 2025, we must receive notice of the proposal at the mailing address given on page 61 on or after February 10, 2025 and no later than the close of business on March 12, 2025. If we call the 2025 annual meeting of shareholders for any other date, we must receive notice of the proposal no later than the close of business on the tenth day following the day on which we first make a public announcement of the date of the meeting. If notice is not received by the close of business on March 12, 2025 (or the close of business on the tenth day following the day we publicly announce the date of our 2025 annual meeting of shareholders, if such meeting is not called for a date between May 11, 2025 and July 10, 2025), the shareholder proposals will be deemed “untimely.”</w:t>
      </w:r>
    </w:p>
    <w:p>
      <w:pPr>
        <w:spacing w:after="0" w:line="183"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Shareholders who wish to nominate directors for election must comply with the procedures described under “Corporate Governance and Board Matters – Board of Directors Nominees – Director Nominations – Shareholder Nominees.”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All shareholder proposals should be directed to Thomas J. Reid, Secretary, Comcast Corporation, at our mailing address given on page 61.</w:t>
      </w:r>
    </w:p>
    <w:p>
      <w:pPr>
        <w:spacing w:after="0" w:line="196"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Solicitation of Proxies</w:t>
      </w:r>
    </w:p>
    <w:p>
      <w:pPr>
        <w:spacing w:after="0" w:line="23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pay the cost of this proxy solicitation. Pursuant to SEC rules, we are making this proxy statement and our Annual Report on Form 10-K available to our shareholders electronically via the internet. In addition to soliciting proxies by the internet and mail, we expect that a number of our employees will solicit shareholders personally and by telephone. None of these employees will receive any additional or special compensation for doing this. We have retained D.F. King &amp; Co., Inc. to assist in the solicitation of proxies for aggregate fees of approximately $33,500 plus reasonable out-of-pocket costs and expenses. The agreement with D.F. King contains customary indemnification provisions. We will, on request, reimburse banks, brokerage firms and other nominees for their expenses in sending proxy materials to their customers who are beneficial owners of our common stock and obtaining their voting instructions.</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Electronic Access to Proxy Materials and Annual Report on Form 10-K</w:t>
      </w:r>
    </w:p>
    <w:p>
      <w:pPr>
        <w:spacing w:after="0" w:line="235"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 xml:space="preserve">Shareholders can access this proxy statement and our Annual Report on Form 10-K via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by scanning the QR code on the Notice or proxy card with a smartphone or tablet, and then following the instructions outlined on the secure website. For future annual meetings of shareholders, shareholders can consent to accessing their proxy materials, including the Notice, the proxy statement and the annual report, electronically in lieu of receiving them by mail. To receive materials electronically, you will need access to a computer and an e-mail account. You will have the opportunity to revoke your request for electronic delivery at any time without charge.</w:t>
      </w:r>
    </w:p>
    <w:p>
      <w:pPr>
        <w:spacing w:after="0" w:line="200" w:lineRule="exact"/>
        <w:rPr>
          <w:sz w:val="20"/>
          <w:szCs w:val="20"/>
          <w:color w:val="auto"/>
        </w:rPr>
      </w:pPr>
    </w:p>
    <w:p>
      <w:pPr>
        <w:spacing w:after="0" w:line="224" w:lineRule="exact"/>
        <w:rPr>
          <w:sz w:val="20"/>
          <w:szCs w:val="20"/>
          <w:color w:val="auto"/>
        </w:rPr>
      </w:pPr>
    </w:p>
    <w:p>
      <w:pPr>
        <w:ind w:left="360" w:hanging="352"/>
        <w:spacing w:after="0"/>
        <w:tabs>
          <w:tab w:leader="none" w:pos="360" w:val="left"/>
        </w:tabs>
        <w:numPr>
          <w:ilvl w:val="0"/>
          <w:numId w:val="12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1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If you are a registered shareholder and you have not already done so, you can choose this electronic delivery option by following the instructions provided when voting via the internet and provided on the proxy card. Your choice will remain in effect unless you revoke it by contacting our transfer agent, Equiniti Trust Company, LLC D/B/A EQ Shareowner Services (“EQ Shareowner Services”), at 1-888-883-8903 or P.O. Box 64854, St. Paul, MN 55164-0854 or by signing on to your account at </w:t>
      </w:r>
      <w:r>
        <w:rPr>
          <w:rFonts w:ascii="Arial" w:cs="Arial" w:eastAsia="Arial" w:hAnsi="Arial"/>
          <w:sz w:val="18"/>
          <w:szCs w:val="18"/>
          <w:i w:val="1"/>
          <w:iCs w:val="1"/>
          <w:color w:val="auto"/>
        </w:rPr>
        <w:t>https://www.shareowneronline.com/comcast</w:t>
      </w:r>
      <w:r>
        <w:rPr>
          <w:rFonts w:ascii="Arial" w:cs="Arial" w:eastAsia="Arial" w:hAnsi="Arial"/>
          <w:sz w:val="18"/>
          <w:szCs w:val="18"/>
          <w:color w:val="auto"/>
        </w:rPr>
        <w:t>. You may update your electronic address by contacting EQ Shareowner Services.</w:t>
      </w:r>
    </w:p>
    <w:p>
      <w:pPr>
        <w:spacing w:after="0" w:line="176"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color w:val="auto"/>
        </w:rPr>
        <w:t>If you hold your shares through a bank, brokerage firm or other nominee and you have not already done so, you can choose this electronic delivery option by contacting your nominee or by following the instructions provided when voting via the internet. Your choice will remain in effect unless you revoke it by contacting your nominee. You may update your electronic address by contacting your nominee.</w:t>
      </w:r>
    </w:p>
    <w:p>
      <w:pPr>
        <w:spacing w:after="0" w:line="154" w:lineRule="exact"/>
        <w:rPr>
          <w:sz w:val="20"/>
          <w:szCs w:val="20"/>
          <w:color w:val="auto"/>
        </w:rPr>
      </w:pPr>
    </w:p>
    <w:p>
      <w:pPr>
        <w:spacing w:after="0"/>
        <w:rPr>
          <w:sz w:val="20"/>
          <w:szCs w:val="20"/>
          <w:color w:val="auto"/>
        </w:rPr>
      </w:pPr>
      <w:r>
        <w:rPr>
          <w:rFonts w:ascii="Arial" w:cs="Arial" w:eastAsia="Arial" w:hAnsi="Arial"/>
          <w:sz w:val="29"/>
          <w:szCs w:val="29"/>
          <w:b w:val="1"/>
          <w:bCs w:val="1"/>
          <w:color w:val="00A0E0"/>
        </w:rPr>
        <w:t>Important Notice Regarding Delivery of Shareholder Documents</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Under SEC rules, delivery of each Notice or a single proxy statement and annual report, as applicable, in a single envelope to two or more shareholders sharing the same mailing address is permitted under certain conditions. This procedure, called “householding,” is available if all of the following criteria are met:</w:t>
      </w:r>
    </w:p>
    <w:p>
      <w:pPr>
        <w:spacing w:after="0" w:line="169" w:lineRule="exact"/>
        <w:rPr>
          <w:sz w:val="20"/>
          <w:szCs w:val="20"/>
          <w:color w:val="auto"/>
        </w:rPr>
      </w:pPr>
    </w:p>
    <w:p>
      <w:pPr>
        <w:ind w:left="260" w:hanging="252"/>
        <w:spacing w:after="0"/>
        <w:tabs>
          <w:tab w:leader="none" w:pos="260" w:val="left"/>
        </w:tabs>
        <w:numPr>
          <w:ilvl w:val="0"/>
          <w:numId w:val="125"/>
        </w:numPr>
        <w:rPr>
          <w:rFonts w:ascii="Arial" w:cs="Arial" w:eastAsia="Arial" w:hAnsi="Arial"/>
          <w:sz w:val="17"/>
          <w:szCs w:val="17"/>
          <w:color w:val="00A0E0"/>
        </w:rPr>
      </w:pPr>
      <w:r>
        <w:rPr>
          <w:rFonts w:ascii="Arial" w:cs="Arial" w:eastAsia="Arial" w:hAnsi="Arial"/>
          <w:sz w:val="18"/>
          <w:szCs w:val="18"/>
          <w:color w:val="auto"/>
        </w:rPr>
        <w:t>you have the same address as other shareholders registered on our books;</w:t>
      </w:r>
    </w:p>
    <w:p>
      <w:pPr>
        <w:spacing w:after="0" w:line="63" w:lineRule="exact"/>
        <w:rPr>
          <w:rFonts w:ascii="Arial" w:cs="Arial" w:eastAsia="Arial" w:hAnsi="Arial"/>
          <w:sz w:val="17"/>
          <w:szCs w:val="17"/>
          <w:color w:val="00A0E0"/>
        </w:rPr>
      </w:pPr>
    </w:p>
    <w:p>
      <w:pPr>
        <w:ind w:left="260" w:hanging="252"/>
        <w:spacing w:after="0"/>
        <w:tabs>
          <w:tab w:leader="none" w:pos="260" w:val="left"/>
        </w:tabs>
        <w:numPr>
          <w:ilvl w:val="0"/>
          <w:numId w:val="125"/>
        </w:numPr>
        <w:rPr>
          <w:rFonts w:ascii="Arial" w:cs="Arial" w:eastAsia="Arial" w:hAnsi="Arial"/>
          <w:sz w:val="17"/>
          <w:szCs w:val="17"/>
          <w:color w:val="00A0E0"/>
        </w:rPr>
      </w:pPr>
      <w:r>
        <w:rPr>
          <w:rFonts w:ascii="Arial" w:cs="Arial" w:eastAsia="Arial" w:hAnsi="Arial"/>
          <w:sz w:val="18"/>
          <w:szCs w:val="18"/>
          <w:color w:val="auto"/>
        </w:rPr>
        <w:t>you have the same last name as the other shareholders; and</w:t>
      </w:r>
    </w:p>
    <w:p>
      <w:pPr>
        <w:spacing w:after="0" w:line="63" w:lineRule="exact"/>
        <w:rPr>
          <w:rFonts w:ascii="Arial" w:cs="Arial" w:eastAsia="Arial" w:hAnsi="Arial"/>
          <w:sz w:val="17"/>
          <w:szCs w:val="17"/>
          <w:color w:val="00A0E0"/>
        </w:rPr>
      </w:pPr>
    </w:p>
    <w:p>
      <w:pPr>
        <w:ind w:left="260" w:hanging="252"/>
        <w:spacing w:after="0"/>
        <w:tabs>
          <w:tab w:leader="none" w:pos="260" w:val="left"/>
        </w:tabs>
        <w:numPr>
          <w:ilvl w:val="0"/>
          <w:numId w:val="125"/>
        </w:numPr>
        <w:rPr>
          <w:rFonts w:ascii="Arial" w:cs="Arial" w:eastAsia="Arial" w:hAnsi="Arial"/>
          <w:sz w:val="17"/>
          <w:szCs w:val="17"/>
          <w:color w:val="00A0E0"/>
        </w:rPr>
      </w:pPr>
      <w:r>
        <w:rPr>
          <w:rFonts w:ascii="Arial" w:cs="Arial" w:eastAsia="Arial" w:hAnsi="Arial"/>
          <w:sz w:val="18"/>
          <w:szCs w:val="18"/>
          <w:color w:val="auto"/>
        </w:rPr>
        <w:t>your address is a residential address or post office box.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If you meet this criteria, you are eligible for householding and the following terms apply. If you are not eligible, please disregard this notice.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consent to, or discontinue, the householding process of receiving just one set of annual disclosure materials?</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To give your consent to, or to discontinue, householding, please notify our transfer agent, EQ Shareowner Services, at 1-888-883-8903 or by mail at P.O. Box 64874, St. Paul, MN 55164-0854 if you are a registered shareholder, or your bank or broker if you are a beneficial shareholder. Registered and beneficial shareholders may also discontinue householding by contacting Broadridge by phone at (866) 540-7095 or by mail at Broadridge, Householding Department, 51 Mercedes Way, Edgewood, NY 11717.</w:t>
      </w:r>
    </w:p>
    <w:p>
      <w:pPr>
        <w:spacing w:after="0" w:line="174"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householding consent is considered perpetual, which means you will continue to receive a single envelope containing each Notice for the household or a single proxy statement and annual report, as applicable, in the future unless you discontinue this process.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80" w:type="dxa"/>
            <w:vAlign w:val="bottom"/>
          </w:tcPr>
          <w:p>
            <w:pPr>
              <w:ind w:left="952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62</w:t>
            </w:r>
          </w:p>
        </w:tc>
      </w:tr>
      <w:tr>
        <w:trPr>
          <w:trHeight w:val="362"/>
        </w:trPr>
        <w:tc>
          <w:tcPr>
            <w:tcW w:w="10980" w:type="dxa"/>
            <w:vAlign w:val="bottom"/>
            <w:tcBorders>
              <w:bottom w:val="single" w:sz="8" w:color="A1A1A1"/>
            </w:tcBorders>
          </w:tcPr>
          <w:p>
            <w:pPr>
              <w:spacing w:after="0"/>
              <w:rPr>
                <w:sz w:val="24"/>
                <w:szCs w:val="24"/>
                <w:color w:val="auto"/>
              </w:rPr>
            </w:pPr>
          </w:p>
        </w:tc>
        <w:tc>
          <w:tcPr>
            <w:tcW w:w="26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Appendix A: Reconciliations of Non-GAAP Financial Measures</w:t>
      </w:r>
    </w:p>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believe that the presentation of financial measures not in accordance with generally accepted accounting principles in the United States (“GAAP”) provides useful information to investors regarding our results of operations and financial condition. Our non-GAAP financial measures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17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Additional information and reconciliations of Adjusted EBITDA to net income attributable to Comcast Corporation for the years ended December 31, 2021, 2022 and 2023 are set forth in “Item 7: Management’s Discussion and Analysis of Financial Condition and Results of Operations – Non-GAAP Financial Measures” on pages 47-49 of our Annual Report on Form 10-K for the year ended December 31, 2023, as filed with the SEC on January 31, 2024 (the “10-K”).</w:t>
      </w:r>
    </w:p>
    <w:p>
      <w:pPr>
        <w:spacing w:after="0" w:line="183"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 Additional information and a reconciliation of constant currency revenue and Adjusted EBITDA growth rates for the Connectivity &amp; Platforms business in 2023 is set forth in “Item 7: Management’s Discussion and Analysis of Financial Condition and Results of Operations – Non-GAAP Financial Measures” on pages 47-49 of the 10-K.</w:t>
      </w:r>
    </w:p>
    <w:p>
      <w:pPr>
        <w:spacing w:after="0" w:line="17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We believe Free Cash Flow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183" w:lineRule="exact"/>
        <w:rPr>
          <w:sz w:val="20"/>
          <w:szCs w:val="20"/>
          <w:color w:val="auto"/>
        </w:rPr>
      </w:pPr>
    </w:p>
    <w:p>
      <w:pPr>
        <w:ind w:right="2740"/>
        <w:spacing w:after="0" w:line="271" w:lineRule="auto"/>
        <w:rPr>
          <w:sz w:val="20"/>
          <w:szCs w:val="20"/>
          <w:color w:val="auto"/>
        </w:rPr>
      </w:pPr>
      <w:r>
        <w:rPr>
          <w:rFonts w:ascii="Arial" w:cs="Arial" w:eastAsia="Arial" w:hAnsi="Arial"/>
          <w:sz w:val="18"/>
          <w:szCs w:val="18"/>
          <w:b w:val="1"/>
          <w:bCs w:val="1"/>
          <w:color w:val="00A0E0"/>
        </w:rPr>
        <w:t xml:space="preserve">RECONCILIATION FROM NET CASH PROVIDED BY OPERATING ACTIVITIES TO FREE CASH FLOW </w:t>
      </w:r>
      <w:r>
        <w:rPr>
          <w:rFonts w:ascii="Arial" w:cs="Arial" w:eastAsia="Arial" w:hAnsi="Arial"/>
          <w:sz w:val="18"/>
          <w:szCs w:val="18"/>
          <w:color w:val="000000"/>
        </w:rPr>
        <w:t>($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760" w:type="dxa"/>
            <w:vAlign w:val="bottom"/>
          </w:tcPr>
          <w:p>
            <w:pPr>
              <w:spacing w:after="0"/>
              <w:rPr>
                <w:sz w:val="21"/>
                <w:szCs w:val="21"/>
                <w:color w:val="auto"/>
              </w:rPr>
            </w:pPr>
          </w:p>
        </w:tc>
        <w:tc>
          <w:tcPr>
            <w:tcW w:w="34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YEAR ENDED DECEMBER 31,</w:t>
            </w:r>
          </w:p>
        </w:tc>
      </w:tr>
      <w:tr>
        <w:trPr>
          <w:trHeight w:val="290"/>
        </w:trPr>
        <w:tc>
          <w:tcPr>
            <w:tcW w:w="77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r>
      <w:tr>
        <w:trPr>
          <w:trHeight w:val="250"/>
        </w:trPr>
        <w:tc>
          <w:tcPr>
            <w:tcW w:w="776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tcBorders>
              <w:bottom w:val="single" w:sz="8" w:color="DCDDDE"/>
            </w:tcBorders>
          </w:tcPr>
          <w:p>
            <w:pPr>
              <w:jc w:val="right"/>
              <w:ind w:right="290"/>
              <w:spacing w:after="0"/>
              <w:rPr>
                <w:sz w:val="20"/>
                <w:szCs w:val="20"/>
                <w:color w:val="auto"/>
              </w:rPr>
            </w:pPr>
            <w:r>
              <w:rPr>
                <w:rFonts w:ascii="Arial" w:cs="Arial" w:eastAsia="Arial" w:hAnsi="Arial"/>
                <w:sz w:val="18"/>
                <w:szCs w:val="18"/>
                <w:b w:val="1"/>
                <w:bCs w:val="1"/>
                <w:color w:val="auto"/>
              </w:rPr>
              <w:t>28,501</w:t>
            </w:r>
          </w:p>
        </w:tc>
        <w:tc>
          <w:tcPr>
            <w:tcW w:w="1280" w:type="dxa"/>
            <w:vAlign w:val="bottom"/>
            <w:tcBorders>
              <w:bottom w:val="single" w:sz="8" w:color="DCDDDE"/>
            </w:tcBorders>
          </w:tcPr>
          <w:p>
            <w:pPr>
              <w:jc w:val="right"/>
              <w:ind w:right="270"/>
              <w:spacing w:after="0"/>
              <w:rPr>
                <w:sz w:val="20"/>
                <w:szCs w:val="20"/>
                <w:color w:val="auto"/>
              </w:rPr>
            </w:pPr>
            <w:r>
              <w:rPr>
                <w:rFonts w:ascii="Arial" w:cs="Arial" w:eastAsia="Arial" w:hAnsi="Arial"/>
                <w:sz w:val="18"/>
                <w:szCs w:val="18"/>
                <w:b w:val="1"/>
                <w:bCs w:val="1"/>
                <w:color w:val="auto"/>
              </w:rPr>
              <w:t>26,413</w:t>
            </w:r>
          </w:p>
        </w:tc>
        <w:tc>
          <w:tcPr>
            <w:tcW w:w="1200" w:type="dxa"/>
            <w:vAlign w:val="bottom"/>
            <w:tcBorders>
              <w:bottom w:val="single" w:sz="8" w:color="DCDDDE"/>
            </w:tcBorders>
          </w:tcPr>
          <w:p>
            <w:pPr>
              <w:jc w:val="right"/>
              <w:ind w:right="250"/>
              <w:spacing w:after="0"/>
              <w:rPr>
                <w:sz w:val="20"/>
                <w:szCs w:val="20"/>
                <w:color w:val="auto"/>
              </w:rPr>
            </w:pPr>
            <w:r>
              <w:rPr>
                <w:rFonts w:ascii="Arial" w:cs="Arial" w:eastAsia="Arial" w:hAnsi="Arial"/>
                <w:sz w:val="18"/>
                <w:szCs w:val="18"/>
                <w:b w:val="1"/>
                <w:bCs w:val="1"/>
                <w:color w:val="auto"/>
              </w:rPr>
              <w:t>29,146</w:t>
            </w:r>
          </w:p>
        </w:tc>
      </w:tr>
      <w:tr>
        <w:trPr>
          <w:trHeight w:val="246"/>
        </w:trPr>
        <w:tc>
          <w:tcPr>
            <w:tcW w:w="7760" w:type="dxa"/>
            <w:vAlign w:val="bottom"/>
            <w:tcBorders>
              <w:bottom w:val="single" w:sz="8" w:color="DCDDDE"/>
            </w:tcBorders>
          </w:tcPr>
          <w:p>
            <w:pPr>
              <w:ind w:left="80"/>
              <w:spacing w:after="0"/>
              <w:rPr>
                <w:sz w:val="20"/>
                <w:szCs w:val="20"/>
                <w:color w:val="auto"/>
              </w:rPr>
            </w:pPr>
            <w:r>
              <w:rPr>
                <w:rFonts w:ascii="Arial" w:cs="Arial" w:eastAsia="Arial" w:hAnsi="Arial"/>
                <w:sz w:val="18"/>
                <w:szCs w:val="18"/>
                <w:color w:val="auto"/>
              </w:rPr>
              <w:t>Capital expenditures</w:t>
            </w:r>
          </w:p>
        </w:tc>
        <w:tc>
          <w:tcPr>
            <w:tcW w:w="1000" w:type="dxa"/>
            <w:vAlign w:val="bottom"/>
            <w:tcBorders>
              <w:bottom w:val="single" w:sz="8" w:color="DCDDDE"/>
            </w:tcBorders>
          </w:tcPr>
          <w:p>
            <w:pPr>
              <w:jc w:val="right"/>
              <w:ind w:right="230"/>
              <w:spacing w:after="0"/>
              <w:rPr>
                <w:sz w:val="20"/>
                <w:szCs w:val="20"/>
                <w:color w:val="auto"/>
              </w:rPr>
            </w:pPr>
            <w:r>
              <w:rPr>
                <w:rFonts w:ascii="Arial" w:cs="Arial" w:eastAsia="Arial" w:hAnsi="Arial"/>
                <w:sz w:val="18"/>
                <w:szCs w:val="18"/>
                <w:color w:val="auto"/>
                <w:w w:val="98"/>
              </w:rPr>
              <w:t>(12,242)</w:t>
            </w:r>
          </w:p>
        </w:tc>
        <w:tc>
          <w:tcPr>
            <w:tcW w:w="1280" w:type="dxa"/>
            <w:vAlign w:val="bottom"/>
            <w:tcBorders>
              <w:bottom w:val="single" w:sz="8" w:color="DCDDDE"/>
            </w:tcBorders>
          </w:tcPr>
          <w:p>
            <w:pPr>
              <w:jc w:val="right"/>
              <w:ind w:right="210"/>
              <w:spacing w:after="0"/>
              <w:rPr>
                <w:sz w:val="20"/>
                <w:szCs w:val="20"/>
                <w:color w:val="auto"/>
              </w:rPr>
            </w:pPr>
            <w:r>
              <w:rPr>
                <w:rFonts w:ascii="Arial" w:cs="Arial" w:eastAsia="Arial" w:hAnsi="Arial"/>
                <w:sz w:val="18"/>
                <w:szCs w:val="18"/>
                <w:color w:val="auto"/>
              </w:rPr>
              <w:t>(10,626)</w:t>
            </w:r>
          </w:p>
        </w:tc>
        <w:tc>
          <w:tcPr>
            <w:tcW w:w="1200" w:type="dxa"/>
            <w:vAlign w:val="bottom"/>
            <w:tcBorders>
              <w:bottom w:val="single" w:sz="8" w:color="DCDDDE"/>
            </w:tcBorders>
          </w:tcPr>
          <w:p>
            <w:pPr>
              <w:jc w:val="right"/>
              <w:ind w:right="190"/>
              <w:spacing w:after="0"/>
              <w:rPr>
                <w:sz w:val="20"/>
                <w:szCs w:val="20"/>
                <w:color w:val="auto"/>
              </w:rPr>
            </w:pPr>
            <w:r>
              <w:rPr>
                <w:rFonts w:ascii="Arial" w:cs="Arial" w:eastAsia="Arial" w:hAnsi="Arial"/>
                <w:sz w:val="18"/>
                <w:szCs w:val="18"/>
                <w:color w:val="auto"/>
              </w:rPr>
              <w:t>(9,174)</w:t>
            </w:r>
          </w:p>
        </w:tc>
      </w:tr>
      <w:tr>
        <w:trPr>
          <w:trHeight w:val="250"/>
        </w:trPr>
        <w:tc>
          <w:tcPr>
            <w:tcW w:w="7760" w:type="dxa"/>
            <w:vAlign w:val="bottom"/>
            <w:tcBorders>
              <w:bottom w:val="single" w:sz="8" w:color="DCDDDE"/>
            </w:tcBorders>
          </w:tcPr>
          <w:p>
            <w:pPr>
              <w:ind w:left="80"/>
              <w:spacing w:after="0"/>
              <w:rPr>
                <w:sz w:val="20"/>
                <w:szCs w:val="20"/>
                <w:color w:val="auto"/>
              </w:rPr>
            </w:pPr>
            <w:r>
              <w:rPr>
                <w:rFonts w:ascii="Arial" w:cs="Arial" w:eastAsia="Arial" w:hAnsi="Arial"/>
                <w:sz w:val="18"/>
                <w:szCs w:val="18"/>
                <w:color w:val="auto"/>
              </w:rPr>
              <w:t>Cash paid for capitalized software and other intangible assets</w:t>
            </w:r>
          </w:p>
        </w:tc>
        <w:tc>
          <w:tcPr>
            <w:tcW w:w="1000" w:type="dxa"/>
            <w:vAlign w:val="bottom"/>
            <w:tcBorders>
              <w:bottom w:val="single" w:sz="8" w:color="DCDDDE"/>
            </w:tcBorders>
          </w:tcPr>
          <w:p>
            <w:pPr>
              <w:jc w:val="right"/>
              <w:ind w:right="230"/>
              <w:spacing w:after="0"/>
              <w:rPr>
                <w:sz w:val="20"/>
                <w:szCs w:val="20"/>
                <w:color w:val="auto"/>
              </w:rPr>
            </w:pPr>
            <w:r>
              <w:rPr>
                <w:rFonts w:ascii="Arial" w:cs="Arial" w:eastAsia="Arial" w:hAnsi="Arial"/>
                <w:sz w:val="18"/>
                <w:szCs w:val="18"/>
                <w:color w:val="auto"/>
              </w:rPr>
              <w:t>(3,298)</w:t>
            </w:r>
          </w:p>
        </w:tc>
        <w:tc>
          <w:tcPr>
            <w:tcW w:w="1280" w:type="dxa"/>
            <w:vAlign w:val="bottom"/>
            <w:tcBorders>
              <w:bottom w:val="single" w:sz="8" w:color="DCDDDE"/>
            </w:tcBorders>
          </w:tcPr>
          <w:p>
            <w:pPr>
              <w:jc w:val="right"/>
              <w:ind w:right="210"/>
              <w:spacing w:after="0"/>
              <w:rPr>
                <w:sz w:val="20"/>
                <w:szCs w:val="20"/>
                <w:color w:val="auto"/>
              </w:rPr>
            </w:pPr>
            <w:r>
              <w:rPr>
                <w:rFonts w:ascii="Arial" w:cs="Arial" w:eastAsia="Arial" w:hAnsi="Arial"/>
                <w:sz w:val="18"/>
                <w:szCs w:val="18"/>
                <w:color w:val="auto"/>
              </w:rPr>
              <w:t>(3,141)</w:t>
            </w:r>
          </w:p>
        </w:tc>
        <w:tc>
          <w:tcPr>
            <w:tcW w:w="1200" w:type="dxa"/>
            <w:vAlign w:val="bottom"/>
            <w:tcBorders>
              <w:bottom w:val="single" w:sz="8" w:color="DCDDDE"/>
            </w:tcBorders>
          </w:tcPr>
          <w:p>
            <w:pPr>
              <w:jc w:val="right"/>
              <w:ind w:right="190"/>
              <w:spacing w:after="0"/>
              <w:rPr>
                <w:sz w:val="20"/>
                <w:szCs w:val="20"/>
                <w:color w:val="auto"/>
              </w:rPr>
            </w:pPr>
            <w:r>
              <w:rPr>
                <w:rFonts w:ascii="Arial" w:cs="Arial" w:eastAsia="Arial" w:hAnsi="Arial"/>
                <w:sz w:val="18"/>
                <w:szCs w:val="18"/>
                <w:color w:val="auto"/>
              </w:rPr>
              <w:t>(2,883)</w:t>
            </w:r>
          </w:p>
        </w:tc>
      </w:tr>
      <w:tr>
        <w:trPr>
          <w:trHeight w:val="254"/>
        </w:trPr>
        <w:tc>
          <w:tcPr>
            <w:tcW w:w="7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Free Cash Flow</w:t>
            </w: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12,962</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12,646</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17,089</w:t>
            </w:r>
          </w:p>
        </w:tc>
      </w:tr>
    </w:tbl>
    <w:p>
      <w:pPr>
        <w:spacing w:after="0" w:line="228" w:lineRule="exact"/>
        <w:rPr>
          <w:sz w:val="20"/>
          <w:szCs w:val="20"/>
          <w:color w:val="auto"/>
        </w:rPr>
      </w:pPr>
    </w:p>
    <w:p>
      <w:pPr>
        <w:spacing w:after="0"/>
        <w:tabs>
          <w:tab w:leader="none" w:pos="400" w:val="left"/>
        </w:tabs>
        <w:rPr>
          <w:sz w:val="20"/>
          <w:szCs w:val="20"/>
          <w:color w:val="auto"/>
        </w:rPr>
      </w:pPr>
      <w:r>
        <w:rPr>
          <w:rFonts w:ascii="Arial" w:cs="Arial" w:eastAsia="Arial" w:hAnsi="Arial"/>
          <w:sz w:val="13"/>
          <w:szCs w:val="13"/>
          <w:b w:val="1"/>
          <w:bCs w:val="1"/>
          <w:color w:val="auto"/>
        </w:rPr>
        <w:t>A-1</w:t>
        <w:tab/>
        <w:t xml:space="preserve">2024 </w:t>
      </w:r>
      <w:r>
        <w:rPr>
          <w:rFonts w:ascii="Arial" w:cs="Arial" w:eastAsia="Arial" w:hAnsi="Arial"/>
          <w:sz w:val="13"/>
          <w:szCs w:val="13"/>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Appendix B: Nasdaq Board Diversity Matrix</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p>
      <w:pPr>
        <w:ind w:left="9500"/>
        <w:spacing w:after="0"/>
        <w:rPr>
          <w:sz w:val="20"/>
          <w:szCs w:val="20"/>
          <w:color w:val="auto"/>
        </w:rPr>
      </w:pPr>
      <w:r>
        <w:rPr>
          <w:rFonts w:ascii="Arial" w:cs="Arial" w:eastAsia="Arial" w:hAnsi="Arial"/>
          <w:sz w:val="18"/>
          <w:szCs w:val="18"/>
          <w:b w:val="1"/>
          <w:bCs w:val="1"/>
          <w:color w:val="auto"/>
        </w:rPr>
        <w:t>As of April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Number of Directors</w:t>
            </w:r>
          </w:p>
        </w:tc>
        <w:tc>
          <w:tcPr>
            <w:tcW w:w="39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12</w:t>
            </w:r>
          </w:p>
        </w:tc>
      </w:tr>
      <w:tr>
        <w:trPr>
          <w:trHeight w:val="250"/>
        </w:trPr>
        <w:tc>
          <w:tcPr>
            <w:tcW w:w="622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ind w:left="3300"/>
              <w:spacing w:after="0"/>
              <w:rPr>
                <w:sz w:val="20"/>
                <w:szCs w:val="20"/>
                <w:color w:val="auto"/>
              </w:rPr>
            </w:pPr>
            <w:r>
              <w:rPr>
                <w:rFonts w:ascii="Arial" w:cs="Arial" w:eastAsia="Arial" w:hAnsi="Arial"/>
                <w:sz w:val="18"/>
                <w:szCs w:val="18"/>
                <w:b w:val="1"/>
                <w:bCs w:val="1"/>
                <w:color w:val="auto"/>
              </w:rPr>
              <w:t>Female</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Male</w:t>
            </w:r>
          </w:p>
        </w:tc>
      </w:tr>
      <w:tr>
        <w:trPr>
          <w:trHeight w:val="250"/>
        </w:trPr>
        <w:tc>
          <w:tcPr>
            <w:tcW w:w="622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auto"/>
              </w:rPr>
              <w:t>Part I: Gender Identity</w:t>
            </w:r>
          </w:p>
        </w:tc>
        <w:tc>
          <w:tcPr>
            <w:tcW w:w="3960" w:type="dxa"/>
            <w:vAlign w:val="bottom"/>
            <w:tcBorders>
              <w:bottom w:val="single" w:sz="8" w:color="DCDDDE"/>
            </w:tcBorders>
          </w:tcPr>
          <w:p>
            <w:pPr>
              <w:spacing w:after="0"/>
              <w:rPr>
                <w:sz w:val="21"/>
                <w:szCs w:val="21"/>
                <w:color w:val="auto"/>
              </w:rPr>
            </w:pPr>
          </w:p>
        </w:tc>
        <w:tc>
          <w:tcPr>
            <w:tcW w:w="1060" w:type="dxa"/>
            <w:vAlign w:val="bottom"/>
            <w:tcBorders>
              <w:bottom w:val="single" w:sz="8" w:color="DCDDDE"/>
            </w:tcBorders>
          </w:tcPr>
          <w:p>
            <w:pPr>
              <w:spacing w:after="0"/>
              <w:rPr>
                <w:sz w:val="21"/>
                <w:szCs w:val="21"/>
                <w:color w:val="auto"/>
              </w:rPr>
            </w:pPr>
          </w:p>
        </w:tc>
      </w:tr>
      <w:tr>
        <w:trPr>
          <w:trHeight w:val="246"/>
        </w:trPr>
        <w:tc>
          <w:tcPr>
            <w:tcW w:w="6220" w:type="dxa"/>
            <w:vAlign w:val="bottom"/>
            <w:tcBorders>
              <w:bottom w:val="single" w:sz="8" w:color="DCDDDE"/>
            </w:tcBorders>
          </w:tcPr>
          <w:p>
            <w:pPr>
              <w:ind w:left="80"/>
              <w:spacing w:after="0"/>
              <w:rPr>
                <w:sz w:val="20"/>
                <w:szCs w:val="20"/>
                <w:color w:val="auto"/>
              </w:rPr>
            </w:pPr>
            <w:r>
              <w:rPr>
                <w:rFonts w:ascii="Arial" w:cs="Arial" w:eastAsia="Arial" w:hAnsi="Arial"/>
                <w:sz w:val="18"/>
                <w:szCs w:val="18"/>
                <w:color w:val="auto"/>
              </w:rPr>
              <w:t>Directors</w:t>
            </w:r>
          </w:p>
        </w:tc>
        <w:tc>
          <w:tcPr>
            <w:tcW w:w="3960" w:type="dxa"/>
            <w:vAlign w:val="bottom"/>
            <w:tcBorders>
              <w:bottom w:val="single" w:sz="8" w:color="DCDDDE"/>
            </w:tcBorders>
          </w:tcPr>
          <w:p>
            <w:pPr>
              <w:jc w:val="center"/>
              <w:ind w:left="3170"/>
              <w:spacing w:after="0"/>
              <w:rPr>
                <w:sz w:val="20"/>
                <w:szCs w:val="20"/>
                <w:color w:val="auto"/>
              </w:rPr>
            </w:pPr>
            <w:r>
              <w:rPr>
                <w:rFonts w:ascii="Arial" w:cs="Arial" w:eastAsia="Arial" w:hAnsi="Arial"/>
                <w:sz w:val="18"/>
                <w:szCs w:val="18"/>
                <w:color w:val="auto"/>
                <w:w w:val="99"/>
              </w:rPr>
              <w:t>4</w:t>
            </w:r>
          </w:p>
        </w:tc>
        <w:tc>
          <w:tcPr>
            <w:tcW w:w="1060" w:type="dxa"/>
            <w:vAlign w:val="bottom"/>
            <w:tcBorders>
              <w:bottom w:val="single" w:sz="8" w:color="DCDDDE"/>
            </w:tcBorders>
          </w:tcPr>
          <w:p>
            <w:pPr>
              <w:jc w:val="center"/>
              <w:ind w:left="230"/>
              <w:spacing w:after="0"/>
              <w:rPr>
                <w:sz w:val="20"/>
                <w:szCs w:val="20"/>
                <w:color w:val="auto"/>
              </w:rPr>
            </w:pPr>
            <w:r>
              <w:rPr>
                <w:rFonts w:ascii="Arial" w:cs="Arial" w:eastAsia="Arial" w:hAnsi="Arial"/>
                <w:sz w:val="18"/>
                <w:szCs w:val="18"/>
                <w:color w:val="auto"/>
                <w:w w:val="99"/>
              </w:rPr>
              <w:t>8</w:t>
            </w:r>
          </w:p>
        </w:tc>
      </w:tr>
      <w:tr>
        <w:trPr>
          <w:trHeight w:val="254"/>
        </w:trPr>
        <w:tc>
          <w:tcPr>
            <w:tcW w:w="6220" w:type="dxa"/>
            <w:vAlign w:val="bottom"/>
            <w:tcBorders>
              <w:bottom w:val="single" w:sz="8" w:color="DCDDDE"/>
            </w:tcBorders>
          </w:tcPr>
          <w:p>
            <w:pPr>
              <w:ind w:left="80"/>
              <w:spacing w:after="0"/>
              <w:rPr>
                <w:sz w:val="20"/>
                <w:szCs w:val="20"/>
                <w:color w:val="auto"/>
              </w:rPr>
            </w:pPr>
            <w:r>
              <w:rPr>
                <w:rFonts w:ascii="Arial" w:cs="Arial" w:eastAsia="Arial" w:hAnsi="Arial"/>
                <w:sz w:val="18"/>
                <w:szCs w:val="18"/>
                <w:b w:val="1"/>
                <w:bCs w:val="1"/>
                <w:color w:val="auto"/>
              </w:rPr>
              <w:t>Part II: Demographic Background</w:t>
            </w:r>
          </w:p>
        </w:tc>
        <w:tc>
          <w:tcPr>
            <w:tcW w:w="3960" w:type="dxa"/>
            <w:vAlign w:val="bottom"/>
            <w:tcBorders>
              <w:bottom w:val="single" w:sz="8" w:color="DCDDDE"/>
            </w:tcBorders>
          </w:tcPr>
          <w:p>
            <w:pPr>
              <w:spacing w:after="0"/>
              <w:rPr>
                <w:sz w:val="22"/>
                <w:szCs w:val="22"/>
                <w:color w:val="auto"/>
              </w:rPr>
            </w:pPr>
          </w:p>
        </w:tc>
        <w:tc>
          <w:tcPr>
            <w:tcW w:w="1060" w:type="dxa"/>
            <w:vAlign w:val="bottom"/>
            <w:tcBorders>
              <w:bottom w:val="single" w:sz="8" w:color="DCDDDE"/>
            </w:tcBorders>
          </w:tcPr>
          <w:p>
            <w:pPr>
              <w:spacing w:after="0"/>
              <w:rPr>
                <w:sz w:val="22"/>
                <w:szCs w:val="22"/>
                <w:color w:val="auto"/>
              </w:rPr>
            </w:pPr>
          </w:p>
        </w:tc>
      </w:tr>
      <w:tr>
        <w:trPr>
          <w:trHeight w:val="246"/>
        </w:trPr>
        <w:tc>
          <w:tcPr>
            <w:tcW w:w="6220" w:type="dxa"/>
            <w:vAlign w:val="bottom"/>
            <w:tcBorders>
              <w:bottom w:val="single" w:sz="8" w:color="DCDDDE"/>
            </w:tcBorders>
          </w:tcPr>
          <w:p>
            <w:pPr>
              <w:ind w:left="80"/>
              <w:spacing w:after="0"/>
              <w:rPr>
                <w:sz w:val="20"/>
                <w:szCs w:val="20"/>
                <w:color w:val="auto"/>
              </w:rPr>
            </w:pPr>
            <w:r>
              <w:rPr>
                <w:rFonts w:ascii="Arial" w:cs="Arial" w:eastAsia="Arial" w:hAnsi="Arial"/>
                <w:sz w:val="18"/>
                <w:szCs w:val="18"/>
                <w:color w:val="auto"/>
              </w:rPr>
              <w:t>Black or African American</w:t>
            </w:r>
          </w:p>
        </w:tc>
        <w:tc>
          <w:tcPr>
            <w:tcW w:w="3960" w:type="dxa"/>
            <w:vAlign w:val="bottom"/>
            <w:tcBorders>
              <w:bottom w:val="single" w:sz="8" w:color="DCDDDE"/>
            </w:tcBorders>
          </w:tcPr>
          <w:p>
            <w:pPr>
              <w:jc w:val="center"/>
              <w:ind w:left="3170"/>
              <w:spacing w:after="0"/>
              <w:rPr>
                <w:sz w:val="20"/>
                <w:szCs w:val="20"/>
                <w:color w:val="auto"/>
              </w:rPr>
            </w:pPr>
            <w:r>
              <w:rPr>
                <w:rFonts w:ascii="Arial" w:cs="Arial" w:eastAsia="Arial" w:hAnsi="Arial"/>
                <w:sz w:val="18"/>
                <w:szCs w:val="18"/>
                <w:color w:val="auto"/>
                <w:w w:val="99"/>
              </w:rPr>
              <w:t>1</w:t>
            </w:r>
          </w:p>
        </w:tc>
        <w:tc>
          <w:tcPr>
            <w:tcW w:w="1060" w:type="dxa"/>
            <w:vAlign w:val="bottom"/>
            <w:tcBorders>
              <w:bottom w:val="single" w:sz="8" w:color="DCDDDE"/>
            </w:tcBorders>
          </w:tcPr>
          <w:p>
            <w:pPr>
              <w:jc w:val="center"/>
              <w:ind w:left="230"/>
              <w:spacing w:after="0"/>
              <w:rPr>
                <w:sz w:val="20"/>
                <w:szCs w:val="20"/>
                <w:color w:val="auto"/>
              </w:rPr>
            </w:pPr>
            <w:r>
              <w:rPr>
                <w:rFonts w:ascii="Arial" w:cs="Arial" w:eastAsia="Arial" w:hAnsi="Arial"/>
                <w:sz w:val="18"/>
                <w:szCs w:val="18"/>
                <w:color w:val="auto"/>
                <w:w w:val="99"/>
              </w:rPr>
              <w:t>2</w:t>
            </w:r>
          </w:p>
        </w:tc>
      </w:tr>
      <w:tr>
        <w:trPr>
          <w:trHeight w:val="250"/>
        </w:trPr>
        <w:tc>
          <w:tcPr>
            <w:tcW w:w="6220" w:type="dxa"/>
            <w:vAlign w:val="bottom"/>
            <w:tcBorders>
              <w:bottom w:val="single" w:sz="8" w:color="DCDDDE"/>
            </w:tcBorders>
          </w:tcPr>
          <w:p>
            <w:pPr>
              <w:ind w:left="80"/>
              <w:spacing w:after="0"/>
              <w:rPr>
                <w:sz w:val="20"/>
                <w:szCs w:val="20"/>
                <w:color w:val="auto"/>
              </w:rPr>
            </w:pPr>
            <w:r>
              <w:rPr>
                <w:rFonts w:ascii="Arial" w:cs="Arial" w:eastAsia="Arial" w:hAnsi="Arial"/>
                <w:sz w:val="18"/>
                <w:szCs w:val="18"/>
                <w:color w:val="auto"/>
              </w:rPr>
              <w:t>Asian or Pacific Islander</w:t>
            </w:r>
          </w:p>
        </w:tc>
        <w:tc>
          <w:tcPr>
            <w:tcW w:w="3960" w:type="dxa"/>
            <w:vAlign w:val="bottom"/>
            <w:tcBorders>
              <w:bottom w:val="single" w:sz="8" w:color="DCDDDE"/>
            </w:tcBorders>
          </w:tcPr>
          <w:p>
            <w:pPr>
              <w:jc w:val="center"/>
              <w:ind w:left="3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DCDDDE"/>
            </w:tcBorders>
          </w:tcPr>
          <w:p>
            <w:pPr>
              <w:jc w:val="center"/>
              <w:ind w:left="230"/>
              <w:spacing w:after="0"/>
              <w:rPr>
                <w:sz w:val="20"/>
                <w:szCs w:val="20"/>
                <w:color w:val="auto"/>
              </w:rPr>
            </w:pPr>
            <w:r>
              <w:rPr>
                <w:rFonts w:ascii="Arial" w:cs="Arial" w:eastAsia="Arial" w:hAnsi="Arial"/>
                <w:sz w:val="18"/>
                <w:szCs w:val="18"/>
                <w:color w:val="auto"/>
                <w:w w:val="99"/>
              </w:rPr>
              <w:t>1</w:t>
            </w:r>
          </w:p>
        </w:tc>
      </w:tr>
      <w:tr>
        <w:trPr>
          <w:trHeight w:val="250"/>
        </w:trPr>
        <w:tc>
          <w:tcPr>
            <w:tcW w:w="6220" w:type="dxa"/>
            <w:vAlign w:val="bottom"/>
            <w:tcBorders>
              <w:bottom w:val="single" w:sz="8" w:color="DCDDDE"/>
            </w:tcBorders>
          </w:tcPr>
          <w:p>
            <w:pPr>
              <w:ind w:left="80"/>
              <w:spacing w:after="0"/>
              <w:rPr>
                <w:sz w:val="20"/>
                <w:szCs w:val="20"/>
                <w:color w:val="auto"/>
              </w:rPr>
            </w:pPr>
            <w:r>
              <w:rPr>
                <w:rFonts w:ascii="Arial" w:cs="Arial" w:eastAsia="Arial" w:hAnsi="Arial"/>
                <w:sz w:val="18"/>
                <w:szCs w:val="18"/>
                <w:color w:val="auto"/>
              </w:rPr>
              <w:t>Hispanic/Latino/a/e</w:t>
            </w:r>
          </w:p>
        </w:tc>
        <w:tc>
          <w:tcPr>
            <w:tcW w:w="3960" w:type="dxa"/>
            <w:vAlign w:val="bottom"/>
            <w:tcBorders>
              <w:bottom w:val="single" w:sz="8" w:color="DCDDDE"/>
            </w:tcBorders>
          </w:tcPr>
          <w:p>
            <w:pPr>
              <w:jc w:val="center"/>
              <w:ind w:left="3170"/>
              <w:spacing w:after="0"/>
              <w:rPr>
                <w:sz w:val="20"/>
                <w:szCs w:val="20"/>
                <w:color w:val="auto"/>
              </w:rPr>
            </w:pPr>
            <w:r>
              <w:rPr>
                <w:rFonts w:ascii="Arial" w:cs="Arial" w:eastAsia="Arial" w:hAnsi="Arial"/>
                <w:sz w:val="18"/>
                <w:szCs w:val="18"/>
                <w:color w:val="auto"/>
                <w:w w:val="99"/>
              </w:rPr>
              <w:t>1</w:t>
            </w:r>
          </w:p>
        </w:tc>
        <w:tc>
          <w:tcPr>
            <w:tcW w:w="1060" w:type="dxa"/>
            <w:vAlign w:val="bottom"/>
            <w:tcBorders>
              <w:bottom w:val="single" w:sz="8" w:color="DCDDDE"/>
            </w:tcBorders>
          </w:tcPr>
          <w:p>
            <w:pPr>
              <w:jc w:val="center"/>
              <w:ind w:left="230"/>
              <w:spacing w:after="0"/>
              <w:rPr>
                <w:sz w:val="20"/>
                <w:szCs w:val="20"/>
                <w:color w:val="auto"/>
              </w:rPr>
            </w:pPr>
            <w:r>
              <w:rPr>
                <w:rFonts w:ascii="Arial" w:cs="Arial" w:eastAsia="Arial" w:hAnsi="Arial"/>
                <w:sz w:val="18"/>
                <w:szCs w:val="18"/>
                <w:color w:val="auto"/>
                <w:w w:val="99"/>
              </w:rPr>
              <w:t>—</w:t>
            </w:r>
          </w:p>
        </w:tc>
      </w:tr>
      <w:tr>
        <w:trPr>
          <w:trHeight w:val="250"/>
        </w:trPr>
        <w:tc>
          <w:tcPr>
            <w:tcW w:w="6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White</w:t>
            </w:r>
          </w:p>
        </w:tc>
        <w:tc>
          <w:tcPr>
            <w:tcW w:w="3960" w:type="dxa"/>
            <w:vAlign w:val="bottom"/>
            <w:tcBorders>
              <w:bottom w:val="single" w:sz="8" w:color="auto"/>
            </w:tcBorders>
          </w:tcPr>
          <w:p>
            <w:pPr>
              <w:jc w:val="center"/>
              <w:ind w:left="3170"/>
              <w:spacing w:after="0"/>
              <w:rPr>
                <w:sz w:val="20"/>
                <w:szCs w:val="20"/>
                <w:color w:val="auto"/>
              </w:rPr>
            </w:pPr>
            <w:r>
              <w:rPr>
                <w:rFonts w:ascii="Arial" w:cs="Arial" w:eastAsia="Arial" w:hAnsi="Arial"/>
                <w:sz w:val="18"/>
                <w:szCs w:val="18"/>
                <w:color w:val="auto"/>
                <w:w w:val="99"/>
              </w:rPr>
              <w:t>2</w:t>
            </w:r>
          </w:p>
        </w:tc>
        <w:tc>
          <w:tcPr>
            <w:tcW w:w="10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9"/>
              </w:rPr>
              <w:t>5</w:t>
            </w: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900" w:type="dxa"/>
            <w:vAlign w:val="bottom"/>
          </w:tcPr>
          <w:p>
            <w:pPr>
              <w:ind w:left="9460"/>
              <w:spacing w:after="0"/>
              <w:rPr>
                <w:sz w:val="20"/>
                <w:szCs w:val="20"/>
                <w:color w:val="auto"/>
              </w:rPr>
            </w:pPr>
            <w:r>
              <w:rPr>
                <w:rFonts w:ascii="Arial" w:cs="Arial" w:eastAsia="Arial" w:hAnsi="Arial"/>
                <w:sz w:val="13"/>
                <w:szCs w:val="13"/>
                <w:b w:val="1"/>
                <w:bCs w:val="1"/>
                <w:color w:val="auto"/>
              </w:rPr>
              <w:t xml:space="preserve">2024 </w:t>
            </w:r>
            <w:r>
              <w:rPr>
                <w:rFonts w:ascii="Arial" w:cs="Arial" w:eastAsia="Arial" w:hAnsi="Arial"/>
                <w:sz w:val="13"/>
                <w:szCs w:val="13"/>
                <w:color w:val="auto"/>
              </w:rPr>
              <w:t>Proxy Statement</w:t>
            </w:r>
          </w:p>
        </w:tc>
        <w:tc>
          <w:tcPr>
            <w:tcW w:w="340" w:type="dxa"/>
            <w:vAlign w:val="bottom"/>
          </w:tcPr>
          <w:p>
            <w:pPr>
              <w:ind w:left="120"/>
              <w:spacing w:after="0"/>
              <w:rPr>
                <w:sz w:val="20"/>
                <w:szCs w:val="20"/>
                <w:color w:val="auto"/>
              </w:rPr>
            </w:pPr>
            <w:r>
              <w:rPr>
                <w:rFonts w:ascii="Arial" w:cs="Arial" w:eastAsia="Arial" w:hAnsi="Arial"/>
                <w:sz w:val="13"/>
                <w:szCs w:val="13"/>
                <w:b w:val="1"/>
                <w:bCs w:val="1"/>
                <w:color w:val="auto"/>
                <w:w w:val="95"/>
              </w:rPr>
              <w:t>B-1</w:t>
            </w:r>
          </w:p>
        </w:tc>
      </w:tr>
      <w:tr>
        <w:trPr>
          <w:trHeight w:val="362"/>
        </w:trPr>
        <w:tc>
          <w:tcPr>
            <w:tcW w:w="10900" w:type="dxa"/>
            <w:vAlign w:val="bottom"/>
            <w:tcBorders>
              <w:bottom w:val="single" w:sz="8" w:color="A1A1A1"/>
            </w:tcBorders>
          </w:tcPr>
          <w:p>
            <w:pPr>
              <w:spacing w:after="0"/>
              <w:rPr>
                <w:sz w:val="24"/>
                <w:szCs w:val="24"/>
                <w:color w:val="auto"/>
              </w:rPr>
            </w:pPr>
          </w:p>
        </w:tc>
        <w:tc>
          <w:tcPr>
            <w:tcW w:w="340" w:type="dxa"/>
            <w:vAlign w:val="bottom"/>
            <w:tcBorders>
              <w:bottom w:val="single" w:sz="8" w:color="A1A1A1"/>
            </w:tcBorders>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5639435</wp:posOffset>
            </wp:positionV>
            <wp:extent cx="71323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2604770</wp:posOffset>
            </wp:positionV>
            <wp:extent cx="1388745" cy="514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88745" cy="51435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499870" cy="557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9987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ONE COMCAST CENTER</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PHILADELPHIA, PA 19103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20"/>
        <w:spacing w:after="0"/>
        <w:rPr>
          <w:sz w:val="20"/>
          <w:szCs w:val="20"/>
          <w:color w:val="auto"/>
        </w:rPr>
      </w:pPr>
      <w:r>
        <w:rPr>
          <w:rFonts w:ascii="Arial" w:cs="Arial" w:eastAsia="Arial" w:hAnsi="Arial"/>
          <w:sz w:val="18"/>
          <w:szCs w:val="18"/>
          <w:b w:val="1"/>
          <w:bCs w:val="1"/>
          <w:color w:val="auto"/>
        </w:rPr>
        <w:t>SCAN QR BARCODE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-247650</wp:posOffset>
            </wp:positionV>
            <wp:extent cx="325755" cy="4889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5755" cy="488950"/>
                    </a:xfrm>
                    <a:prstGeom prst="rect">
                      <a:avLst/>
                    </a:prstGeom>
                    <a:noFill/>
                  </pic:spPr>
                </pic:pic>
              </a:graphicData>
            </a:graphic>
          </wp:anchor>
        </w:drawing>
        <w:drawing>
          <wp:anchor simplePos="0" relativeHeight="251657728" behindDoc="1" locked="0" layoutInCell="0" allowOverlap="1">
            <wp:simplePos x="0" y="0"/>
            <wp:positionH relativeFrom="column">
              <wp:posOffset>1739900</wp:posOffset>
            </wp:positionH>
            <wp:positionV relativeFrom="paragraph">
              <wp:posOffset>-170180</wp:posOffset>
            </wp:positionV>
            <wp:extent cx="265430" cy="3257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5430" cy="325755"/>
                    </a:xfrm>
                    <a:prstGeom prst="rect">
                      <a:avLst/>
                    </a:prstGeom>
                    <a:noFill/>
                  </pic:spPr>
                </pic:pic>
              </a:graphicData>
            </a:graphic>
          </wp:anchor>
        </w:drawing>
      </w:r>
    </w:p>
    <w:p>
      <w:pPr>
        <w:jc w:val="center"/>
        <w:ind w:right="3120"/>
        <w:spacing w:after="0"/>
        <w:rPr>
          <w:sz w:val="20"/>
          <w:szCs w:val="20"/>
          <w:color w:val="auto"/>
        </w:rPr>
      </w:pPr>
      <w:r>
        <w:rPr>
          <w:rFonts w:ascii="Arial" w:cs="Arial" w:eastAsia="Arial" w:hAnsi="Arial"/>
          <w:sz w:val="13"/>
          <w:szCs w:val="13"/>
          <w:b w:val="1"/>
          <w:bCs w:val="1"/>
          <w:color w:val="auto"/>
        </w:rPr>
        <w:t>VIEW MATERIALS &amp; VOTE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INTERNET</w:t>
      </w:r>
    </w:p>
    <w:p>
      <w:pPr>
        <w:spacing w:after="0" w:line="10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 www.proxyvote.com or scan the QR Barcode above</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Use the Internet to transmit your voting instructions up until 11:59 P.M. Eastern Time on June 9, 2024. Please have your proxy card in hand when you access the website and follow the instructions to obtain your records and create an electronic voting instruction form.</w:t>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 comcast.onlineshareholdermeeting.com</w:t>
      </w:r>
    </w:p>
    <w:p>
      <w:pPr>
        <w:spacing w:after="0" w:line="10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You may attend the Meeting and vote during the Meeting when the polls are open via the Internet. We recommend, however, that you vote before the Meeting even if you plan to participate in the Meeting, since you can change your vote during the Meeting by voting when the polls are open. Have the information that is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printed in the box marked by the arrow </w:t>
      </w:r>
      <w:r>
        <w:rPr>
          <w:sz w:val="1"/>
          <w:szCs w:val="1"/>
          <w:color w:val="auto"/>
        </w:rPr>
        <w:drawing>
          <wp:inline distT="0" distB="0" distL="0" distR="0">
            <wp:extent cx="977265" cy="7747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77265" cy="77470"/>
                    </a:xfrm>
                    <a:prstGeom prst="rect">
                      <a:avLst/>
                    </a:prstGeom>
                    <a:noFill/>
                    <a:ln>
                      <a:noFill/>
                    </a:ln>
                  </pic:spPr>
                </pic:pic>
              </a:graphicData>
            </a:graphic>
          </wp:inline>
        </w:drawing>
      </w:r>
      <w:r>
        <w:rPr>
          <w:rFonts w:ascii="Arial" w:cs="Arial" w:eastAsia="Arial" w:hAnsi="Arial"/>
          <w:sz w:val="13"/>
          <w:szCs w:val="13"/>
          <w:color w:val="auto"/>
        </w:rPr>
        <w:t xml:space="preserve"> available and follow the instructions.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PHONE - 1-800-690-6903</w:t>
      </w:r>
    </w:p>
    <w:p>
      <w:pPr>
        <w:spacing w:after="0" w:line="109" w:lineRule="exact"/>
        <w:rPr>
          <w:sz w:val="20"/>
          <w:szCs w:val="20"/>
          <w:color w:val="auto"/>
        </w:rPr>
      </w:pPr>
    </w:p>
    <w:p>
      <w:pPr>
        <w:jc w:val="both"/>
        <w:spacing w:after="0" w:line="281" w:lineRule="auto"/>
        <w:rPr>
          <w:sz w:val="20"/>
          <w:szCs w:val="20"/>
          <w:color w:val="auto"/>
        </w:rPr>
      </w:pPr>
      <w:r>
        <w:rPr>
          <w:rFonts w:ascii="Arial" w:cs="Arial" w:eastAsia="Arial" w:hAnsi="Arial"/>
          <w:sz w:val="13"/>
          <w:szCs w:val="13"/>
          <w:color w:val="auto"/>
        </w:rPr>
        <w:t>Use any touch-tone telephone to transmit your voting instructions up until 11:59 P.M. Eastern Time on June 9, 2024. Please have your proxy card in hand when you call and then follow the instructions.</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 BY MAIL</w:t>
      </w:r>
    </w:p>
    <w:p>
      <w:pPr>
        <w:spacing w:after="0" w:line="10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Comcast Corporation, c/o Broadridge Financial Solutions, 51 Mercedes Way, Edgewood, NY 11717.</w:t>
      </w:r>
    </w:p>
    <w:p>
      <w:pPr>
        <w:spacing w:after="0" w:line="200" w:lineRule="exact"/>
        <w:rPr>
          <w:sz w:val="20"/>
          <w:szCs w:val="20"/>
          <w:color w:val="auto"/>
        </w:rPr>
      </w:pPr>
    </w:p>
    <w:p>
      <w:pPr>
        <w:sectPr>
          <w:pgSz w:w="11900" w:h="16838" w:orient="portrait"/>
          <w:cols w:equalWidth="0" w:num="2">
            <w:col w:w="4000" w:space="720"/>
            <w:col w:w="6520"/>
          </w:cols>
          <w:pgMar w:left="320" w:top="122" w:right="339" w:bottom="1440" w:gutter="0" w:footer="0" w:header="0"/>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00" w:type="dxa"/>
            <w:vAlign w:val="bottom"/>
            <w:gridSpan w:val="5"/>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Arial" w:cs="Arial" w:eastAsia="Arial" w:hAnsi="Arial"/>
                <w:sz w:val="13"/>
                <w:szCs w:val="13"/>
                <w:color w:val="auto"/>
              </w:rPr>
              <w:t>V38918-P08085</w:t>
            </w:r>
          </w:p>
        </w:tc>
        <w:tc>
          <w:tcPr>
            <w:tcW w:w="3180" w:type="dxa"/>
            <w:vAlign w:val="bottom"/>
            <w:gridSpan w:val="4"/>
          </w:tcPr>
          <w:p>
            <w:pPr>
              <w:jc w:val="right"/>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14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60" w:type="dxa"/>
            <w:vAlign w:val="bottom"/>
            <w:gridSpan w:val="3"/>
          </w:tcPr>
          <w:p>
            <w:pPr>
              <w:ind w:left="100"/>
              <w:spacing w:after="0"/>
              <w:rPr>
                <w:sz w:val="20"/>
                <w:szCs w:val="20"/>
                <w:color w:val="auto"/>
              </w:rPr>
            </w:pPr>
            <w:r>
              <w:rPr>
                <w:rFonts w:ascii="Arial" w:cs="Arial" w:eastAsia="Arial" w:hAnsi="Arial"/>
                <w:sz w:val="13"/>
                <w:szCs w:val="13"/>
                <w:b w:val="1"/>
                <w:bCs w:val="1"/>
                <w:color w:val="auto"/>
              </w:rPr>
              <w:t>COMCAST CORPORATION</w:t>
            </w:r>
          </w:p>
        </w:tc>
        <w:tc>
          <w:tcPr>
            <w:tcW w:w="262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1620" w:type="dxa"/>
            <w:vAlign w:val="bottom"/>
            <w:gridSpan w:val="2"/>
          </w:tcPr>
          <w:p>
            <w:pPr>
              <w:ind w:left="60"/>
              <w:spacing w:after="0"/>
              <w:rPr>
                <w:sz w:val="20"/>
                <w:szCs w:val="20"/>
                <w:color w:val="auto"/>
              </w:rPr>
            </w:pPr>
            <w:r>
              <w:rPr>
                <w:rFonts w:ascii="Arial" w:cs="Arial" w:eastAsia="Arial" w:hAnsi="Arial"/>
                <w:sz w:val="13"/>
                <w:szCs w:val="13"/>
                <w:b w:val="1"/>
                <w:bCs w:val="1"/>
                <w:color w:val="auto"/>
              </w:rPr>
              <w:t>Withhold For All</w:t>
            </w:r>
          </w:p>
        </w:tc>
        <w:tc>
          <w:tcPr>
            <w:tcW w:w="4640" w:type="dxa"/>
            <w:vAlign w:val="bottom"/>
            <w:gridSpan w:val="5"/>
          </w:tcPr>
          <w:p>
            <w:pPr>
              <w:ind w:left="20"/>
              <w:spacing w:after="0"/>
              <w:rPr>
                <w:sz w:val="20"/>
                <w:szCs w:val="20"/>
                <w:color w:val="auto"/>
              </w:rPr>
            </w:pPr>
            <w:r>
              <w:rPr>
                <w:rFonts w:ascii="Arial" w:cs="Arial" w:eastAsia="Arial" w:hAnsi="Arial"/>
                <w:sz w:val="13"/>
                <w:szCs w:val="13"/>
                <w:color w:val="auto"/>
              </w:rPr>
              <w:t>To withhold authority to vote for any individual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Company  Proposals</w:t>
            </w:r>
          </w:p>
        </w:tc>
        <w:tc>
          <w:tcPr>
            <w:tcW w:w="262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  The  Board  of  Directors</w:t>
            </w:r>
          </w:p>
        </w:tc>
        <w:tc>
          <w:tcPr>
            <w:tcW w:w="2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6"/>
              </w:rPr>
              <w:t>All</w:t>
            </w:r>
          </w:p>
        </w:tc>
        <w:tc>
          <w:tcPr>
            <w:tcW w:w="580" w:type="dxa"/>
            <w:vAlign w:val="bottom"/>
          </w:tcPr>
          <w:p>
            <w:pPr>
              <w:ind w:left="260"/>
              <w:spacing w:after="0" w:line="116" w:lineRule="exact"/>
              <w:rPr>
                <w:sz w:val="20"/>
                <w:szCs w:val="20"/>
                <w:color w:val="auto"/>
              </w:rPr>
            </w:pPr>
            <w:r>
              <w:rPr>
                <w:rFonts w:ascii="Arial" w:cs="Arial" w:eastAsia="Arial" w:hAnsi="Arial"/>
                <w:sz w:val="13"/>
                <w:szCs w:val="13"/>
                <w:b w:val="1"/>
                <w:bCs w:val="1"/>
                <w:color w:val="auto"/>
              </w:rPr>
              <w:t>All</w:t>
            </w:r>
          </w:p>
        </w:tc>
        <w:tc>
          <w:tcPr>
            <w:tcW w:w="1040" w:type="dxa"/>
            <w:vAlign w:val="bottom"/>
          </w:tcPr>
          <w:p>
            <w:pPr>
              <w:jc w:val="center"/>
              <w:ind w:right="241"/>
              <w:spacing w:after="0" w:line="116" w:lineRule="exact"/>
              <w:rPr>
                <w:sz w:val="20"/>
                <w:szCs w:val="20"/>
                <w:color w:val="auto"/>
              </w:rPr>
            </w:pPr>
            <w:r>
              <w:rPr>
                <w:rFonts w:ascii="Arial" w:cs="Arial" w:eastAsia="Arial" w:hAnsi="Arial"/>
                <w:sz w:val="13"/>
                <w:szCs w:val="13"/>
                <w:b w:val="1"/>
                <w:bCs w:val="1"/>
                <w:color w:val="auto"/>
              </w:rPr>
              <w:t>Except</w:t>
            </w:r>
          </w:p>
        </w:tc>
        <w:tc>
          <w:tcPr>
            <w:tcW w:w="3620" w:type="dxa"/>
            <w:vAlign w:val="bottom"/>
            <w:gridSpan w:val="3"/>
          </w:tcPr>
          <w:p>
            <w:pPr>
              <w:ind w:left="20"/>
              <w:spacing w:after="0" w:line="116" w:lineRule="exact"/>
              <w:rPr>
                <w:sz w:val="20"/>
                <w:szCs w:val="20"/>
                <w:color w:val="auto"/>
              </w:rPr>
            </w:pPr>
            <w:r>
              <w:rPr>
                <w:rFonts w:ascii="Arial" w:cs="Arial" w:eastAsia="Arial" w:hAnsi="Arial"/>
                <w:sz w:val="13"/>
                <w:szCs w:val="13"/>
                <w:color w:val="auto"/>
              </w:rPr>
              <w:t>nominee(s), mark "For All Except" and write the</w:t>
            </w:r>
          </w:p>
        </w:tc>
        <w:tc>
          <w:tcPr>
            <w:tcW w:w="6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26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40" w:type="dxa"/>
            <w:vAlign w:val="bottom"/>
            <w:tcBorders>
              <w:right w:val="single" w:sz="8" w:color="auto"/>
            </w:tcBorders>
            <w:gridSpan w:val="4"/>
            <w:vMerge w:val="restart"/>
          </w:tcPr>
          <w:p>
            <w:pPr>
              <w:ind w:left="20"/>
              <w:spacing w:after="0"/>
              <w:rPr>
                <w:sz w:val="20"/>
                <w:szCs w:val="20"/>
                <w:color w:val="auto"/>
              </w:rPr>
            </w:pPr>
            <w:r>
              <w:rPr>
                <w:rFonts w:ascii="Arial" w:cs="Arial" w:eastAsia="Arial" w:hAnsi="Arial"/>
                <w:sz w:val="13"/>
                <w:szCs w:val="13"/>
                <w:color w:val="auto"/>
              </w:rPr>
              <w:t>number(s) of the nominee(s) on the line below.</w:t>
            </w:r>
          </w:p>
        </w:tc>
        <w:tc>
          <w:tcPr>
            <w:tcW w:w="4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vMerge w:val="restart"/>
            <w:shd w:val="clear" w:color="auto" w:fill="000000"/>
          </w:tcPr>
          <w:p>
            <w:pPr>
              <w:ind w:left="60"/>
              <w:spacing w:after="0"/>
              <w:rPr>
                <w:sz w:val="20"/>
                <w:szCs w:val="20"/>
                <w:color w:val="auto"/>
              </w:rPr>
            </w:pPr>
            <w:r>
              <w:rPr>
                <w:rFonts w:ascii="Arial" w:cs="Arial" w:eastAsia="Arial" w:hAnsi="Arial"/>
                <w:sz w:val="22"/>
                <w:szCs w:val="22"/>
                <w:b w:val="1"/>
                <w:bCs w:val="1"/>
                <w:color w:val="FFFFFF"/>
              </w:rPr>
              <w:t>A</w:t>
            </w:r>
          </w:p>
        </w:tc>
        <w:tc>
          <w:tcPr>
            <w:tcW w:w="1520" w:type="dxa"/>
            <w:vAlign w:val="bottom"/>
            <w:vMerge w:val="continue"/>
          </w:tcPr>
          <w:p>
            <w:pPr>
              <w:spacing w:after="0"/>
              <w:rPr>
                <w:sz w:val="11"/>
                <w:szCs w:val="11"/>
                <w:color w:val="auto"/>
              </w:rPr>
            </w:pPr>
          </w:p>
        </w:tc>
        <w:tc>
          <w:tcPr>
            <w:tcW w:w="2620" w:type="dxa"/>
            <w:vAlign w:val="bottom"/>
            <w:vMerge w:val="continue"/>
          </w:tcPr>
          <w:p>
            <w:pPr>
              <w:spacing w:after="0"/>
              <w:rPr>
                <w:sz w:val="11"/>
                <w:szCs w:val="11"/>
                <w:color w:val="auto"/>
              </w:rPr>
            </w:pPr>
          </w:p>
        </w:tc>
        <w:tc>
          <w:tcPr>
            <w:tcW w:w="2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1040" w:type="dxa"/>
            <w:vAlign w:val="bottom"/>
            <w:vMerge w:val="restart"/>
          </w:tcPr>
          <w:p>
            <w:pPr>
              <w:jc w:val="center"/>
              <w:ind w:right="241"/>
              <w:spacing w:after="0" w:line="181" w:lineRule="exact"/>
              <w:rPr>
                <w:sz w:val="20"/>
                <w:szCs w:val="20"/>
                <w:color w:val="auto"/>
              </w:rPr>
            </w:pPr>
            <w:r>
              <w:rPr>
                <w:rFonts w:ascii="MS PGothic" w:cs="MS PGothic" w:eastAsia="MS PGothic" w:hAnsi="MS PGothic"/>
                <w:sz w:val="18"/>
                <w:szCs w:val="18"/>
                <w:color w:val="auto"/>
                <w:w w:val="88"/>
              </w:rPr>
              <w:t>☐</w:t>
            </w:r>
          </w:p>
        </w:tc>
        <w:tc>
          <w:tcPr>
            <w:tcW w:w="4240" w:type="dxa"/>
            <w:vAlign w:val="bottom"/>
            <w:tcBorders>
              <w:right w:val="single" w:sz="8" w:color="auto"/>
            </w:tcBorders>
            <w:gridSpan w:val="4"/>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vMerge w:val="continue"/>
            <w:shd w:val="clear" w:color="auto" w:fill="000000"/>
          </w:tcPr>
          <w:p>
            <w:pPr>
              <w:spacing w:after="0"/>
              <w:rPr>
                <w:sz w:val="12"/>
                <w:szCs w:val="12"/>
                <w:color w:val="auto"/>
              </w:rPr>
            </w:pPr>
          </w:p>
        </w:tc>
        <w:tc>
          <w:tcPr>
            <w:tcW w:w="1520" w:type="dxa"/>
            <w:vAlign w:val="bottom"/>
          </w:tcPr>
          <w:p>
            <w:pPr>
              <w:ind w:left="80"/>
              <w:spacing w:after="0"/>
              <w:rPr>
                <w:sz w:val="20"/>
                <w:szCs w:val="20"/>
                <w:color w:val="auto"/>
              </w:rPr>
            </w:pPr>
            <w:r>
              <w:rPr>
                <w:rFonts w:ascii="Arial" w:cs="Arial" w:eastAsia="Arial" w:hAnsi="Arial"/>
                <w:sz w:val="13"/>
                <w:szCs w:val="13"/>
                <w:b w:val="1"/>
                <w:bCs w:val="1"/>
                <w:color w:val="auto"/>
              </w:rPr>
              <w:t>recommends a vote</w:t>
            </w:r>
          </w:p>
        </w:tc>
        <w:tc>
          <w:tcPr>
            <w:tcW w:w="2620" w:type="dxa"/>
            <w:vAlign w:val="bottom"/>
          </w:tcPr>
          <w:p>
            <w:pPr>
              <w:ind w:left="20"/>
              <w:spacing w:after="0"/>
              <w:rPr>
                <w:sz w:val="20"/>
                <w:szCs w:val="20"/>
                <w:color w:val="auto"/>
              </w:rPr>
            </w:pPr>
            <w:r>
              <w:rPr>
                <w:rFonts w:ascii="Arial" w:cs="Arial" w:eastAsia="Arial" w:hAnsi="Arial"/>
                <w:sz w:val="13"/>
                <w:szCs w:val="13"/>
                <w:b w:val="1"/>
                <w:bCs w:val="1"/>
                <w:color w:val="auto"/>
              </w:rPr>
              <w:t>"FOR" all the nominees listed in</w:t>
            </w:r>
          </w:p>
        </w:tc>
        <w:tc>
          <w:tcPr>
            <w:tcW w:w="2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shd w:val="clear" w:color="auto" w:fill="000000"/>
          </w:tcPr>
          <w:p>
            <w:pPr>
              <w:spacing w:after="0"/>
              <w:rPr>
                <w:sz w:val="9"/>
                <w:szCs w:val="9"/>
                <w:color w:val="auto"/>
              </w:rPr>
            </w:pPr>
          </w:p>
        </w:tc>
        <w:tc>
          <w:tcPr>
            <w:tcW w:w="15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Proposal 1:</w:t>
            </w:r>
          </w:p>
        </w:tc>
        <w:tc>
          <w:tcPr>
            <w:tcW w:w="2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2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45758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4575810"/>
                    </a:xfrm>
                    <a:prstGeom prst="rect">
                      <a:avLst/>
                    </a:prstGeom>
                    <a:noFill/>
                  </pic:spPr>
                </pic:pic>
              </a:graphicData>
            </a:graphic>
          </wp:anchor>
        </w:drawing>
      </w:r>
    </w:p>
    <w:p>
      <w:pPr>
        <w:spacing w:after="0" w:line="35" w:lineRule="exact"/>
        <w:rPr>
          <w:sz w:val="20"/>
          <w:szCs w:val="20"/>
          <w:color w:val="auto"/>
        </w:rPr>
      </w:pPr>
    </w:p>
    <w:p>
      <w:pPr>
        <w:ind w:left="640" w:hanging="362"/>
        <w:spacing w:after="0"/>
        <w:tabs>
          <w:tab w:leader="none" w:pos="64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Election of Directors</w:t>
      </w:r>
    </w:p>
    <w:p>
      <w:pPr>
        <w:spacing w:after="0" w:line="87"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160" w:type="dxa"/>
            <w:vAlign w:val="bottom"/>
          </w:tcPr>
          <w:p>
            <w:pPr>
              <w:jc w:val="right"/>
              <w:spacing w:after="0"/>
              <w:rPr>
                <w:sz w:val="20"/>
                <w:szCs w:val="20"/>
                <w:color w:val="auto"/>
              </w:rPr>
            </w:pPr>
            <w:r>
              <w:rPr>
                <w:rFonts w:ascii="Arial" w:cs="Arial" w:eastAsia="Arial" w:hAnsi="Arial"/>
                <w:sz w:val="13"/>
                <w:szCs w:val="13"/>
                <w:color w:val="auto"/>
                <w:w w:val="82"/>
              </w:rPr>
              <w:t>01</w:t>
            </w:r>
          </w:p>
        </w:tc>
        <w:tc>
          <w:tcPr>
            <w:tcW w:w="1620" w:type="dxa"/>
            <w:vAlign w:val="bottom"/>
          </w:tcPr>
          <w:p>
            <w:pPr>
              <w:spacing w:after="0"/>
              <w:rPr>
                <w:sz w:val="20"/>
                <w:szCs w:val="20"/>
                <w:color w:val="auto"/>
              </w:rPr>
            </w:pPr>
            <w:r>
              <w:rPr>
                <w:rFonts w:ascii="Arial" w:cs="Arial" w:eastAsia="Arial" w:hAnsi="Arial"/>
                <w:sz w:val="13"/>
                <w:szCs w:val="13"/>
                <w:color w:val="auto"/>
              </w:rPr>
              <w:t>- Kenneth J. Bacon</w:t>
            </w:r>
          </w:p>
        </w:tc>
        <w:tc>
          <w:tcPr>
            <w:tcW w:w="340" w:type="dxa"/>
            <w:vAlign w:val="bottom"/>
          </w:tcPr>
          <w:p>
            <w:pPr>
              <w:jc w:val="right"/>
              <w:spacing w:after="0"/>
              <w:rPr>
                <w:sz w:val="20"/>
                <w:szCs w:val="20"/>
                <w:color w:val="auto"/>
              </w:rPr>
            </w:pPr>
            <w:r>
              <w:rPr>
                <w:rFonts w:ascii="Arial" w:cs="Arial" w:eastAsia="Arial" w:hAnsi="Arial"/>
                <w:sz w:val="13"/>
                <w:szCs w:val="13"/>
                <w:color w:val="auto"/>
              </w:rPr>
              <w:t>06</w:t>
            </w:r>
          </w:p>
        </w:tc>
        <w:tc>
          <w:tcPr>
            <w:tcW w:w="1280" w:type="dxa"/>
            <w:vAlign w:val="bottom"/>
          </w:tcPr>
          <w:p>
            <w:pPr>
              <w:ind w:left="20"/>
              <w:spacing w:after="0"/>
              <w:rPr>
                <w:sz w:val="20"/>
                <w:szCs w:val="20"/>
                <w:color w:val="auto"/>
              </w:rPr>
            </w:pPr>
            <w:r>
              <w:rPr>
                <w:rFonts w:ascii="Arial" w:cs="Arial" w:eastAsia="Arial" w:hAnsi="Arial"/>
                <w:sz w:val="13"/>
                <w:szCs w:val="13"/>
                <w:color w:val="auto"/>
                <w:w w:val="94"/>
              </w:rPr>
              <w:t>- Jeffrey A. Honickman</w:t>
            </w:r>
          </w:p>
        </w:tc>
      </w:tr>
      <w:tr>
        <w:trPr>
          <w:trHeight w:val="135"/>
        </w:trPr>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82"/>
              </w:rPr>
              <w:t>02</w:t>
            </w:r>
          </w:p>
        </w:tc>
        <w:tc>
          <w:tcPr>
            <w:tcW w:w="1620" w:type="dxa"/>
            <w:vAlign w:val="bottom"/>
          </w:tcPr>
          <w:p>
            <w:pPr>
              <w:spacing w:after="0" w:line="135" w:lineRule="exact"/>
              <w:rPr>
                <w:sz w:val="20"/>
                <w:szCs w:val="20"/>
                <w:color w:val="auto"/>
              </w:rPr>
            </w:pPr>
            <w:r>
              <w:rPr>
                <w:rFonts w:ascii="Arial" w:cs="Arial" w:eastAsia="Arial" w:hAnsi="Arial"/>
                <w:sz w:val="13"/>
                <w:szCs w:val="13"/>
                <w:color w:val="auto"/>
              </w:rPr>
              <w:t>- Thomas J. Baltimore, Jr.</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07</w:t>
            </w:r>
          </w:p>
        </w:tc>
        <w:tc>
          <w:tcPr>
            <w:tcW w:w="1280" w:type="dxa"/>
            <w:vAlign w:val="bottom"/>
          </w:tcPr>
          <w:p>
            <w:pPr>
              <w:ind w:left="20"/>
              <w:spacing w:after="0" w:line="135" w:lineRule="exact"/>
              <w:rPr>
                <w:sz w:val="20"/>
                <w:szCs w:val="20"/>
                <w:color w:val="auto"/>
              </w:rPr>
            </w:pPr>
            <w:r>
              <w:rPr>
                <w:rFonts w:ascii="Arial" w:cs="Arial" w:eastAsia="Arial" w:hAnsi="Arial"/>
                <w:sz w:val="13"/>
                <w:szCs w:val="13"/>
                <w:color w:val="auto"/>
              </w:rPr>
              <w:t>- Wonya Y. Lucas</w:t>
            </w:r>
          </w:p>
        </w:tc>
      </w:tr>
      <w:tr>
        <w:trPr>
          <w:trHeight w:val="135"/>
        </w:trPr>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82"/>
              </w:rPr>
              <w:t>03</w:t>
            </w:r>
          </w:p>
        </w:tc>
        <w:tc>
          <w:tcPr>
            <w:tcW w:w="1620" w:type="dxa"/>
            <w:vAlign w:val="bottom"/>
          </w:tcPr>
          <w:p>
            <w:pPr>
              <w:spacing w:after="0" w:line="135" w:lineRule="exact"/>
              <w:rPr>
                <w:sz w:val="20"/>
                <w:szCs w:val="20"/>
                <w:color w:val="auto"/>
              </w:rPr>
            </w:pPr>
            <w:r>
              <w:rPr>
                <w:rFonts w:ascii="Arial" w:cs="Arial" w:eastAsia="Arial" w:hAnsi="Arial"/>
                <w:sz w:val="13"/>
                <w:szCs w:val="13"/>
                <w:color w:val="auto"/>
              </w:rPr>
              <w:t>- Madeline S. Bell</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08</w:t>
            </w:r>
          </w:p>
        </w:tc>
        <w:tc>
          <w:tcPr>
            <w:tcW w:w="1280" w:type="dxa"/>
            <w:vAlign w:val="bottom"/>
          </w:tcPr>
          <w:p>
            <w:pPr>
              <w:ind w:left="20"/>
              <w:spacing w:after="0" w:line="135" w:lineRule="exact"/>
              <w:rPr>
                <w:sz w:val="20"/>
                <w:szCs w:val="20"/>
                <w:color w:val="auto"/>
              </w:rPr>
            </w:pPr>
            <w:r>
              <w:rPr>
                <w:rFonts w:ascii="Arial" w:cs="Arial" w:eastAsia="Arial" w:hAnsi="Arial"/>
                <w:sz w:val="13"/>
                <w:szCs w:val="13"/>
                <w:color w:val="auto"/>
              </w:rPr>
              <w:t>- Asuka Nakahara</w:t>
            </w:r>
          </w:p>
        </w:tc>
      </w:tr>
      <w:tr>
        <w:trPr>
          <w:trHeight w:val="135"/>
        </w:trPr>
        <w:tc>
          <w:tcPr>
            <w:tcW w:w="160" w:type="dxa"/>
            <w:vAlign w:val="bottom"/>
          </w:tcPr>
          <w:p>
            <w:pPr>
              <w:jc w:val="right"/>
              <w:spacing w:after="0" w:line="135" w:lineRule="exact"/>
              <w:rPr>
                <w:sz w:val="20"/>
                <w:szCs w:val="20"/>
                <w:color w:val="auto"/>
              </w:rPr>
            </w:pPr>
            <w:r>
              <w:rPr>
                <w:rFonts w:ascii="Arial" w:cs="Arial" w:eastAsia="Arial" w:hAnsi="Arial"/>
                <w:sz w:val="13"/>
                <w:szCs w:val="13"/>
                <w:color w:val="auto"/>
                <w:w w:val="82"/>
              </w:rPr>
              <w:t>04</w:t>
            </w:r>
          </w:p>
        </w:tc>
        <w:tc>
          <w:tcPr>
            <w:tcW w:w="1620" w:type="dxa"/>
            <w:vAlign w:val="bottom"/>
          </w:tcPr>
          <w:p>
            <w:pPr>
              <w:spacing w:after="0" w:line="135" w:lineRule="exact"/>
              <w:rPr>
                <w:sz w:val="20"/>
                <w:szCs w:val="20"/>
                <w:color w:val="auto"/>
              </w:rPr>
            </w:pPr>
            <w:r>
              <w:rPr>
                <w:rFonts w:ascii="Arial" w:cs="Arial" w:eastAsia="Arial" w:hAnsi="Arial"/>
                <w:sz w:val="13"/>
                <w:szCs w:val="13"/>
                <w:color w:val="auto"/>
              </w:rPr>
              <w:t>- Louise F. Brady</w:t>
            </w: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09</w:t>
            </w:r>
          </w:p>
        </w:tc>
        <w:tc>
          <w:tcPr>
            <w:tcW w:w="1280" w:type="dxa"/>
            <w:vAlign w:val="bottom"/>
          </w:tcPr>
          <w:p>
            <w:pPr>
              <w:ind w:left="20"/>
              <w:spacing w:after="0" w:line="135" w:lineRule="exact"/>
              <w:rPr>
                <w:sz w:val="20"/>
                <w:szCs w:val="20"/>
                <w:color w:val="auto"/>
              </w:rPr>
            </w:pPr>
            <w:r>
              <w:rPr>
                <w:rFonts w:ascii="Arial" w:cs="Arial" w:eastAsia="Arial" w:hAnsi="Arial"/>
                <w:sz w:val="13"/>
                <w:szCs w:val="13"/>
                <w:color w:val="auto"/>
              </w:rPr>
              <w:t>- David C. Novak</w:t>
            </w:r>
          </w:p>
        </w:tc>
      </w:tr>
      <w:tr>
        <w:trPr>
          <w:trHeight w:val="166"/>
        </w:trPr>
        <w:tc>
          <w:tcPr>
            <w:tcW w:w="160" w:type="dxa"/>
            <w:vAlign w:val="bottom"/>
          </w:tcPr>
          <w:p>
            <w:pPr>
              <w:jc w:val="right"/>
              <w:spacing w:after="0"/>
              <w:rPr>
                <w:sz w:val="20"/>
                <w:szCs w:val="20"/>
                <w:color w:val="auto"/>
              </w:rPr>
            </w:pPr>
            <w:r>
              <w:rPr>
                <w:rFonts w:ascii="Arial" w:cs="Arial" w:eastAsia="Arial" w:hAnsi="Arial"/>
                <w:sz w:val="13"/>
                <w:szCs w:val="13"/>
                <w:color w:val="auto"/>
                <w:w w:val="82"/>
              </w:rPr>
              <w:t>05</w:t>
            </w:r>
          </w:p>
        </w:tc>
        <w:tc>
          <w:tcPr>
            <w:tcW w:w="1620" w:type="dxa"/>
            <w:vAlign w:val="bottom"/>
          </w:tcPr>
          <w:p>
            <w:pPr>
              <w:spacing w:after="0"/>
              <w:rPr>
                <w:sz w:val="20"/>
                <w:szCs w:val="20"/>
                <w:color w:val="auto"/>
              </w:rPr>
            </w:pPr>
            <w:r>
              <w:rPr>
                <w:rFonts w:ascii="Arial" w:cs="Arial" w:eastAsia="Arial" w:hAnsi="Arial"/>
                <w:sz w:val="13"/>
                <w:szCs w:val="13"/>
                <w:color w:val="auto"/>
              </w:rPr>
              <w:t>- Edward D. Breen</w:t>
            </w:r>
          </w:p>
        </w:tc>
        <w:tc>
          <w:tcPr>
            <w:tcW w:w="340" w:type="dxa"/>
            <w:vAlign w:val="bottom"/>
          </w:tcPr>
          <w:p>
            <w:pPr>
              <w:jc w:val="right"/>
              <w:spacing w:after="0"/>
              <w:rPr>
                <w:sz w:val="20"/>
                <w:szCs w:val="20"/>
                <w:color w:val="auto"/>
              </w:rPr>
            </w:pPr>
            <w:r>
              <w:rPr>
                <w:rFonts w:ascii="Arial" w:cs="Arial" w:eastAsia="Arial" w:hAnsi="Arial"/>
                <w:sz w:val="13"/>
                <w:szCs w:val="13"/>
                <w:color w:val="auto"/>
              </w:rPr>
              <w:t>10</w:t>
            </w:r>
          </w:p>
        </w:tc>
        <w:tc>
          <w:tcPr>
            <w:tcW w:w="1280" w:type="dxa"/>
            <w:vAlign w:val="bottom"/>
          </w:tcPr>
          <w:p>
            <w:pPr>
              <w:ind w:left="20"/>
              <w:spacing w:after="0"/>
              <w:rPr>
                <w:sz w:val="20"/>
                <w:szCs w:val="20"/>
                <w:color w:val="auto"/>
              </w:rPr>
            </w:pPr>
            <w:r>
              <w:rPr>
                <w:rFonts w:ascii="Arial" w:cs="Arial" w:eastAsia="Arial" w:hAnsi="Arial"/>
                <w:sz w:val="13"/>
                <w:szCs w:val="13"/>
                <w:color w:val="auto"/>
              </w:rPr>
              <w:t>- Brian L. Roberts</w:t>
            </w:r>
          </w:p>
        </w:tc>
      </w:tr>
    </w:tbl>
    <w:p>
      <w:pPr>
        <w:spacing w:after="0" w:line="214"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4320" w:type="dxa"/>
            <w:vAlign w:val="bottom"/>
            <w:gridSpan w:val="6"/>
          </w:tcPr>
          <w:p>
            <w:pPr>
              <w:spacing w:after="0"/>
              <w:rPr>
                <w:sz w:val="20"/>
                <w:szCs w:val="20"/>
                <w:color w:val="auto"/>
              </w:rPr>
            </w:pPr>
            <w:r>
              <w:rPr>
                <w:rFonts w:ascii="Arial" w:cs="Arial" w:eastAsia="Arial" w:hAnsi="Arial"/>
                <w:sz w:val="13"/>
                <w:szCs w:val="13"/>
                <w:b w:val="1"/>
                <w:bCs w:val="1"/>
                <w:color w:val="auto"/>
              </w:rPr>
              <w:t>The Board of Directors recommends a vote "FOR" Proposals 2</w:t>
            </w:r>
          </w:p>
        </w:tc>
        <w:tc>
          <w:tcPr>
            <w:tcW w:w="440" w:type="dxa"/>
            <w:vAlign w:val="bottom"/>
          </w:tcPr>
          <w:p>
            <w:pPr>
              <w:jc w:val="center"/>
              <w:ind w:left="19"/>
              <w:spacing w:after="0"/>
              <w:rPr>
                <w:sz w:val="20"/>
                <w:szCs w:val="20"/>
                <w:color w:val="auto"/>
              </w:rPr>
            </w:pPr>
            <w:r>
              <w:rPr>
                <w:rFonts w:ascii="Arial" w:cs="Arial" w:eastAsia="Arial" w:hAnsi="Arial"/>
                <w:sz w:val="13"/>
                <w:szCs w:val="13"/>
                <w:b w:val="1"/>
                <w:bCs w:val="1"/>
                <w:color w:val="auto"/>
              </w:rPr>
              <w:t>For</w:t>
            </w: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Against Abstain</w:t>
            </w:r>
          </w:p>
        </w:tc>
        <w:tc>
          <w:tcPr>
            <w:tcW w:w="0" w:type="dxa"/>
            <w:vAlign w:val="bottom"/>
          </w:tcPr>
          <w:p>
            <w:pPr>
              <w:spacing w:after="0"/>
              <w:rPr>
                <w:sz w:val="1"/>
                <w:szCs w:val="1"/>
                <w:color w:val="auto"/>
              </w:rPr>
            </w:pPr>
          </w:p>
        </w:tc>
      </w:tr>
      <w:tr>
        <w:trPr>
          <w:trHeight w:val="186"/>
        </w:trPr>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and 3:</w:t>
            </w: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260" w:type="dxa"/>
            <w:vAlign w:val="bottom"/>
          </w:tcPr>
          <w:p>
            <w:pPr>
              <w:spacing w:after="0"/>
              <w:rPr>
                <w:sz w:val="20"/>
                <w:szCs w:val="20"/>
                <w:color w:val="auto"/>
              </w:rPr>
            </w:pPr>
            <w:r>
              <w:rPr>
                <w:rFonts w:ascii="Arial" w:cs="Arial" w:eastAsia="Arial" w:hAnsi="Arial"/>
                <w:sz w:val="13"/>
                <w:szCs w:val="13"/>
                <w:color w:val="auto"/>
              </w:rPr>
              <w:t>2.</w:t>
            </w:r>
          </w:p>
        </w:tc>
        <w:tc>
          <w:tcPr>
            <w:tcW w:w="4060" w:type="dxa"/>
            <w:vAlign w:val="bottom"/>
            <w:gridSpan w:val="5"/>
          </w:tcPr>
          <w:p>
            <w:pPr>
              <w:ind w:left="100"/>
              <w:spacing w:after="0"/>
              <w:rPr>
                <w:sz w:val="20"/>
                <w:szCs w:val="20"/>
                <w:color w:val="auto"/>
              </w:rPr>
            </w:pPr>
            <w:r>
              <w:rPr>
                <w:rFonts w:ascii="Arial" w:cs="Arial" w:eastAsia="Arial" w:hAnsi="Arial"/>
                <w:sz w:val="13"/>
                <w:szCs w:val="13"/>
                <w:color w:val="auto"/>
              </w:rPr>
              <w:t>Ratification of the appointment of our independent auditors</w:t>
            </w:r>
          </w:p>
        </w:tc>
        <w:tc>
          <w:tcPr>
            <w:tcW w:w="440" w:type="dxa"/>
            <w:vAlign w:val="bottom"/>
          </w:tcPr>
          <w:p>
            <w:pPr>
              <w:jc w:val="center"/>
              <w:ind w:left="39"/>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0"/>
                <w:szCs w:val="20"/>
                <w:color w:val="auto"/>
              </w:rPr>
            </w:pPr>
            <w:r>
              <w:rPr>
                <w:rFonts w:ascii="Arial" w:cs="Arial" w:eastAsia="Arial" w:hAnsi="Arial"/>
                <w:sz w:val="13"/>
                <w:szCs w:val="13"/>
                <w:color w:val="auto"/>
              </w:rPr>
              <w:t>3.</w:t>
            </w:r>
          </w:p>
        </w:tc>
        <w:tc>
          <w:tcPr>
            <w:tcW w:w="2960" w:type="dxa"/>
            <w:vAlign w:val="bottom"/>
            <w:gridSpan w:val="3"/>
          </w:tcPr>
          <w:p>
            <w:pPr>
              <w:ind w:left="100"/>
              <w:spacing w:after="0"/>
              <w:rPr>
                <w:sz w:val="20"/>
                <w:szCs w:val="20"/>
                <w:color w:val="auto"/>
              </w:rPr>
            </w:pPr>
            <w:r>
              <w:rPr>
                <w:rFonts w:ascii="Arial" w:cs="Arial" w:eastAsia="Arial" w:hAnsi="Arial"/>
                <w:sz w:val="13"/>
                <w:szCs w:val="13"/>
                <w:color w:val="auto"/>
              </w:rPr>
              <w:t>Advisory vote on executive compensation</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jc w:val="center"/>
              <w:ind w:left="39"/>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9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Shareholder</w:t>
            </w:r>
          </w:p>
        </w:tc>
        <w:tc>
          <w:tcPr>
            <w:tcW w:w="13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Proposal  —  The</w:t>
            </w:r>
          </w:p>
        </w:tc>
        <w:tc>
          <w:tcPr>
            <w:tcW w:w="6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Board</w:t>
            </w:r>
          </w:p>
        </w:tc>
        <w:tc>
          <w:tcPr>
            <w:tcW w:w="3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of</w:t>
            </w:r>
          </w:p>
        </w:tc>
        <w:tc>
          <w:tcPr>
            <w:tcW w:w="80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rPr>
              <w:t>Directors</w:t>
            </w:r>
          </w:p>
        </w:tc>
        <w:tc>
          <w:tcPr>
            <w:tcW w:w="440" w:type="dxa"/>
            <w:vAlign w:val="bottom"/>
            <w:vMerge w:val="restart"/>
          </w:tcPr>
          <w:p>
            <w:pPr>
              <w:jc w:val="center"/>
              <w:ind w:left="19"/>
              <w:spacing w:after="0"/>
              <w:rPr>
                <w:sz w:val="20"/>
                <w:szCs w:val="20"/>
                <w:color w:val="auto"/>
              </w:rPr>
            </w:pPr>
            <w:r>
              <w:rPr>
                <w:rFonts w:ascii="Arial" w:cs="Arial" w:eastAsia="Arial" w:hAnsi="Arial"/>
                <w:sz w:val="13"/>
                <w:szCs w:val="13"/>
                <w:b w:val="1"/>
                <w:bCs w:val="1"/>
                <w:color w:val="auto"/>
              </w:rPr>
              <w:t>For</w:t>
            </w:r>
          </w:p>
        </w:tc>
        <w:tc>
          <w:tcPr>
            <w:tcW w:w="11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Against Abstain</w:t>
            </w:r>
          </w:p>
        </w:tc>
        <w:tc>
          <w:tcPr>
            <w:tcW w:w="0" w:type="dxa"/>
            <w:vAlign w:val="bottom"/>
          </w:tcPr>
          <w:p>
            <w:pPr>
              <w:spacing w:after="0"/>
              <w:rPr>
                <w:sz w:val="1"/>
                <w:szCs w:val="1"/>
                <w:color w:val="auto"/>
              </w:rPr>
            </w:pPr>
          </w:p>
        </w:tc>
      </w:tr>
      <w:tr>
        <w:trPr>
          <w:trHeight w:val="134"/>
        </w:trPr>
        <w:tc>
          <w:tcPr>
            <w:tcW w:w="260" w:type="dxa"/>
            <w:vAlign w:val="bottom"/>
            <w:vMerge w:val="restart"/>
            <w:shd w:val="clear" w:color="auto" w:fill="000000"/>
          </w:tcPr>
          <w:p>
            <w:pPr>
              <w:ind w:left="60"/>
              <w:spacing w:after="0"/>
              <w:rPr>
                <w:sz w:val="20"/>
                <w:szCs w:val="20"/>
                <w:color w:val="auto"/>
              </w:rPr>
            </w:pPr>
            <w:r>
              <w:rPr>
                <w:rFonts w:ascii="Arial" w:cs="Arial" w:eastAsia="Arial" w:hAnsi="Arial"/>
                <w:sz w:val="22"/>
                <w:szCs w:val="22"/>
                <w:b w:val="1"/>
                <w:bCs w:val="1"/>
                <w:color w:val="FFFFFF"/>
              </w:rPr>
              <w:t>B</w:t>
            </w:r>
          </w:p>
        </w:tc>
        <w:tc>
          <w:tcPr>
            <w:tcW w:w="96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0" w:type="dxa"/>
            <w:vAlign w:val="bottom"/>
            <w:vMerge w:val="continue"/>
            <w:shd w:val="clear" w:color="auto" w:fill="000000"/>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3"/>
                <w:szCs w:val="13"/>
                <w:b w:val="1"/>
                <w:bCs w:val="1"/>
                <w:color w:val="auto"/>
              </w:rPr>
              <w:t>recommends</w:t>
            </w:r>
          </w:p>
        </w:tc>
        <w:tc>
          <w:tcPr>
            <w:tcW w:w="1360" w:type="dxa"/>
            <w:vAlign w:val="bottom"/>
          </w:tcPr>
          <w:p>
            <w:pPr>
              <w:ind w:left="40"/>
              <w:spacing w:after="0"/>
              <w:rPr>
                <w:sz w:val="20"/>
                <w:szCs w:val="20"/>
                <w:color w:val="auto"/>
              </w:rPr>
            </w:pPr>
            <w:r>
              <w:rPr>
                <w:rFonts w:ascii="Arial" w:cs="Arial" w:eastAsia="Arial" w:hAnsi="Arial"/>
                <w:sz w:val="13"/>
                <w:szCs w:val="13"/>
                <w:b w:val="1"/>
                <w:bCs w:val="1"/>
                <w:color w:val="auto"/>
              </w:rPr>
              <w:t>a vote "AGAINST"</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Proposal</w:t>
            </w:r>
          </w:p>
        </w:tc>
        <w:tc>
          <w:tcPr>
            <w:tcW w:w="300" w:type="dxa"/>
            <w:vAlign w:val="bottom"/>
          </w:tcPr>
          <w:p>
            <w:pPr>
              <w:ind w:left="40"/>
              <w:spacing w:after="0"/>
              <w:rPr>
                <w:sz w:val="20"/>
                <w:szCs w:val="20"/>
                <w:color w:val="auto"/>
              </w:rPr>
            </w:pPr>
            <w:r>
              <w:rPr>
                <w:rFonts w:ascii="Arial" w:cs="Arial" w:eastAsia="Arial" w:hAnsi="Arial"/>
                <w:sz w:val="13"/>
                <w:szCs w:val="13"/>
                <w:b w:val="1"/>
                <w:bCs w:val="1"/>
                <w:color w:val="auto"/>
              </w:rPr>
              <w:t>4 if</w:t>
            </w:r>
          </w:p>
        </w:tc>
        <w:tc>
          <w:tcPr>
            <w:tcW w:w="800" w:type="dxa"/>
            <w:vAlign w:val="bottom"/>
          </w:tcPr>
          <w:p>
            <w:pPr>
              <w:jc w:val="right"/>
              <w:ind w:right="113"/>
              <w:spacing w:after="0"/>
              <w:rPr>
                <w:sz w:val="20"/>
                <w:szCs w:val="20"/>
                <w:color w:val="auto"/>
              </w:rPr>
            </w:pPr>
            <w:r>
              <w:rPr>
                <w:rFonts w:ascii="Arial" w:cs="Arial" w:eastAsia="Arial" w:hAnsi="Arial"/>
                <w:sz w:val="13"/>
                <w:szCs w:val="13"/>
                <w:b w:val="1"/>
                <w:bCs w:val="1"/>
                <w:color w:val="auto"/>
              </w:rPr>
              <w:t>properly</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260" w:type="dxa"/>
            <w:vAlign w:val="bottom"/>
            <w:shd w:val="clear" w:color="auto" w:fill="000000"/>
          </w:tcPr>
          <w:p>
            <w:pPr>
              <w:spacing w:after="0"/>
              <w:rPr>
                <w:sz w:val="8"/>
                <w:szCs w:val="8"/>
                <w:color w:val="auto"/>
              </w:rPr>
            </w:pPr>
          </w:p>
        </w:tc>
        <w:tc>
          <w:tcPr>
            <w:tcW w:w="23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presented at the Annual Meeting:</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vMerge w:val="restart"/>
          </w:tcPr>
          <w:p>
            <w:pPr>
              <w:jc w:val="center"/>
              <w:ind w:left="39"/>
              <w:spacing w:after="0" w:line="181" w:lineRule="exact"/>
              <w:rPr>
                <w:sz w:val="20"/>
                <w:szCs w:val="20"/>
                <w:color w:val="auto"/>
              </w:rPr>
            </w:pPr>
            <w:r>
              <w:rPr>
                <w:rFonts w:ascii="MS PGothic" w:cs="MS PGothic" w:eastAsia="MS PGothic" w:hAnsi="MS PGothic"/>
                <w:sz w:val="18"/>
                <w:szCs w:val="18"/>
                <w:color w:val="auto"/>
                <w:w w:val="88"/>
              </w:rPr>
              <w:t>☐</w:t>
            </w:r>
          </w:p>
        </w:tc>
        <w:tc>
          <w:tcPr>
            <w:tcW w:w="5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90"/>
        </w:trPr>
        <w:tc>
          <w:tcPr>
            <w:tcW w:w="260" w:type="dxa"/>
            <w:vAlign w:val="bottom"/>
          </w:tcPr>
          <w:p>
            <w:pPr>
              <w:spacing w:after="0"/>
              <w:rPr>
                <w:sz w:val="7"/>
                <w:szCs w:val="7"/>
                <w:color w:val="auto"/>
              </w:rPr>
            </w:pPr>
          </w:p>
        </w:tc>
        <w:tc>
          <w:tcPr>
            <w:tcW w:w="23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8"/>
        </w:trPr>
        <w:tc>
          <w:tcPr>
            <w:tcW w:w="260" w:type="dxa"/>
            <w:vAlign w:val="bottom"/>
          </w:tcPr>
          <w:p>
            <w:pPr>
              <w:spacing w:after="0"/>
              <w:rPr>
                <w:sz w:val="20"/>
                <w:szCs w:val="20"/>
                <w:color w:val="auto"/>
              </w:rPr>
            </w:pPr>
            <w:r>
              <w:rPr>
                <w:rFonts w:ascii="Arial" w:cs="Arial" w:eastAsia="Arial" w:hAnsi="Arial"/>
                <w:sz w:val="13"/>
                <w:szCs w:val="13"/>
                <w:color w:val="auto"/>
              </w:rPr>
              <w:t>4.</w:t>
            </w:r>
          </w:p>
        </w:tc>
        <w:tc>
          <w:tcPr>
            <w:tcW w:w="4060" w:type="dxa"/>
            <w:vAlign w:val="bottom"/>
            <w:gridSpan w:val="5"/>
          </w:tcPr>
          <w:p>
            <w:pPr>
              <w:ind w:left="80"/>
              <w:spacing w:after="0"/>
              <w:rPr>
                <w:sz w:val="20"/>
                <w:szCs w:val="20"/>
                <w:color w:val="auto"/>
              </w:rPr>
            </w:pPr>
            <w:r>
              <w:rPr>
                <w:rFonts w:ascii="Arial" w:cs="Arial" w:eastAsia="Arial" w:hAnsi="Arial"/>
                <w:sz w:val="13"/>
                <w:szCs w:val="13"/>
                <w:color w:val="auto"/>
              </w:rPr>
              <w:t>Report on political expenditures misalignment with company</w:t>
            </w:r>
          </w:p>
        </w:tc>
        <w:tc>
          <w:tcPr>
            <w:tcW w:w="4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960" w:type="dxa"/>
            <w:vAlign w:val="bottom"/>
          </w:tcPr>
          <w:p>
            <w:pPr>
              <w:ind w:left="80"/>
              <w:spacing w:after="0"/>
              <w:rPr>
                <w:sz w:val="20"/>
                <w:szCs w:val="20"/>
                <w:color w:val="auto"/>
              </w:rPr>
            </w:pPr>
            <w:r>
              <w:rPr>
                <w:rFonts w:ascii="Arial" w:cs="Arial" w:eastAsia="Arial" w:hAnsi="Arial"/>
                <w:sz w:val="13"/>
                <w:szCs w:val="13"/>
                <w:color w:val="auto"/>
              </w:rPr>
              <w:t>values</w:t>
            </w: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00" w:hanging="283"/>
        <w:spacing w:after="0"/>
        <w:tabs>
          <w:tab w:leader="none" w:pos="600" w:val="left"/>
        </w:tabs>
        <w:numPr>
          <w:ilvl w:val="0"/>
          <w:numId w:val="127"/>
        </w:numPr>
        <w:rPr>
          <w:rFonts w:ascii="Arial" w:cs="Arial" w:eastAsia="Arial" w:hAnsi="Arial"/>
          <w:sz w:val="22"/>
          <w:szCs w:val="22"/>
          <w:b w:val="1"/>
          <w:bCs w:val="1"/>
          <w:color w:val="FFFFFF"/>
        </w:rPr>
      </w:pPr>
      <w:r>
        <w:rPr>
          <w:rFonts w:ascii="Arial" w:cs="Arial" w:eastAsia="Arial" w:hAnsi="Arial"/>
          <w:sz w:val="13"/>
          <w:szCs w:val="13"/>
          <w:b w:val="1"/>
          <w:bCs w:val="1"/>
          <w:color w:val="auto"/>
        </w:rPr>
        <w:t>Authorized Signatures — This section must be completed for your vote to be counted — Date and Sign Within the Box Below</w:t>
      </w:r>
    </w:p>
    <w:p>
      <w:pPr>
        <w:spacing w:after="0" w:line="194" w:lineRule="exact"/>
        <w:rPr>
          <w:sz w:val="20"/>
          <w:szCs w:val="20"/>
          <w:color w:val="auto"/>
        </w:rPr>
      </w:pPr>
    </w:p>
    <w:p>
      <w:pPr>
        <w:ind w:left="260" w:right="240"/>
        <w:spacing w:after="0" w:line="281" w:lineRule="auto"/>
        <w:rPr>
          <w:sz w:val="20"/>
          <w:szCs w:val="20"/>
          <w:color w:val="auto"/>
        </w:rPr>
      </w:pPr>
      <w:r>
        <w:rPr>
          <w:rFonts w:ascii="Arial" w:cs="Arial" w:eastAsia="Arial" w:hAnsi="Arial"/>
          <w:sz w:val="13"/>
          <w:szCs w:val="13"/>
          <w:color w:val="auto"/>
        </w:rPr>
        <w:t>Please sign as name(s) appear(s) hereon. Give full title if you are signing for a corporation, partnership or other entity, or as an attorney, administrator, executor, guardian, trustee or in any other representative capacity.</w:t>
      </w:r>
    </w:p>
    <w:p>
      <w:pPr>
        <w:spacing w:after="0" w:line="200" w:lineRule="exact"/>
        <w:rPr>
          <w:sz w:val="20"/>
          <w:szCs w:val="20"/>
          <w:color w:val="auto"/>
        </w:rPr>
      </w:pPr>
    </w:p>
    <w:p>
      <w:pPr>
        <w:spacing w:after="0" w:line="381" w:lineRule="exact"/>
        <w:rPr>
          <w:sz w:val="20"/>
          <w:szCs w:val="20"/>
          <w:color w:val="auto"/>
        </w:rPr>
      </w:pPr>
    </w:p>
    <w:p>
      <w:pPr>
        <w:ind w:left="260"/>
        <w:spacing w:after="0"/>
        <w:tabs>
          <w:tab w:leader="none" w:pos="2980" w:val="left"/>
          <w:tab w:leader="none" w:pos="5600" w:val="left"/>
          <w:tab w:leader="none" w:pos="836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342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2024 Annual Meeting of Shareholders</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Monday, June 10, 2024</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9:00 a.m. Eastern Time</w:t>
      </w: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comcast.onlineshareholdermeeting.com</w:t>
      </w:r>
    </w:p>
    <w:p>
      <w:pPr>
        <w:spacing w:after="0" w:line="21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4" w:lineRule="exact"/>
        <w:rPr>
          <w:sz w:val="20"/>
          <w:szCs w:val="20"/>
          <w:color w:val="auto"/>
        </w:rPr>
      </w:pPr>
    </w:p>
    <w:p>
      <w:pPr>
        <w:jc w:val="both"/>
        <w:ind w:left="540" w:right="240"/>
        <w:spacing w:after="0" w:line="238" w:lineRule="auto"/>
        <w:rPr>
          <w:sz w:val="20"/>
          <w:szCs w:val="20"/>
          <w:color w:val="auto"/>
        </w:rPr>
      </w:pPr>
      <w:r>
        <w:rPr>
          <w:rFonts w:ascii="Arial" w:cs="Arial" w:eastAsia="Arial" w:hAnsi="Arial"/>
          <w:sz w:val="18"/>
          <w:szCs w:val="18"/>
          <w:color w:val="auto"/>
        </w:rPr>
        <w:t>If you would like to reduce the impact on the environment and save our company money on the costs incurred in mailing proxy materials, you can consent to receiving all future Notices of Internet Availability of Proxy Materials, proxy statements, proxy cards and Annual Reports on Form 10-K electronically via e-mail or the Internet. To sign up, please follow the instructions on the reverse side to vote by Internet before the Meeting and, when prompted, indicate that you agree to receive or access shareholder communications electronically in future years. For further details regarding electronic delivery, please see the "General Information — Notice of Electronic Availability of Proxy Materials" section of our proxy statement.</w:t>
      </w:r>
    </w:p>
    <w:p>
      <w:pPr>
        <w:spacing w:after="0" w:line="18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 for the Annual Meeting:</w:t>
      </w:r>
    </w:p>
    <w:p>
      <w:pPr>
        <w:spacing w:after="0" w:line="14" w:lineRule="exact"/>
        <w:rPr>
          <w:sz w:val="20"/>
          <w:szCs w:val="20"/>
          <w:color w:val="auto"/>
        </w:rPr>
      </w:pPr>
    </w:p>
    <w:p>
      <w:pPr>
        <w:jc w:val="center"/>
        <w:ind w:left="580" w:right="960"/>
        <w:spacing w:after="0" w:line="250" w:lineRule="auto"/>
        <w:rPr>
          <w:sz w:val="20"/>
          <w:szCs w:val="20"/>
          <w:color w:val="auto"/>
        </w:rPr>
      </w:pPr>
      <w:r>
        <w:rPr>
          <w:rFonts w:ascii="Arial" w:cs="Arial" w:eastAsia="Arial" w:hAnsi="Arial"/>
          <w:sz w:val="18"/>
          <w:szCs w:val="18"/>
          <w:color w:val="auto"/>
        </w:rPr>
        <w:t>The Notice of Internet Availability of Proxy Materials, the Proxy Statement and the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40"/>
        <w:spacing w:after="0"/>
        <w:rPr>
          <w:sz w:val="20"/>
          <w:szCs w:val="20"/>
          <w:color w:val="auto"/>
        </w:rPr>
      </w:pPr>
      <w:r>
        <w:rPr>
          <w:rFonts w:ascii="Arial" w:cs="Arial" w:eastAsia="Arial" w:hAnsi="Arial"/>
          <w:sz w:val="11"/>
          <w:szCs w:val="11"/>
          <w:b w:val="1"/>
          <w:bCs w:val="1"/>
          <w:color w:val="auto"/>
        </w:rPr>
        <w:t>▼ IF YOU HAVE NOT VOTED VIA THE INTERNET OR TELEPHONE, FOLD ALONG THE PERFORATION, DETACH AND RETURN THE BOTTOM PORTION IN THE ENCLOSED ENVELOPE. ▼</w:t>
      </w:r>
    </w:p>
    <w:p>
      <w:pPr>
        <w:spacing w:after="0" w:line="63" w:lineRule="exact"/>
        <w:rPr>
          <w:sz w:val="20"/>
          <w:szCs w:val="20"/>
          <w:color w:val="auto"/>
        </w:rPr>
      </w:pPr>
    </w:p>
    <w:p>
      <w:pPr>
        <w:ind w:left="9720"/>
        <w:spacing w:after="0"/>
        <w:rPr>
          <w:sz w:val="20"/>
          <w:szCs w:val="20"/>
          <w:color w:val="auto"/>
        </w:rPr>
      </w:pPr>
      <w:r>
        <w:rPr>
          <w:rFonts w:ascii="Arial" w:cs="Arial" w:eastAsia="Arial" w:hAnsi="Arial"/>
          <w:sz w:val="13"/>
          <w:szCs w:val="13"/>
          <w:color w:val="auto"/>
        </w:rPr>
        <w:t>V38919-P08085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27875" cy="35960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27875" cy="359600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THIS PROXY IS SOLICITED ON BEHALF OF THE BOARD OF DIRECTORS FOR</w:t>
      </w:r>
    </w:p>
    <w:p>
      <w:pPr>
        <w:jc w:val="center"/>
        <w:ind w:right="-319"/>
        <w:spacing w:after="0"/>
        <w:rPr>
          <w:sz w:val="20"/>
          <w:szCs w:val="20"/>
          <w:color w:val="auto"/>
        </w:rPr>
      </w:pPr>
      <w:r>
        <w:rPr>
          <w:rFonts w:ascii="Arial" w:cs="Arial" w:eastAsia="Arial" w:hAnsi="Arial"/>
          <w:sz w:val="18"/>
          <w:szCs w:val="18"/>
          <w:b w:val="1"/>
          <w:bCs w:val="1"/>
          <w:color w:val="auto"/>
        </w:rPr>
        <w:t>THE ANNUAL MEETING OF SHAREHOLDERS ON JUNE 10, 2024.</w:t>
      </w:r>
    </w:p>
    <w:p>
      <w:pPr>
        <w:spacing w:after="0" w:line="200" w:lineRule="exact"/>
        <w:rPr>
          <w:sz w:val="20"/>
          <w:szCs w:val="20"/>
          <w:color w:val="auto"/>
        </w:rPr>
      </w:pPr>
    </w:p>
    <w:p>
      <w:pPr>
        <w:jc w:val="both"/>
        <w:ind w:left="320"/>
        <w:spacing w:after="0" w:line="245" w:lineRule="auto"/>
        <w:rPr>
          <w:sz w:val="20"/>
          <w:szCs w:val="20"/>
          <w:color w:val="auto"/>
        </w:rPr>
      </w:pPr>
      <w:r>
        <w:rPr>
          <w:rFonts w:ascii="Arial" w:cs="Arial" w:eastAsia="Arial" w:hAnsi="Arial"/>
          <w:sz w:val="13"/>
          <w:szCs w:val="13"/>
          <w:color w:val="auto"/>
        </w:rPr>
        <w:t>I hereby appoint Michael J. Cavanagh and Thomas J. Reid, and each of them acting individually, as proxies, with the powers I would possess if personally present, and with full power of substitution, to vote all shares in Comcast Corporation at the Annual Meeting of Shareholders to be held live via the Internet at comcast.onlineshareholdermeeting.com at 9:00 a.m. Eastern Time on June 10, 2024, and at any adjournment or postponement thereof, upon all matters described in the proxy statement that may properly come before the meeting, in accordance with my instructions on the reverse side of this proxy card. In the event that any other matter may properly come before the meeting, or any adjournment or postponement thereof, the proxies are each authorized to vote on such matter in their discretion, including for any replacement nominee nominated for director by the Board of Directors of Comcast Corporation if a director nominee on this proxy card becomes unavailable to serve. I hereby revoke all previous proxies given to vote at the Annual Meeting or any adjournment or postponement thereof.</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 acknowledge receipt of the notice of Annual Meeting of Shareholders, the proxy statement and the Annual Report on Form 10-K of Comcast Corporation.</w:t>
      </w:r>
    </w:p>
    <w:p>
      <w:pPr>
        <w:spacing w:after="0" w:line="215" w:lineRule="exact"/>
        <w:rPr>
          <w:sz w:val="20"/>
          <w:szCs w:val="20"/>
          <w:color w:val="auto"/>
        </w:rPr>
      </w:pPr>
    </w:p>
    <w:p>
      <w:pPr>
        <w:jc w:val="both"/>
        <w:ind w:left="320"/>
        <w:spacing w:after="0" w:line="245" w:lineRule="auto"/>
        <w:rPr>
          <w:sz w:val="20"/>
          <w:szCs w:val="20"/>
          <w:color w:val="auto"/>
        </w:rPr>
      </w:pPr>
      <w:r>
        <w:rPr>
          <w:rFonts w:ascii="Arial" w:cs="Arial" w:eastAsia="Arial" w:hAnsi="Arial"/>
          <w:sz w:val="13"/>
          <w:szCs w:val="13"/>
          <w:color w:val="auto"/>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cs="Arial" w:eastAsia="Arial" w:hAnsi="Arial"/>
          <w:sz w:val="13"/>
          <w:szCs w:val="13"/>
          <w:b w:val="1"/>
          <w:bCs w:val="1"/>
          <w:color w:val="auto"/>
        </w:rPr>
        <w:t>If your card is signed and returned without instructions, the shares will be voted in favor of all of the</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director nominees and any replacement nominee, in favor of Proposals 2 and 3, and against Proposal 4. </w:t>
      </w:r>
      <w:r>
        <w:rPr>
          <w:rFonts w:ascii="Arial" w:cs="Arial" w:eastAsia="Arial" w:hAnsi="Arial"/>
          <w:sz w:val="13"/>
          <w:szCs w:val="13"/>
          <w:color w:val="auto"/>
        </w:rPr>
        <w:t>If you are voting shares held in the Comcast Employee Stock</w:t>
      </w:r>
      <w:r>
        <w:rPr>
          <w:rFonts w:ascii="Arial" w:cs="Arial" w:eastAsia="Arial" w:hAnsi="Arial"/>
          <w:sz w:val="13"/>
          <w:szCs w:val="13"/>
          <w:b w:val="1"/>
          <w:bCs w:val="1"/>
          <w:color w:val="auto"/>
        </w:rPr>
        <w:t xml:space="preserve"> </w:t>
      </w:r>
      <w:r>
        <w:rPr>
          <w:rFonts w:ascii="Arial" w:cs="Arial" w:eastAsia="Arial" w:hAnsi="Arial"/>
          <w:sz w:val="13"/>
          <w:szCs w:val="13"/>
          <w:color w:val="auto"/>
        </w:rPr>
        <w:t>Purchase Plan or the Comcast-NBCUniversal Employee Stock Purchase Plan, voting by Internet, telephone, mail or in person by ballot will vote all of the shares held by you in such plans, as well as any shares held by you as a shareholder of record. If you hold shares that are not represented by this proxy card, you will receive additional proxy card(s) by mail that will allow you to vote the remaining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19"/>
        <w:spacing w:after="0"/>
        <w:rPr>
          <w:sz w:val="20"/>
          <w:szCs w:val="20"/>
          <w:color w:val="auto"/>
        </w:rPr>
      </w:pPr>
      <w:r>
        <w:rPr>
          <w:rFonts w:ascii="Arial" w:cs="Arial" w:eastAsia="Arial" w:hAnsi="Arial"/>
          <w:sz w:val="13"/>
          <w:szCs w:val="13"/>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940"/>
      </w:cols>
      <w:pgMar w:left="320" w:top="122"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1"/>
      <w:numFmt w:val="bullet"/>
      <w:start w:val="1"/>
    </w:lvl>
  </w:abstractNum>
  <w:abstractNum w:abstractNumId="4">
    <w:nsid w:val="1DBABF00"/>
    <w:multiLevelType w:val="hybridMultilevel"/>
    <w:lvl w:ilvl="0">
      <w:lvlJc w:val="left"/>
      <w:lvlText w:val="3"/>
      <w:numFmt w:val="bullet"/>
      <w:start w:val="1"/>
    </w:lvl>
  </w:abstractNum>
  <w:abstractNum w:abstractNumId="5">
    <w:nsid w:val="4AD084E9"/>
    <w:multiLevelType w:val="hybridMultilevel"/>
    <w:lvl w:ilvl="0">
      <w:lvlJc w:val="left"/>
      <w:lvlText w:val="(%1)"/>
      <w:numFmt w:val="decimal"/>
      <w:start w:val="1"/>
    </w:lvl>
  </w:abstractNum>
  <w:abstractNum w:abstractNumId="6">
    <w:nsid w:val="1F48EAA1"/>
    <w:multiLevelType w:val="hybridMultilevel"/>
    <w:lvl w:ilvl="0">
      <w:lvlJc w:val="left"/>
      <w:lvlText w:val="5"/>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7"/>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9"/>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1"/>
      <w:numFmt w:val="decimal"/>
      <w:start w:val="1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1"/>
      <w:numFmt w:val="decimal"/>
      <w:start w:val="13"/>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1"/>
      <w:numFmt w:val="decimal"/>
      <w:start w:val="15"/>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1."/>
      <w:numFmt w:val="decimal"/>
      <w:start w:val="72"/>
    </w:lvl>
  </w:abstractNum>
  <w:abstractNum w:abstractNumId="32">
    <w:nsid w:val="68EB2F63"/>
    <w:multiLevelType w:val="hybridMultilevel"/>
    <w:lvl w:ilvl="0">
      <w:lvlJc w:val="left"/>
      <w:lvlText w:val="%1"/>
      <w:numFmt w:val="decimal"/>
      <w:start w:val="17"/>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1"/>
      <w:numFmt w:val="decimal"/>
      <w:start w:val="19"/>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1"/>
      <w:numFmt w:val="decimal"/>
      <w:start w:val="2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lvl w:ilvl="1">
      <w:lvlJc w:val="left"/>
      <w:lvlText w:val="\emdash "/>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lvl w:ilvl="1">
      <w:lvlJc w:val="left"/>
      <w:lvlText w:val="\emdash "/>
      <w:numFmt w:val="bullet"/>
      <w:start w:val="1"/>
    </w:lvl>
  </w:abstractNum>
  <w:abstractNum w:abstractNumId="51">
    <w:nsid w:val="74DE0EE3"/>
    <w:multiLevelType w:val="hybridMultilevel"/>
    <w:lvl w:ilvl="0">
      <w:lvlJc w:val="left"/>
      <w:lvlText w:val="%1"/>
      <w:numFmt w:val="decimal"/>
      <w:start w:val="23"/>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lvl w:ilvl="1">
      <w:lvlJc w:val="left"/>
      <w:lvlText w:val="\emdash "/>
      <w:numFmt w:val="bullet"/>
      <w:start w:val="1"/>
    </w:lvl>
  </w:abstractNum>
  <w:abstractNum w:abstractNumId="56">
    <w:nsid w:val="39EE015C"/>
    <w:multiLevelType w:val="hybridMultilevel"/>
    <w:lvl w:ilvl="0">
      <w:lvlJc w:val="left"/>
      <w:lvlText w:val="&amp;"/>
      <w:numFmt w:val="bullet"/>
      <w:start w:val="1"/>
    </w:lvl>
  </w:abstractNum>
  <w:abstractNum w:abstractNumId="57">
    <w:nsid w:val="57FC4FBB"/>
    <w:multiLevelType w:val="hybridMultilevel"/>
    <w:lvl w:ilvl="0">
      <w:lvlJc w:val="left"/>
      <w:lvlText w:val="%1"/>
      <w:numFmt w:val="decimal"/>
      <w:start w:val="25"/>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1"/>
      <w:numFmt w:val="decimal"/>
      <w:start w:val="27"/>
    </w:lvl>
  </w:abstractNum>
  <w:abstractNum w:abstractNumId="60">
    <w:nsid w:val="60EF0119"/>
    <w:multiLevelType w:val="hybridMultilevel"/>
    <w:lvl w:ilvl="0">
      <w:lvlJc w:val="left"/>
      <w:lvlText w:val="✓"/>
      <w:numFmt w:val="bullet"/>
      <w:start w:val="1"/>
    </w:lvl>
    <w:lvl w:ilvl="1">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1"/>
      <w:numFmt w:val="decimal"/>
      <w:start w:val="29"/>
    </w:lvl>
  </w:abstractNum>
  <w:abstractNum w:abstractNumId="64">
    <w:nsid w:val="7055A5F5"/>
    <w:multiLevelType w:val="hybridMultilevel"/>
    <w:lvl w:ilvl="0">
      <w:lvlJc w:val="left"/>
      <w:lvlText w:val="●"/>
      <w:numFmt w:val="bullet"/>
      <w:start w:val="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1)"/>
      <w:numFmt w:val="decimal"/>
      <w:start w:val="1"/>
    </w:lvl>
  </w:abstractNum>
  <w:abstractNum w:abstractNumId="68">
    <w:nsid w:val="5FB8011C"/>
    <w:multiLevelType w:val="hybridMultilevel"/>
    <w:lvl w:ilvl="0">
      <w:lvlJc w:val="left"/>
      <w:lvlText w:val="%1"/>
      <w:numFmt w:val="decimal"/>
      <w:start w:val="31"/>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1"/>
      <w:numFmt w:val="decimal"/>
      <w:start w:val="33"/>
    </w:lvl>
  </w:abstractNum>
  <w:abstractNum w:abstractNumId="71">
    <w:nsid w:val="6FC75AF8"/>
    <w:multiLevelType w:val="hybridMultilevel"/>
    <w:lvl w:ilvl="0">
      <w:lvlJc w:val="left"/>
      <w:lvlText w:val="(%1)"/>
      <w:numFmt w:val="decimal"/>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1"/>
      <w:numFmt w:val="decimal"/>
      <w:start w:val="35"/>
    </w:lvl>
  </w:abstractNum>
  <w:abstractNum w:abstractNumId="74">
    <w:nsid w:val="5F3534A4"/>
    <w:multiLevelType w:val="hybridMultilevel"/>
    <w:lvl w:ilvl="0">
      <w:lvlJc w:val="left"/>
      <w:lvlText w:val="●"/>
      <w:numFmt w:val="bullet"/>
      <w:start w:val="1"/>
    </w:lvl>
    <w:lvl w:ilvl="1">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1"/>
      <w:numFmt w:val="decimal"/>
      <w:start w:val="37"/>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1"/>
      <w:numFmt w:val="decimal"/>
      <w:start w:val="39"/>
    </w:lvl>
  </w:abstractNum>
  <w:abstractNum w:abstractNumId="80">
    <w:nsid w:val="6A3DD3E8"/>
    <w:multiLevelType w:val="hybridMultilevel"/>
    <w:lvl w:ilvl="0">
      <w:lvlJc w:val="left"/>
      <w:lvlText w:val="(%1)"/>
      <w:numFmt w:val="decimal"/>
      <w:start w:val="1"/>
    </w:lvl>
  </w:abstractNum>
  <w:abstractNum w:abstractNumId="81">
    <w:nsid w:val="71C91298"/>
    <w:multiLevelType w:val="hybridMultilevel"/>
    <w:lvl w:ilvl="0">
      <w:lvlJc w:val="left"/>
      <w:lvlText w:val="(%1)"/>
      <w:numFmt w:val="decimal"/>
      <w:start w:val="3"/>
    </w:lvl>
  </w:abstractNum>
  <w:abstractNum w:abstractNumId="82">
    <w:nsid w:val="9DAF632"/>
    <w:multiLevelType w:val="hybridMultilevel"/>
    <w:lvl w:ilvl="0">
      <w:lvlJc w:val="left"/>
      <w:lvlText w:val="%1"/>
      <w:numFmt w:val="decimal"/>
      <w:start w:val="41"/>
    </w:lvl>
  </w:abstractNum>
  <w:abstractNum w:abstractNumId="83">
    <w:nsid w:val="53299938"/>
    <w:multiLevelType w:val="hybridMultilevel"/>
    <w:lvl w:ilvl="0">
      <w:lvlJc w:val="left"/>
      <w:lvlText w:val="\emdash "/>
      <w:numFmt w:val="bullet"/>
      <w:start w:val="1"/>
    </w:lvl>
  </w:abstractNum>
  <w:abstractNum w:abstractNumId="84">
    <w:nsid w:val="1FBFE8E0"/>
    <w:multiLevelType w:val="hybridMultilevel"/>
    <w:lvl w:ilvl="0">
      <w:lvlJc w:val="left"/>
      <w:lvlText w:val="(%1)"/>
      <w:numFmt w:val="decimal"/>
      <w:start w:val="1"/>
    </w:lvl>
  </w:abstractNum>
  <w:abstractNum w:abstractNumId="85">
    <w:nsid w:val="5092CA79"/>
    <w:multiLevelType w:val="hybridMultilevel"/>
    <w:lvl w:ilvl="0">
      <w:lvlJc w:val="left"/>
      <w:lvlText w:val="%1"/>
      <w:numFmt w:val="decimal"/>
      <w:start w:val="43"/>
    </w:lvl>
  </w:abstractNum>
  <w:abstractNum w:abstractNumId="86">
    <w:nsid w:val="1D545C4D"/>
    <w:multiLevelType w:val="hybridMultilevel"/>
    <w:lvl w:ilvl="0">
      <w:lvlJc w:val="left"/>
      <w:lvlText w:val="(%1)"/>
      <w:numFmt w:val="decimal"/>
      <w:start w:val="1"/>
    </w:lvl>
  </w:abstractNum>
  <w:abstractNum w:abstractNumId="87">
    <w:nsid w:val="59ADEA3D"/>
    <w:multiLevelType w:val="hybridMultilevel"/>
    <w:lvl w:ilvl="0">
      <w:lvlJc w:val="left"/>
      <w:lvlText w:val="(%1)"/>
      <w:numFmt w:val="lowerLetter"/>
      <w:start w:val="1"/>
    </w:lvl>
  </w:abstractNum>
  <w:abstractNum w:abstractNumId="88">
    <w:nsid w:val="288F1A34"/>
    <w:multiLevelType w:val="hybridMultilevel"/>
    <w:lvl w:ilvl="0">
      <w:lvlJc w:val="left"/>
      <w:lvlText w:val="(%1)"/>
      <w:numFmt w:val="decimal"/>
      <w:start w:val="1"/>
    </w:lvl>
  </w:abstractNum>
  <w:abstractNum w:abstractNumId="89">
    <w:nsid w:val="2A155DBC"/>
    <w:multiLevelType w:val="hybridMultilevel"/>
    <w:lvl w:ilvl="0">
      <w:lvlJc w:val="left"/>
      <w:lvlText w:val="(%1)"/>
      <w:numFmt w:val="decimal"/>
      <w:start w:val="1"/>
    </w:lvl>
  </w:abstractNum>
  <w:abstractNum w:abstractNumId="90">
    <w:nsid w:val="1D9F6E5F"/>
    <w:multiLevelType w:val="hybridMultilevel"/>
    <w:lvl w:ilvl="0">
      <w:lvlJc w:val="left"/>
      <w:lvlText w:val="%1"/>
      <w:numFmt w:val="decimal"/>
      <w:start w:val="45"/>
    </w:lvl>
  </w:abstractNum>
  <w:abstractNum w:abstractNumId="91">
    <w:nsid w:val="97E1B4E"/>
    <w:multiLevelType w:val="hybridMultilevel"/>
    <w:lvl w:ilvl="0">
      <w:lvlJc w:val="left"/>
      <w:lvlText w:val="(%1)"/>
      <w:numFmt w:val="decimal"/>
      <w:start w:val="2"/>
    </w:lvl>
  </w:abstractNum>
  <w:abstractNum w:abstractNumId="92">
    <w:nsid w:val="51088277"/>
    <w:multiLevelType w:val="hybridMultilevel"/>
    <w:lvl w:ilvl="0">
      <w:lvlJc w:val="left"/>
      <w:lvlText w:val="(%1)"/>
      <w:numFmt w:val="decimal"/>
      <w:start w:val="1"/>
    </w:lvl>
  </w:abstractNum>
  <w:abstractNum w:abstractNumId="93">
    <w:nsid w:val="1CA0C5FA"/>
    <w:multiLevelType w:val="hybridMultilevel"/>
    <w:lvl w:ilvl="0">
      <w:lvlJc w:val="left"/>
      <w:lvlText w:val="%1"/>
      <w:numFmt w:val="decimal"/>
      <w:start w:val="47"/>
    </w:lvl>
  </w:abstractNum>
  <w:abstractNum w:abstractNumId="94">
    <w:nsid w:val="53584BCB"/>
    <w:multiLevelType w:val="hybridMultilevel"/>
    <w:lvl w:ilvl="0">
      <w:lvlJc w:val="left"/>
      <w:lvlText w:val="(%1)"/>
      <w:numFmt w:val="decimal"/>
      <w:start w:val="5"/>
    </w:lvl>
  </w:abstractNum>
  <w:abstractNum w:abstractNumId="95">
    <w:nsid w:val="415E286C"/>
    <w:multiLevelType w:val="hybridMultilevel"/>
    <w:lvl w:ilvl="0">
      <w:lvlJc w:val="left"/>
      <w:lvlText w:val="(%1)"/>
      <w:numFmt w:val="decimal"/>
      <w:start w:val="1"/>
    </w:lvl>
  </w:abstractNum>
  <w:abstractNum w:abstractNumId="96">
    <w:nsid w:val="7C58FD05"/>
    <w:multiLevelType w:val="hybridMultilevel"/>
    <w:lvl w:ilvl="0">
      <w:lvlJc w:val="left"/>
      <w:lvlText w:val="(%1)"/>
      <w:numFmt w:val="decimal"/>
      <w:start w:val="3"/>
    </w:lvl>
  </w:abstractNum>
  <w:abstractNum w:abstractNumId="97">
    <w:nsid w:val="23D86AAC"/>
    <w:multiLevelType w:val="hybridMultilevel"/>
    <w:lvl w:ilvl="0">
      <w:lvlJc w:val="left"/>
      <w:lvlText w:val="*"/>
      <w:numFmt w:val="bullet"/>
      <w:start w:val="1"/>
    </w:lvl>
  </w:abstractNum>
  <w:abstractNum w:abstractNumId="98">
    <w:nsid w:val="45E6D486"/>
    <w:multiLevelType w:val="hybridMultilevel"/>
    <w:lvl w:ilvl="0">
      <w:lvlJc w:val="left"/>
      <w:lvlText w:val="(%1)"/>
      <w:numFmt w:val="decimal"/>
      <w:start w:val="1"/>
    </w:lvl>
  </w:abstractNum>
  <w:abstractNum w:abstractNumId="99">
    <w:nsid w:val="5C10FE21"/>
    <w:multiLevelType w:val="hybridMultilevel"/>
    <w:lvl w:ilvl="0">
      <w:lvlJc w:val="left"/>
      <w:lvlText w:val="%1"/>
      <w:numFmt w:val="decimal"/>
      <w:start w:val="49"/>
    </w:lvl>
  </w:abstractNum>
  <w:abstractNum w:abstractNumId="100">
    <w:nsid w:val="E7FFA2B"/>
    <w:multiLevelType w:val="hybridMultilevel"/>
    <w:lvl w:ilvl="0">
      <w:lvlJc w:val="left"/>
      <w:lvlText w:val="(%1)"/>
      <w:numFmt w:val="decimal"/>
      <w:start w:val="2"/>
    </w:lvl>
  </w:abstractNum>
  <w:abstractNum w:abstractNumId="101">
    <w:nsid w:val="3C5991AA"/>
    <w:multiLevelType w:val="hybridMultilevel"/>
    <w:lvl w:ilvl="0">
      <w:lvlJc w:val="left"/>
      <w:lvlText w:val="(%1)"/>
      <w:numFmt w:val="decimal"/>
      <w:start w:val="3"/>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
      <w:numFmt w:val="bullet"/>
      <w:start w:val="1"/>
    </w:lvl>
  </w:abstractNum>
  <w:abstractNum w:abstractNumId="104">
    <w:nsid w:val="39B7AAA2"/>
    <w:multiLevelType w:val="hybridMultilevel"/>
    <w:lvl w:ilvl="0">
      <w:lvlJc w:val="left"/>
      <w:lvlText w:val="(%1)"/>
      <w:numFmt w:val="decimal"/>
      <w:start w:val="6"/>
    </w:lvl>
    <w:lvl w:ilvl="1">
      <w:lvlJc w:val="left"/>
      <w:lvlText w:val="\endash "/>
      <w:numFmt w:val="bullet"/>
      <w:start w:val="1"/>
    </w:lvl>
  </w:abstractNum>
  <w:abstractNum w:abstractNumId="105">
    <w:nsid w:val="2B0D8DBE"/>
    <w:multiLevelType w:val="hybridMultilevel"/>
    <w:lvl w:ilvl="0">
      <w:lvlJc w:val="left"/>
      <w:lvlText w:val="%1"/>
      <w:numFmt w:val="decimal"/>
      <w:start w:val="51"/>
    </w:lvl>
  </w:abstractNum>
  <w:abstractNum w:abstractNumId="106">
    <w:nsid w:val="6C80EC70"/>
    <w:multiLevelType w:val="hybridMultilevel"/>
    <w:lvl w:ilvl="0">
      <w:lvlJc w:val="left"/>
      <w:lvlText w:val="1"/>
      <w:numFmt w:val="bullet"/>
      <w:start w:val="1"/>
    </w:lvl>
  </w:abstractNum>
  <w:abstractNum w:abstractNumId="107">
    <w:nsid w:val="379E21B5"/>
    <w:multiLevelType w:val="hybridMultilevel"/>
    <w:lvl w:ilvl="0">
      <w:lvlJc w:val="left"/>
      <w:lvlText w:val="2"/>
      <w:numFmt w:val="bullet"/>
      <w:start w:val="1"/>
    </w:lvl>
  </w:abstractNum>
  <w:abstractNum w:abstractNumId="108">
    <w:nsid w:val="69E373"/>
    <w:multiLevelType w:val="hybridMultilevel"/>
    <w:lvl w:ilvl="0">
      <w:lvlJc w:val="left"/>
      <w:lvlText w:val="●"/>
      <w:numFmt w:val="bullet"/>
      <w:start w:val="1"/>
    </w:lvl>
  </w:abstractNum>
  <w:abstractNum w:abstractNumId="109">
    <w:nsid w:val="2C27173B"/>
    <w:multiLevelType w:val="hybridMultilevel"/>
    <w:lvl w:ilvl="0">
      <w:lvlJc w:val="left"/>
      <w:lvlText w:val="%1"/>
      <w:numFmt w:val="decimal"/>
      <w:start w:val="53"/>
    </w:lvl>
  </w:abstractNum>
  <w:abstractNum w:abstractNumId="110">
    <w:nsid w:val="4C9B0904"/>
    <w:multiLevelType w:val="hybridMultilevel"/>
    <w:lvl w:ilvl="0">
      <w:lvlJc w:val="left"/>
      <w:lvlText w:val="●"/>
      <w:numFmt w:val="bullet"/>
      <w:start w:val="1"/>
    </w:lvl>
  </w:abstractNum>
  <w:abstractNum w:abstractNumId="111">
    <w:nsid w:val="6AA7B75C"/>
    <w:multiLevelType w:val="hybridMultilevel"/>
    <w:lvl w:ilvl="0">
      <w:lvlJc w:val="left"/>
      <w:lvlText w:val="●"/>
      <w:numFmt w:val="bullet"/>
      <w:start w:val="1"/>
    </w:lvl>
  </w:abstractNum>
  <w:abstractNum w:abstractNumId="112">
    <w:nsid w:val="1DF029D3"/>
    <w:multiLevelType w:val="hybridMultilevel"/>
    <w:lvl w:ilvl="0">
      <w:lvlJc w:val="left"/>
      <w:lvlText w:val="(%1)"/>
      <w:numFmt w:val="decimal"/>
      <w:start w:val="1"/>
    </w:lvl>
  </w:abstractNum>
  <w:abstractNum w:abstractNumId="113">
    <w:nsid w:val="5675FF36"/>
    <w:multiLevelType w:val="hybridMultilevel"/>
    <w:lvl w:ilvl="0">
      <w:lvlJc w:val="left"/>
      <w:lvlText w:val="%1"/>
      <w:numFmt w:val="decimal"/>
      <w:start w:val="55"/>
    </w:lvl>
  </w:abstractNum>
  <w:abstractNum w:abstractNumId="114">
    <w:nsid w:val="3DD15094"/>
    <w:multiLevelType w:val="hybridMultilevel"/>
    <w:lvl w:ilvl="0">
      <w:lvlJc w:val="left"/>
      <w:lvlText w:val="*"/>
      <w:numFmt w:val="bullet"/>
      <w:start w:val="1"/>
    </w:lvl>
  </w:abstractNum>
  <w:abstractNum w:abstractNumId="115">
    <w:nsid w:val="3DB012B3"/>
    <w:multiLevelType w:val="hybridMultilevel"/>
    <w:lvl w:ilvl="0">
      <w:lvlJc w:val="left"/>
      <w:lvlText w:val="(%1)"/>
      <w:numFmt w:val="decimal"/>
      <w:start w:val="1"/>
    </w:lvl>
  </w:abstractNum>
  <w:abstractNum w:abstractNumId="116">
    <w:nsid w:val="2708C9AF"/>
    <w:multiLevelType w:val="hybridMultilevel"/>
    <w:lvl w:ilvl="0">
      <w:lvlJc w:val="left"/>
      <w:lvlText w:val="%1"/>
      <w:numFmt w:val="decimal"/>
      <w:start w:val="57"/>
    </w:lvl>
  </w:abstractNum>
  <w:abstractNum w:abstractNumId="117">
    <w:nsid w:val="5B25ACE2"/>
    <w:multiLevelType w:val="hybridMultilevel"/>
    <w:lvl w:ilvl="0">
      <w:lvlJc w:val="left"/>
      <w:lvlText w:val="(%1)"/>
      <w:numFmt w:val="decimal"/>
      <w:start w:val="1"/>
    </w:lvl>
  </w:abstractNum>
  <w:abstractNum w:abstractNumId="118">
    <w:nsid w:val="175DFCF0"/>
    <w:multiLevelType w:val="hybridMultilevel"/>
    <w:lvl w:ilvl="0">
      <w:lvlJc w:val="left"/>
      <w:lvlText w:val="●"/>
      <w:numFmt w:val="bullet"/>
      <w:start w:val="1"/>
    </w:lvl>
  </w:abstractNum>
  <w:abstractNum w:abstractNumId="119">
    <w:nsid w:val="4F97E3E4"/>
    <w:multiLevelType w:val="hybridMultilevel"/>
    <w:lvl w:ilvl="0">
      <w:lvlJc w:val="left"/>
      <w:lvlText w:val="%1"/>
      <w:numFmt w:val="decimal"/>
      <w:start w:val="59"/>
    </w:lvl>
  </w:abstractNum>
  <w:abstractNum w:abstractNumId="120">
    <w:nsid w:val="53B0A9E"/>
    <w:multiLevelType w:val="hybridMultilevel"/>
    <w:lvl w:ilvl="0">
      <w:lvlJc w:val="left"/>
      <w:lvlText w:val="(%1)"/>
      <w:numFmt w:val="lowerLetter"/>
      <w:start w:val="2"/>
    </w:lvl>
  </w:abstractNum>
  <w:abstractNum w:abstractNumId="121">
    <w:nsid w:val="34FD6B4F"/>
    <w:multiLevelType w:val="hybridMultilevel"/>
    <w:lvl w:ilvl="0">
      <w:lvlJc w:val="left"/>
      <w:lvlText w:val="●"/>
      <w:numFmt w:val="bullet"/>
      <w:start w:val="1"/>
    </w:lvl>
  </w:abstractNum>
  <w:abstractNum w:abstractNumId="122">
    <w:nsid w:val="5915FF32"/>
    <w:multiLevelType w:val="hybridMultilevel"/>
    <w:lvl w:ilvl="0">
      <w:lvlJc w:val="left"/>
      <w:lvlText w:val="●"/>
      <w:numFmt w:val="bullet"/>
      <w:start w:val="1"/>
    </w:lvl>
  </w:abstractNum>
  <w:abstractNum w:abstractNumId="123">
    <w:nsid w:val="56438D15"/>
    <w:multiLevelType w:val="hybridMultilevel"/>
    <w:lvl w:ilvl="0">
      <w:lvlJc w:val="left"/>
      <w:lvlText w:val="%1"/>
      <w:numFmt w:val="decimal"/>
      <w:start w:val="61"/>
    </w:lvl>
  </w:abstractNum>
  <w:abstractNum w:abstractNumId="124">
    <w:nsid w:val="519E3149"/>
    <w:multiLevelType w:val="hybridMultilevel"/>
    <w:lvl w:ilvl="0">
      <w:lvlJc w:val="left"/>
      <w:lvlText w:val="●"/>
      <w:numFmt w:val="bullet"/>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2024-04-26T10:12:17Z</dcterms:created>
  <dcterms:modified xsi:type="dcterms:W3CDTF">2024-04-26T10:12:17Z</dcterms:modified>
</cp:coreProperties>
</file>