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33"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1, 2022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(State or other jurisdiction of incorporation)</w:t>
      </w:r>
    </w:p>
    <w:p>
      <w:pPr>
        <w:sectPr>
          <w:pgSz w:w="11900" w:h="16838" w:orient="portrait"/>
          <w:cols w:equalWidth="0" w:num="1">
            <w:col w:w="11240"/>
          </w:cols>
          <w:pgMar w:left="320" w:top="765" w:right="339" w:bottom="36" w:gutter="0" w:footer="0" w:header="0"/>
        </w:sectPr>
      </w:pPr>
    </w:p>
    <w:p>
      <w:pPr>
        <w:spacing w:after="0" w:line="9" w:lineRule="exact"/>
        <w:rPr>
          <w:sz w:val="24"/>
          <w:szCs w:val="24"/>
          <w:color w:val="auto"/>
        </w:rPr>
      </w:pPr>
    </w:p>
    <w:p>
      <w:pPr>
        <w:jc w:val="center"/>
        <w:ind w:right="3640"/>
        <w:spacing w:after="0"/>
        <w:rPr>
          <w:sz w:val="20"/>
          <w:szCs w:val="20"/>
          <w:color w:val="auto"/>
        </w:rPr>
      </w:pPr>
      <w:r>
        <w:rPr>
          <w:rFonts w:ascii="Arial" w:cs="Arial" w:eastAsia="Arial" w:hAnsi="Arial"/>
          <w:sz w:val="18"/>
          <w:szCs w:val="18"/>
          <w:b w:val="1"/>
          <w:bCs w:val="1"/>
          <w:color w:val="auto"/>
        </w:rPr>
        <w:t>001-32871</w:t>
      </w:r>
    </w:p>
    <w:p>
      <w:pPr>
        <w:spacing w:after="0" w:line="9" w:lineRule="exact"/>
        <w:rPr>
          <w:sz w:val="24"/>
          <w:szCs w:val="24"/>
          <w:color w:val="auto"/>
        </w:rPr>
      </w:pPr>
    </w:p>
    <w:p>
      <w:pPr>
        <w:jc w:val="center"/>
        <w:ind w:right="36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8"/>
          <w:szCs w:val="18"/>
          <w:b w:val="1"/>
          <w:bCs w:val="1"/>
          <w:color w:val="auto"/>
        </w:rPr>
        <w:t>27-0000798</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7360" w:space="720"/>
            <w:col w:w="3160"/>
          </w:cols>
          <w:pgMar w:left="320" w:top="765" w:right="339" w:bottom="36" w:gutter="0" w:footer="0" w:header="0"/>
          <w:type w:val="continuous"/>
        </w:sectPr>
      </w:pPr>
    </w:p>
    <w:p>
      <w:pPr>
        <w:spacing w:after="0" w:line="57" w:lineRule="exact"/>
        <w:rPr>
          <w:sz w:val="24"/>
          <w:szCs w:val="24"/>
          <w:color w:val="auto"/>
        </w:rPr>
      </w:pPr>
    </w:p>
    <w:p>
      <w:pPr>
        <w:jc w:val="center"/>
        <w:ind w:right="452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52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52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(Zip Code)</w:t>
      </w:r>
    </w:p>
    <w:p>
      <w:pPr>
        <w:spacing w:after="0" w:line="404" w:lineRule="exact"/>
        <w:rPr>
          <w:sz w:val="24"/>
          <w:szCs w:val="24"/>
          <w:color w:val="auto"/>
        </w:rPr>
      </w:pPr>
    </w:p>
    <w:p>
      <w:pPr>
        <w:sectPr>
          <w:pgSz w:w="11900" w:h="16838" w:orient="portrait"/>
          <w:cols w:equalWidth="0" w:num="2">
            <w:col w:w="8240" w:space="720"/>
            <w:col w:w="2280"/>
          </w:cols>
          <w:pgMar w:left="320" w:top="765" w:right="339" w:bottom="36"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9"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CMCSA</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 Notes due 2026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CMCS26</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0.250% Notes due 2027</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CMCS27</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CMCS29</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0.250%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CMCS29A</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0.750% Notes due 2032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CMCS32</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 Notes due 2036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CMCS36</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 Notes due 2040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CMCS40</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9.455% Guaranteed Notes due 2022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CMCSA/22</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CCGBP29</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 Exchangeable Subordinated Debentures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CCZ</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65" w:right="339" w:bottom="36"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annual meeting on June 1, 2022, our shareholders approved, or did not approve, the following proposals.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votes cast for and against (or withheld) and the number of abstentions and broker non-votes with respect to each such proposal, as described in detail in Comcast Corporation’s definitive proxy statement dated April 22, 2022, are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All of the director nominees named in the proxy statement were elected to serve as directors for one-year terms.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Director</w:t>
            </w:r>
          </w:p>
        </w:tc>
        <w:tc>
          <w:tcPr>
            <w:tcW w:w="338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For</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Withheld</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Broker Non-Votes</w:t>
            </w:r>
          </w:p>
        </w:tc>
      </w:tr>
      <w:tr>
        <w:trPr>
          <w:trHeight w:val="195"/>
        </w:trPr>
        <w:tc>
          <w:tcPr>
            <w:tcW w:w="3820" w:type="dxa"/>
            <w:vAlign w:val="bottom"/>
          </w:tcPr>
          <w:p>
            <w:pPr>
              <w:ind w:left="60"/>
              <w:spacing w:after="0" w:line="195" w:lineRule="exact"/>
              <w:rPr>
                <w:sz w:val="20"/>
                <w:szCs w:val="20"/>
                <w:color w:val="auto"/>
              </w:rPr>
            </w:pPr>
            <w:r>
              <w:rPr>
                <w:rFonts w:ascii="Arial" w:cs="Arial" w:eastAsia="Arial" w:hAnsi="Arial"/>
                <w:sz w:val="18"/>
                <w:szCs w:val="18"/>
                <w:color w:val="auto"/>
              </w:rPr>
              <w:t>Kenneth J. Bacon</w:t>
            </w:r>
          </w:p>
        </w:tc>
        <w:tc>
          <w:tcPr>
            <w:tcW w:w="3380" w:type="dxa"/>
            <w:vAlign w:val="bottom"/>
          </w:tcPr>
          <w:p>
            <w:pPr>
              <w:ind w:left="2160"/>
              <w:spacing w:after="0" w:line="195" w:lineRule="exact"/>
              <w:rPr>
                <w:sz w:val="20"/>
                <w:szCs w:val="20"/>
                <w:color w:val="auto"/>
              </w:rPr>
            </w:pPr>
            <w:r>
              <w:rPr>
                <w:rFonts w:ascii="Arial" w:cs="Arial" w:eastAsia="Arial" w:hAnsi="Arial"/>
                <w:sz w:val="18"/>
                <w:szCs w:val="18"/>
                <w:color w:val="auto"/>
              </w:rPr>
              <w:t>331,251,747</w:t>
            </w:r>
          </w:p>
        </w:tc>
        <w:tc>
          <w:tcPr>
            <w:tcW w:w="14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38,501,366</w:t>
            </w:r>
          </w:p>
        </w:tc>
        <w:tc>
          <w:tcPr>
            <w:tcW w:w="186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20,702,480</w:t>
            </w:r>
          </w:p>
        </w:tc>
      </w:tr>
      <w:tr>
        <w:trPr>
          <w:trHeight w:val="216"/>
        </w:trPr>
        <w:tc>
          <w:tcPr>
            <w:tcW w:w="3820" w:type="dxa"/>
            <w:vAlign w:val="bottom"/>
          </w:tcPr>
          <w:p>
            <w:pPr>
              <w:ind w:left="60"/>
              <w:spacing w:after="0"/>
              <w:rPr>
                <w:sz w:val="20"/>
                <w:szCs w:val="20"/>
                <w:color w:val="auto"/>
              </w:rPr>
            </w:pPr>
            <w:r>
              <w:rPr>
                <w:rFonts w:ascii="Arial" w:cs="Arial" w:eastAsia="Arial" w:hAnsi="Arial"/>
                <w:sz w:val="18"/>
                <w:szCs w:val="18"/>
                <w:color w:val="auto"/>
              </w:rPr>
              <w:t>Madeline S. Bell</w:t>
            </w:r>
          </w:p>
        </w:tc>
        <w:tc>
          <w:tcPr>
            <w:tcW w:w="3380" w:type="dxa"/>
            <w:vAlign w:val="bottom"/>
          </w:tcPr>
          <w:p>
            <w:pPr>
              <w:ind w:left="2160"/>
              <w:spacing w:after="0"/>
              <w:rPr>
                <w:sz w:val="20"/>
                <w:szCs w:val="20"/>
                <w:color w:val="auto"/>
              </w:rPr>
            </w:pPr>
            <w:r>
              <w:rPr>
                <w:rFonts w:ascii="Arial" w:cs="Arial" w:eastAsia="Arial" w:hAnsi="Arial"/>
                <w:sz w:val="18"/>
                <w:szCs w:val="18"/>
                <w:color w:val="auto"/>
              </w:rPr>
              <w:t>363,524,196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6,228,917</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20,702,480</w:t>
            </w:r>
          </w:p>
        </w:tc>
      </w:tr>
      <w:tr>
        <w:trPr>
          <w:trHeight w:val="216"/>
        </w:trPr>
        <w:tc>
          <w:tcPr>
            <w:tcW w:w="3820" w:type="dxa"/>
            <w:vAlign w:val="bottom"/>
          </w:tcPr>
          <w:p>
            <w:pPr>
              <w:ind w:left="60"/>
              <w:spacing w:after="0"/>
              <w:rPr>
                <w:sz w:val="20"/>
                <w:szCs w:val="20"/>
                <w:color w:val="auto"/>
              </w:rPr>
            </w:pPr>
            <w:r>
              <w:rPr>
                <w:rFonts w:ascii="Arial" w:cs="Arial" w:eastAsia="Arial" w:hAnsi="Arial"/>
                <w:sz w:val="18"/>
                <w:szCs w:val="18"/>
                <w:color w:val="auto"/>
              </w:rPr>
              <w:t>Edward D. Breen</w:t>
            </w:r>
          </w:p>
        </w:tc>
        <w:tc>
          <w:tcPr>
            <w:tcW w:w="3380" w:type="dxa"/>
            <w:vAlign w:val="bottom"/>
          </w:tcPr>
          <w:p>
            <w:pPr>
              <w:ind w:left="2160"/>
              <w:spacing w:after="0"/>
              <w:rPr>
                <w:sz w:val="20"/>
                <w:szCs w:val="20"/>
                <w:color w:val="auto"/>
              </w:rPr>
            </w:pPr>
            <w:r>
              <w:rPr>
                <w:rFonts w:ascii="Arial" w:cs="Arial" w:eastAsia="Arial" w:hAnsi="Arial"/>
                <w:sz w:val="18"/>
                <w:szCs w:val="18"/>
                <w:color w:val="auto"/>
              </w:rPr>
              <w:t>321,731,822</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48,021,291</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20,702,480</w:t>
            </w:r>
          </w:p>
        </w:tc>
      </w:tr>
      <w:tr>
        <w:trPr>
          <w:trHeight w:val="216"/>
        </w:trPr>
        <w:tc>
          <w:tcPr>
            <w:tcW w:w="3820" w:type="dxa"/>
            <w:vAlign w:val="bottom"/>
          </w:tcPr>
          <w:p>
            <w:pPr>
              <w:ind w:left="60"/>
              <w:spacing w:after="0"/>
              <w:rPr>
                <w:sz w:val="20"/>
                <w:szCs w:val="20"/>
                <w:color w:val="auto"/>
              </w:rPr>
            </w:pPr>
            <w:r>
              <w:rPr>
                <w:rFonts w:ascii="Arial" w:cs="Arial" w:eastAsia="Arial" w:hAnsi="Arial"/>
                <w:sz w:val="18"/>
                <w:szCs w:val="18"/>
                <w:color w:val="auto"/>
              </w:rPr>
              <w:t>Gerald L. Hassell</w:t>
            </w:r>
          </w:p>
        </w:tc>
        <w:tc>
          <w:tcPr>
            <w:tcW w:w="3380" w:type="dxa"/>
            <w:vAlign w:val="bottom"/>
          </w:tcPr>
          <w:p>
            <w:pPr>
              <w:ind w:left="2160"/>
              <w:spacing w:after="0"/>
              <w:rPr>
                <w:sz w:val="20"/>
                <w:szCs w:val="20"/>
                <w:color w:val="auto"/>
              </w:rPr>
            </w:pPr>
            <w:r>
              <w:rPr>
                <w:rFonts w:ascii="Arial" w:cs="Arial" w:eastAsia="Arial" w:hAnsi="Arial"/>
                <w:sz w:val="18"/>
                <w:szCs w:val="18"/>
                <w:color w:val="auto"/>
              </w:rPr>
              <w:t>360,450,170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9,302,943</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20,702,480</w:t>
            </w:r>
          </w:p>
        </w:tc>
      </w:tr>
      <w:tr>
        <w:trPr>
          <w:trHeight w:val="216"/>
        </w:trPr>
        <w:tc>
          <w:tcPr>
            <w:tcW w:w="3820" w:type="dxa"/>
            <w:vAlign w:val="bottom"/>
          </w:tcPr>
          <w:p>
            <w:pPr>
              <w:ind w:left="60"/>
              <w:spacing w:after="0"/>
              <w:rPr>
                <w:sz w:val="20"/>
                <w:szCs w:val="20"/>
                <w:color w:val="auto"/>
              </w:rPr>
            </w:pPr>
            <w:r>
              <w:rPr>
                <w:rFonts w:ascii="Arial" w:cs="Arial" w:eastAsia="Arial" w:hAnsi="Arial"/>
                <w:sz w:val="18"/>
                <w:szCs w:val="18"/>
                <w:color w:val="auto"/>
              </w:rPr>
              <w:t>Jeffrey A. Honickman</w:t>
            </w:r>
          </w:p>
        </w:tc>
        <w:tc>
          <w:tcPr>
            <w:tcW w:w="3380" w:type="dxa"/>
            <w:vAlign w:val="bottom"/>
          </w:tcPr>
          <w:p>
            <w:pPr>
              <w:ind w:left="2160"/>
              <w:spacing w:after="0"/>
              <w:rPr>
                <w:sz w:val="20"/>
                <w:szCs w:val="20"/>
                <w:color w:val="auto"/>
              </w:rPr>
            </w:pPr>
            <w:r>
              <w:rPr>
                <w:rFonts w:ascii="Arial" w:cs="Arial" w:eastAsia="Arial" w:hAnsi="Arial"/>
                <w:sz w:val="18"/>
                <w:szCs w:val="18"/>
                <w:color w:val="auto"/>
              </w:rPr>
              <w:t>352,120,729</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17,632,384</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20,702,480</w:t>
            </w:r>
          </w:p>
        </w:tc>
      </w:tr>
      <w:tr>
        <w:trPr>
          <w:trHeight w:val="216"/>
        </w:trPr>
        <w:tc>
          <w:tcPr>
            <w:tcW w:w="3820" w:type="dxa"/>
            <w:vAlign w:val="bottom"/>
          </w:tcPr>
          <w:p>
            <w:pPr>
              <w:ind w:left="60"/>
              <w:spacing w:after="0"/>
              <w:rPr>
                <w:sz w:val="20"/>
                <w:szCs w:val="20"/>
                <w:color w:val="auto"/>
              </w:rPr>
            </w:pPr>
            <w:r>
              <w:rPr>
                <w:rFonts w:ascii="Arial" w:cs="Arial" w:eastAsia="Arial" w:hAnsi="Arial"/>
                <w:sz w:val="18"/>
                <w:szCs w:val="18"/>
                <w:color w:val="auto"/>
              </w:rPr>
              <w:t>Maritza G. Montiel</w:t>
            </w:r>
          </w:p>
        </w:tc>
        <w:tc>
          <w:tcPr>
            <w:tcW w:w="3380" w:type="dxa"/>
            <w:vAlign w:val="bottom"/>
          </w:tcPr>
          <w:p>
            <w:pPr>
              <w:ind w:left="2160"/>
              <w:spacing w:after="0"/>
              <w:rPr>
                <w:sz w:val="20"/>
                <w:szCs w:val="20"/>
                <w:color w:val="auto"/>
              </w:rPr>
            </w:pPr>
            <w:r>
              <w:rPr>
                <w:rFonts w:ascii="Arial" w:cs="Arial" w:eastAsia="Arial" w:hAnsi="Arial"/>
                <w:sz w:val="18"/>
                <w:szCs w:val="18"/>
                <w:color w:val="auto"/>
              </w:rPr>
              <w:t>364,992,996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4,760,117</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20,702,480</w:t>
            </w:r>
          </w:p>
        </w:tc>
      </w:tr>
      <w:tr>
        <w:trPr>
          <w:trHeight w:val="216"/>
        </w:trPr>
        <w:tc>
          <w:tcPr>
            <w:tcW w:w="3820" w:type="dxa"/>
            <w:vAlign w:val="bottom"/>
          </w:tcPr>
          <w:p>
            <w:pPr>
              <w:ind w:left="60"/>
              <w:spacing w:after="0"/>
              <w:rPr>
                <w:sz w:val="20"/>
                <w:szCs w:val="20"/>
                <w:color w:val="auto"/>
              </w:rPr>
            </w:pPr>
            <w:r>
              <w:rPr>
                <w:rFonts w:ascii="Arial" w:cs="Arial" w:eastAsia="Arial" w:hAnsi="Arial"/>
                <w:sz w:val="18"/>
                <w:szCs w:val="18"/>
                <w:color w:val="auto"/>
              </w:rPr>
              <w:t>Asuka Nakahara</w:t>
            </w:r>
          </w:p>
        </w:tc>
        <w:tc>
          <w:tcPr>
            <w:tcW w:w="3380" w:type="dxa"/>
            <w:vAlign w:val="bottom"/>
          </w:tcPr>
          <w:p>
            <w:pPr>
              <w:ind w:left="2160"/>
              <w:spacing w:after="0"/>
              <w:rPr>
                <w:sz w:val="20"/>
                <w:szCs w:val="20"/>
                <w:color w:val="auto"/>
              </w:rPr>
            </w:pPr>
            <w:r>
              <w:rPr>
                <w:rFonts w:ascii="Arial" w:cs="Arial" w:eastAsia="Arial" w:hAnsi="Arial"/>
                <w:sz w:val="18"/>
                <w:szCs w:val="18"/>
                <w:color w:val="auto"/>
              </w:rPr>
              <w:t>368,055,096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1,698,017</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20,702,480</w:t>
            </w:r>
          </w:p>
        </w:tc>
      </w:tr>
      <w:tr>
        <w:trPr>
          <w:trHeight w:val="216"/>
        </w:trPr>
        <w:tc>
          <w:tcPr>
            <w:tcW w:w="3820" w:type="dxa"/>
            <w:vAlign w:val="bottom"/>
          </w:tcPr>
          <w:p>
            <w:pPr>
              <w:ind w:left="60"/>
              <w:spacing w:after="0"/>
              <w:rPr>
                <w:sz w:val="20"/>
                <w:szCs w:val="20"/>
                <w:color w:val="auto"/>
              </w:rPr>
            </w:pPr>
            <w:r>
              <w:rPr>
                <w:rFonts w:ascii="Arial" w:cs="Arial" w:eastAsia="Arial" w:hAnsi="Arial"/>
                <w:sz w:val="18"/>
                <w:szCs w:val="18"/>
                <w:color w:val="auto"/>
              </w:rPr>
              <w:t>David C. Novak</w:t>
            </w:r>
          </w:p>
        </w:tc>
        <w:tc>
          <w:tcPr>
            <w:tcW w:w="3380" w:type="dxa"/>
            <w:vAlign w:val="bottom"/>
          </w:tcPr>
          <w:p>
            <w:pPr>
              <w:ind w:left="2160"/>
              <w:spacing w:after="0"/>
              <w:rPr>
                <w:sz w:val="20"/>
                <w:szCs w:val="20"/>
                <w:color w:val="auto"/>
              </w:rPr>
            </w:pPr>
            <w:r>
              <w:rPr>
                <w:rFonts w:ascii="Arial" w:cs="Arial" w:eastAsia="Arial" w:hAnsi="Arial"/>
                <w:sz w:val="18"/>
                <w:szCs w:val="18"/>
                <w:color w:val="auto"/>
              </w:rPr>
              <w:t>364,892,819</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4,860,294</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20,702,480</w:t>
            </w:r>
          </w:p>
        </w:tc>
      </w:tr>
      <w:tr>
        <w:trPr>
          <w:trHeight w:val="230"/>
        </w:trPr>
        <w:tc>
          <w:tcPr>
            <w:tcW w:w="3820" w:type="dxa"/>
            <w:vAlign w:val="bottom"/>
          </w:tcPr>
          <w:p>
            <w:pPr>
              <w:ind w:left="60"/>
              <w:spacing w:after="0"/>
              <w:rPr>
                <w:sz w:val="20"/>
                <w:szCs w:val="20"/>
                <w:color w:val="auto"/>
              </w:rPr>
            </w:pPr>
            <w:r>
              <w:rPr>
                <w:rFonts w:ascii="Arial" w:cs="Arial" w:eastAsia="Arial" w:hAnsi="Arial"/>
                <w:sz w:val="18"/>
                <w:szCs w:val="18"/>
                <w:color w:val="auto"/>
              </w:rPr>
              <w:t>Brian L. Roberts</w:t>
            </w:r>
          </w:p>
        </w:tc>
        <w:tc>
          <w:tcPr>
            <w:tcW w:w="3380" w:type="dxa"/>
            <w:vAlign w:val="bottom"/>
          </w:tcPr>
          <w:p>
            <w:pPr>
              <w:ind w:left="2160"/>
              <w:spacing w:after="0"/>
              <w:rPr>
                <w:sz w:val="20"/>
                <w:szCs w:val="20"/>
                <w:color w:val="auto"/>
              </w:rPr>
            </w:pPr>
            <w:r>
              <w:rPr>
                <w:rFonts w:ascii="Arial" w:cs="Arial" w:eastAsia="Arial" w:hAnsi="Arial"/>
                <w:sz w:val="18"/>
                <w:szCs w:val="18"/>
                <w:color w:val="auto"/>
              </w:rPr>
              <w:t>354,186,525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15,566,588</w:t>
            </w: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20,702,480</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gridSpan w:val="4"/>
          </w:tcPr>
          <w:p>
            <w:pPr>
              <w:spacing w:after="0"/>
              <w:rPr>
                <w:sz w:val="20"/>
                <w:szCs w:val="20"/>
                <w:color w:val="auto"/>
              </w:rPr>
            </w:pPr>
            <w:r>
              <w:rPr>
                <w:rFonts w:ascii="Arial" w:cs="Arial" w:eastAsia="Arial" w:hAnsi="Arial"/>
                <w:sz w:val="18"/>
                <w:szCs w:val="18"/>
                <w:color w:val="auto"/>
              </w:rPr>
              <w:t>(2) The advisory vote on our executive compensation, as described in the proxy statement, was approved.</w:t>
            </w:r>
          </w:p>
        </w:tc>
        <w:tc>
          <w:tcPr>
            <w:tcW w:w="23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6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6"/>
              </w:rPr>
              <w:t>For</w:t>
            </w:r>
          </w:p>
        </w:tc>
        <w:tc>
          <w:tcPr>
            <w:tcW w:w="2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Against</w:t>
            </w:r>
          </w:p>
        </w:tc>
        <w:tc>
          <w:tcPr>
            <w:tcW w:w="260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Abstain</w:t>
            </w:r>
          </w:p>
        </w:tc>
        <w:tc>
          <w:tcPr>
            <w:tcW w:w="2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Broker Non-Votes</w:t>
            </w:r>
          </w:p>
        </w:tc>
      </w:tr>
      <w:tr>
        <w:trPr>
          <w:trHeight w:val="224"/>
        </w:trPr>
        <w:tc>
          <w:tcPr>
            <w:tcW w:w="340" w:type="dxa"/>
            <w:vAlign w:val="bottom"/>
          </w:tcPr>
          <w:p>
            <w:pPr>
              <w:spacing w:after="0"/>
              <w:rPr>
                <w:sz w:val="19"/>
                <w:szCs w:val="19"/>
                <w:color w:val="auto"/>
              </w:rPr>
            </w:pPr>
          </w:p>
        </w:tc>
        <w:tc>
          <w:tcPr>
            <w:tcW w:w="2600" w:type="dxa"/>
            <w:vAlign w:val="bottom"/>
          </w:tcPr>
          <w:p>
            <w:pPr>
              <w:jc w:val="right"/>
              <w:ind w:right="850"/>
              <w:spacing w:after="0"/>
              <w:rPr>
                <w:sz w:val="20"/>
                <w:szCs w:val="20"/>
                <w:color w:val="auto"/>
              </w:rPr>
            </w:pPr>
            <w:r>
              <w:rPr>
                <w:rFonts w:ascii="Arial" w:cs="Arial" w:eastAsia="Arial" w:hAnsi="Arial"/>
                <w:sz w:val="18"/>
                <w:szCs w:val="18"/>
                <w:color w:val="auto"/>
              </w:rPr>
              <w:t>355,060,927</w:t>
            </w:r>
          </w:p>
        </w:tc>
        <w:tc>
          <w:tcPr>
            <w:tcW w:w="2980" w:type="dxa"/>
            <w:vAlign w:val="bottom"/>
          </w:tcPr>
          <w:p>
            <w:pPr>
              <w:jc w:val="right"/>
              <w:ind w:right="1130"/>
              <w:spacing w:after="0"/>
              <w:rPr>
                <w:sz w:val="20"/>
                <w:szCs w:val="20"/>
                <w:color w:val="auto"/>
              </w:rPr>
            </w:pPr>
            <w:r>
              <w:rPr>
                <w:rFonts w:ascii="Arial" w:cs="Arial" w:eastAsia="Arial" w:hAnsi="Arial"/>
                <w:sz w:val="18"/>
                <w:szCs w:val="18"/>
                <w:color w:val="auto"/>
              </w:rPr>
              <w:t>14,159,977</w:t>
            </w:r>
          </w:p>
        </w:tc>
        <w:tc>
          <w:tcPr>
            <w:tcW w:w="2600" w:type="dxa"/>
            <w:vAlign w:val="bottom"/>
          </w:tcPr>
          <w:p>
            <w:pPr>
              <w:ind w:left="1220"/>
              <w:spacing w:after="0"/>
              <w:rPr>
                <w:sz w:val="20"/>
                <w:szCs w:val="20"/>
                <w:color w:val="auto"/>
              </w:rPr>
            </w:pPr>
            <w:r>
              <w:rPr>
                <w:rFonts w:ascii="Arial" w:cs="Arial" w:eastAsia="Arial" w:hAnsi="Arial"/>
                <w:sz w:val="18"/>
                <w:szCs w:val="18"/>
                <w:color w:val="auto"/>
              </w:rPr>
              <w:t>532,209</w:t>
            </w:r>
          </w:p>
        </w:tc>
        <w:tc>
          <w:tcPr>
            <w:tcW w:w="2360" w:type="dxa"/>
            <w:vAlign w:val="bottom"/>
          </w:tcPr>
          <w:p>
            <w:pPr>
              <w:jc w:val="right"/>
              <w:ind w:right="190"/>
              <w:spacing w:after="0"/>
              <w:rPr>
                <w:sz w:val="20"/>
                <w:szCs w:val="20"/>
                <w:color w:val="auto"/>
              </w:rPr>
            </w:pPr>
            <w:r>
              <w:rPr>
                <w:rFonts w:ascii="Arial" w:cs="Arial" w:eastAsia="Arial" w:hAnsi="Arial"/>
                <w:sz w:val="18"/>
                <w:szCs w:val="18"/>
                <w:color w:val="auto"/>
              </w:rPr>
              <w:t>20,702,480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(3) The appointment of Deloitte &amp; Touche LLP as our independent auditors for the 2022 fiscal year, as described in the proxy statement, was ratified.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For</w:t>
            </w:r>
          </w:p>
        </w:tc>
        <w:tc>
          <w:tcPr>
            <w:tcW w:w="2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Against</w:t>
            </w:r>
          </w:p>
        </w:tc>
        <w:tc>
          <w:tcPr>
            <w:tcW w:w="262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Abstain</w:t>
            </w:r>
          </w:p>
        </w:tc>
        <w:tc>
          <w:tcPr>
            <w:tcW w:w="236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1"/>
              </w:rPr>
              <w:t>Broker Non-Votes</w:t>
            </w:r>
          </w:p>
        </w:tc>
      </w:tr>
      <w:tr>
        <w:trPr>
          <w:trHeight w:val="224"/>
        </w:trPr>
        <w:tc>
          <w:tcPr>
            <w:tcW w:w="2620" w:type="dxa"/>
            <w:vAlign w:val="bottom"/>
          </w:tcPr>
          <w:p>
            <w:pPr>
              <w:jc w:val="right"/>
              <w:ind w:right="870"/>
              <w:spacing w:after="0"/>
              <w:rPr>
                <w:sz w:val="20"/>
                <w:szCs w:val="20"/>
                <w:color w:val="auto"/>
              </w:rPr>
            </w:pPr>
            <w:r>
              <w:rPr>
                <w:rFonts w:ascii="Arial" w:cs="Arial" w:eastAsia="Arial" w:hAnsi="Arial"/>
                <w:sz w:val="18"/>
                <w:szCs w:val="18"/>
                <w:color w:val="auto"/>
              </w:rPr>
              <w:t>380,277,864</w:t>
            </w:r>
          </w:p>
        </w:tc>
        <w:tc>
          <w:tcPr>
            <w:tcW w:w="2940" w:type="dxa"/>
            <w:vAlign w:val="bottom"/>
          </w:tcPr>
          <w:p>
            <w:pPr>
              <w:jc w:val="right"/>
              <w:ind w:right="1150"/>
              <w:spacing w:after="0"/>
              <w:rPr>
                <w:sz w:val="20"/>
                <w:szCs w:val="20"/>
                <w:color w:val="auto"/>
              </w:rPr>
            </w:pPr>
            <w:r>
              <w:rPr>
                <w:rFonts w:ascii="Arial" w:cs="Arial" w:eastAsia="Arial" w:hAnsi="Arial"/>
                <w:sz w:val="18"/>
                <w:szCs w:val="18"/>
                <w:color w:val="auto"/>
              </w:rPr>
              <w:t>9,971,788</w:t>
            </w:r>
          </w:p>
        </w:tc>
        <w:tc>
          <w:tcPr>
            <w:tcW w:w="2620" w:type="dxa"/>
            <w:vAlign w:val="bottom"/>
          </w:tcPr>
          <w:p>
            <w:pPr>
              <w:ind w:left="1240"/>
              <w:spacing w:after="0"/>
              <w:rPr>
                <w:sz w:val="20"/>
                <w:szCs w:val="20"/>
                <w:color w:val="auto"/>
              </w:rPr>
            </w:pPr>
            <w:r>
              <w:rPr>
                <w:rFonts w:ascii="Arial" w:cs="Arial" w:eastAsia="Arial" w:hAnsi="Arial"/>
                <w:sz w:val="18"/>
                <w:szCs w:val="18"/>
                <w:color w:val="auto"/>
              </w:rPr>
              <w:t>205,941</w:t>
            </w:r>
          </w:p>
        </w:tc>
        <w:tc>
          <w:tcPr>
            <w:tcW w:w="2360" w:type="dxa"/>
            <w:vAlign w:val="bottom"/>
          </w:tcPr>
          <w:p>
            <w:pPr>
              <w:jc w:val="center"/>
              <w:ind w:left="510"/>
              <w:spacing w:after="0"/>
              <w:rPr>
                <w:sz w:val="20"/>
                <w:szCs w:val="20"/>
                <w:color w:val="auto"/>
              </w:rPr>
            </w:pPr>
            <w:r>
              <w:rPr>
                <w:rFonts w:ascii="Arial" w:cs="Arial" w:eastAsia="Arial" w:hAnsi="Arial"/>
                <w:sz w:val="18"/>
                <w:szCs w:val="18"/>
                <w:color w:val="auto"/>
              </w:rPr>
              <w:t>N/A</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 A shareholder proposal to report on charitable donations, as described in the proxy statement, was not approved.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For</w:t>
            </w:r>
          </w:p>
        </w:tc>
        <w:tc>
          <w:tcPr>
            <w:tcW w:w="3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Against</w:t>
            </w:r>
          </w:p>
        </w:tc>
        <w:tc>
          <w:tcPr>
            <w:tcW w:w="26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0"/>
              </w:rPr>
              <w:t>Abstain</w:t>
            </w:r>
          </w:p>
        </w:tc>
        <w:tc>
          <w:tcPr>
            <w:tcW w:w="2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Broker Non-Votes</w:t>
            </w:r>
          </w:p>
        </w:tc>
      </w:tr>
      <w:tr>
        <w:trPr>
          <w:trHeight w:val="224"/>
        </w:trPr>
        <w:tc>
          <w:tcPr>
            <w:tcW w:w="2540" w:type="dxa"/>
            <w:vAlign w:val="bottom"/>
          </w:tcPr>
          <w:p>
            <w:pPr>
              <w:jc w:val="right"/>
              <w:ind w:right="890"/>
              <w:spacing w:after="0"/>
              <w:rPr>
                <w:sz w:val="20"/>
                <w:szCs w:val="20"/>
                <w:color w:val="auto"/>
              </w:rPr>
            </w:pPr>
            <w:r>
              <w:rPr>
                <w:rFonts w:ascii="Arial" w:cs="Arial" w:eastAsia="Arial" w:hAnsi="Arial"/>
                <w:sz w:val="18"/>
                <w:szCs w:val="18"/>
                <w:color w:val="auto"/>
              </w:rPr>
              <w:t>3,382,467</w:t>
            </w:r>
          </w:p>
        </w:tc>
        <w:tc>
          <w:tcPr>
            <w:tcW w:w="3020" w:type="dxa"/>
            <w:vAlign w:val="bottom"/>
          </w:tcPr>
          <w:p>
            <w:pPr>
              <w:jc w:val="right"/>
              <w:ind w:right="1050"/>
              <w:spacing w:after="0"/>
              <w:rPr>
                <w:sz w:val="20"/>
                <w:szCs w:val="20"/>
                <w:color w:val="auto"/>
              </w:rPr>
            </w:pPr>
            <w:r>
              <w:rPr>
                <w:rFonts w:ascii="Arial" w:cs="Arial" w:eastAsia="Arial" w:hAnsi="Arial"/>
                <w:sz w:val="18"/>
                <w:szCs w:val="18"/>
                <w:color w:val="auto"/>
              </w:rPr>
              <w:t>365,345,438</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1,025,208</w:t>
            </w: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20,702,480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(5) A shareholder proposal to perform an independent racial equity audit, as described in the proxy statement, was not approved.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6"/>
              </w:rPr>
              <w:t>For</w:t>
            </w:r>
          </w:p>
        </w:tc>
        <w:tc>
          <w:tcPr>
            <w:tcW w:w="3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Against</w:t>
            </w:r>
          </w:p>
        </w:tc>
        <w:tc>
          <w:tcPr>
            <w:tcW w:w="26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0"/>
              </w:rPr>
              <w:t>Abstain</w:t>
            </w:r>
          </w:p>
        </w:tc>
        <w:tc>
          <w:tcPr>
            <w:tcW w:w="2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Broker Non-Votes</w:t>
            </w:r>
          </w:p>
        </w:tc>
      </w:tr>
      <w:tr>
        <w:trPr>
          <w:trHeight w:val="224"/>
        </w:trPr>
        <w:tc>
          <w:tcPr>
            <w:tcW w:w="2560" w:type="dxa"/>
            <w:vAlign w:val="bottom"/>
          </w:tcPr>
          <w:p>
            <w:pPr>
              <w:jc w:val="right"/>
              <w:ind w:right="850"/>
              <w:spacing w:after="0"/>
              <w:rPr>
                <w:sz w:val="20"/>
                <w:szCs w:val="20"/>
                <w:color w:val="auto"/>
              </w:rPr>
            </w:pPr>
            <w:r>
              <w:rPr>
                <w:rFonts w:ascii="Arial" w:cs="Arial" w:eastAsia="Arial" w:hAnsi="Arial"/>
                <w:sz w:val="18"/>
                <w:szCs w:val="18"/>
                <w:color w:val="auto"/>
              </w:rPr>
              <w:t>67,351,871</w:t>
            </w:r>
          </w:p>
        </w:tc>
        <w:tc>
          <w:tcPr>
            <w:tcW w:w="3000" w:type="dxa"/>
            <w:vAlign w:val="bottom"/>
          </w:tcPr>
          <w:p>
            <w:pPr>
              <w:jc w:val="right"/>
              <w:ind w:right="1050"/>
              <w:spacing w:after="0"/>
              <w:rPr>
                <w:sz w:val="20"/>
                <w:szCs w:val="20"/>
                <w:color w:val="auto"/>
              </w:rPr>
            </w:pPr>
            <w:r>
              <w:rPr>
                <w:rFonts w:ascii="Arial" w:cs="Arial" w:eastAsia="Arial" w:hAnsi="Arial"/>
                <w:sz w:val="18"/>
                <w:szCs w:val="18"/>
                <w:color w:val="auto"/>
              </w:rPr>
              <w:t>300,758,590</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1,642,652</w:t>
            </w: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20,702,480</w:t>
            </w:r>
          </w:p>
        </w:tc>
      </w:tr>
    </w:tbl>
    <w:p>
      <w:pPr>
        <w:spacing w:after="0" w:line="214"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shareholder proposal to report on risks of omitting “viewpoint” and “ideology” from EEO policy, as described in the proxy statement, was not approved.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For</w:t>
            </w:r>
          </w:p>
        </w:tc>
        <w:tc>
          <w:tcPr>
            <w:tcW w:w="3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Against</w:t>
            </w:r>
          </w:p>
        </w:tc>
        <w:tc>
          <w:tcPr>
            <w:tcW w:w="26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0"/>
              </w:rPr>
              <w:t>Abstain</w:t>
            </w:r>
          </w:p>
        </w:tc>
        <w:tc>
          <w:tcPr>
            <w:tcW w:w="2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Broker Non-Votes</w:t>
            </w:r>
          </w:p>
        </w:tc>
      </w:tr>
      <w:tr>
        <w:trPr>
          <w:trHeight w:val="224"/>
        </w:trPr>
        <w:tc>
          <w:tcPr>
            <w:tcW w:w="2540" w:type="dxa"/>
            <w:vAlign w:val="bottom"/>
          </w:tcPr>
          <w:p>
            <w:pPr>
              <w:jc w:val="right"/>
              <w:ind w:right="890"/>
              <w:spacing w:after="0"/>
              <w:rPr>
                <w:sz w:val="20"/>
                <w:szCs w:val="20"/>
                <w:color w:val="auto"/>
              </w:rPr>
            </w:pPr>
            <w:r>
              <w:rPr>
                <w:rFonts w:ascii="Arial" w:cs="Arial" w:eastAsia="Arial" w:hAnsi="Arial"/>
                <w:sz w:val="18"/>
                <w:szCs w:val="18"/>
                <w:color w:val="auto"/>
              </w:rPr>
              <w:t>5,302,680</w:t>
            </w:r>
          </w:p>
        </w:tc>
        <w:tc>
          <w:tcPr>
            <w:tcW w:w="3020" w:type="dxa"/>
            <w:vAlign w:val="bottom"/>
          </w:tcPr>
          <w:p>
            <w:pPr>
              <w:jc w:val="right"/>
              <w:ind w:right="1050"/>
              <w:spacing w:after="0"/>
              <w:rPr>
                <w:sz w:val="20"/>
                <w:szCs w:val="20"/>
                <w:color w:val="auto"/>
              </w:rPr>
            </w:pPr>
            <w:r>
              <w:rPr>
                <w:rFonts w:ascii="Arial" w:cs="Arial" w:eastAsia="Arial" w:hAnsi="Arial"/>
                <w:sz w:val="18"/>
                <w:szCs w:val="18"/>
                <w:color w:val="auto"/>
              </w:rPr>
              <w:t>362,648,126</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1,802,307</w:t>
            </w: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20,702,480</w:t>
            </w:r>
          </w:p>
        </w:tc>
      </w:tr>
    </w:tbl>
    <w:p>
      <w:pPr>
        <w:spacing w:after="0" w:line="214"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shareholder proposal to conduct and publicly release the results of an independent investigation into the effectiveness of sexual harassment policies, as described in the proxy statement, was not approved.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6"/>
              </w:rPr>
              <w:t>For</w:t>
            </w:r>
          </w:p>
        </w:tc>
        <w:tc>
          <w:tcPr>
            <w:tcW w:w="3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Against</w:t>
            </w:r>
          </w:p>
        </w:tc>
        <w:tc>
          <w:tcPr>
            <w:tcW w:w="26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0"/>
              </w:rPr>
              <w:t>Abstain</w:t>
            </w:r>
          </w:p>
        </w:tc>
        <w:tc>
          <w:tcPr>
            <w:tcW w:w="2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Broker Non-Votes</w:t>
            </w:r>
          </w:p>
        </w:tc>
      </w:tr>
      <w:tr>
        <w:trPr>
          <w:trHeight w:val="224"/>
        </w:trPr>
        <w:tc>
          <w:tcPr>
            <w:tcW w:w="2560" w:type="dxa"/>
            <w:vAlign w:val="bottom"/>
          </w:tcPr>
          <w:p>
            <w:pPr>
              <w:jc w:val="right"/>
              <w:ind w:right="850"/>
              <w:spacing w:after="0"/>
              <w:rPr>
                <w:sz w:val="20"/>
                <w:szCs w:val="20"/>
                <w:color w:val="auto"/>
              </w:rPr>
            </w:pPr>
            <w:r>
              <w:rPr>
                <w:rFonts w:ascii="Arial" w:cs="Arial" w:eastAsia="Arial" w:hAnsi="Arial"/>
                <w:sz w:val="18"/>
                <w:szCs w:val="18"/>
                <w:color w:val="auto"/>
              </w:rPr>
              <w:t>82,035,818</w:t>
            </w:r>
          </w:p>
        </w:tc>
        <w:tc>
          <w:tcPr>
            <w:tcW w:w="3000" w:type="dxa"/>
            <w:vAlign w:val="bottom"/>
          </w:tcPr>
          <w:p>
            <w:pPr>
              <w:jc w:val="right"/>
              <w:ind w:right="1070"/>
              <w:spacing w:after="0"/>
              <w:rPr>
                <w:sz w:val="20"/>
                <w:szCs w:val="20"/>
                <w:color w:val="auto"/>
              </w:rPr>
            </w:pPr>
            <w:r>
              <w:rPr>
                <w:rFonts w:ascii="Arial" w:cs="Arial" w:eastAsia="Arial" w:hAnsi="Arial"/>
                <w:sz w:val="18"/>
                <w:szCs w:val="18"/>
                <w:color w:val="auto"/>
              </w:rPr>
              <w:t>286,112,046</w:t>
            </w:r>
          </w:p>
        </w:tc>
        <w:tc>
          <w:tcPr>
            <w:tcW w:w="2640" w:type="dxa"/>
            <w:vAlign w:val="bottom"/>
          </w:tcPr>
          <w:p>
            <w:pPr>
              <w:jc w:val="right"/>
              <w:ind w:right="670"/>
              <w:spacing w:after="0"/>
              <w:rPr>
                <w:sz w:val="20"/>
                <w:szCs w:val="20"/>
                <w:color w:val="auto"/>
              </w:rPr>
            </w:pPr>
            <w:r>
              <w:rPr>
                <w:rFonts w:ascii="Arial" w:cs="Arial" w:eastAsia="Arial" w:hAnsi="Arial"/>
                <w:sz w:val="18"/>
                <w:szCs w:val="18"/>
                <w:color w:val="auto"/>
              </w:rPr>
              <w:t>1,605,249</w:t>
            </w: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20,702,480</w:t>
            </w:r>
          </w:p>
        </w:tc>
      </w:tr>
    </w:tbl>
    <w:p>
      <w:pPr>
        <w:spacing w:after="0" w:line="214" w:lineRule="exact"/>
        <w:rPr>
          <w:sz w:val="20"/>
          <w:szCs w:val="20"/>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shareholder proposal to report on how retirement plan options align with company climate goals, as described in the proxy statement, was not approved.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6"/>
              </w:rPr>
              <w:t>For</w:t>
            </w:r>
          </w:p>
        </w:tc>
        <w:tc>
          <w:tcPr>
            <w:tcW w:w="2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Against</w:t>
            </w:r>
          </w:p>
        </w:tc>
        <w:tc>
          <w:tcPr>
            <w:tcW w:w="26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0"/>
              </w:rPr>
              <w:t>Abstain</w:t>
            </w:r>
          </w:p>
        </w:tc>
        <w:tc>
          <w:tcPr>
            <w:tcW w:w="2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Broker Non-Votes</w:t>
            </w:r>
          </w:p>
        </w:tc>
        <w:tc>
          <w:tcPr>
            <w:tcW w:w="3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2560" w:type="dxa"/>
            <w:vAlign w:val="bottom"/>
          </w:tcPr>
          <w:p>
            <w:pPr>
              <w:jc w:val="right"/>
              <w:ind w:right="850"/>
              <w:spacing w:after="0"/>
              <w:rPr>
                <w:sz w:val="20"/>
                <w:szCs w:val="20"/>
                <w:color w:val="auto"/>
              </w:rPr>
            </w:pPr>
            <w:r>
              <w:rPr>
                <w:rFonts w:ascii="Arial" w:cs="Arial" w:eastAsia="Arial" w:hAnsi="Arial"/>
                <w:sz w:val="18"/>
                <w:szCs w:val="18"/>
                <w:color w:val="auto"/>
              </w:rPr>
              <w:t>21,345,467</w:t>
            </w:r>
          </w:p>
        </w:tc>
        <w:tc>
          <w:tcPr>
            <w:tcW w:w="2980" w:type="dxa"/>
            <w:vAlign w:val="bottom"/>
          </w:tcPr>
          <w:p>
            <w:pPr>
              <w:jc w:val="right"/>
              <w:ind w:right="1030"/>
              <w:spacing w:after="0"/>
              <w:rPr>
                <w:sz w:val="20"/>
                <w:szCs w:val="20"/>
                <w:color w:val="auto"/>
              </w:rPr>
            </w:pPr>
            <w:r>
              <w:rPr>
                <w:rFonts w:ascii="Arial" w:cs="Arial" w:eastAsia="Arial" w:hAnsi="Arial"/>
                <w:sz w:val="18"/>
                <w:szCs w:val="18"/>
                <w:color w:val="auto"/>
              </w:rPr>
              <w:t>337,350,699</w:t>
            </w:r>
          </w:p>
        </w:tc>
        <w:tc>
          <w:tcPr>
            <w:tcW w:w="2680" w:type="dxa"/>
            <w:vAlign w:val="bottom"/>
          </w:tcPr>
          <w:p>
            <w:pPr>
              <w:jc w:val="right"/>
              <w:ind w:right="650"/>
              <w:spacing w:after="0"/>
              <w:rPr>
                <w:sz w:val="20"/>
                <w:szCs w:val="20"/>
                <w:color w:val="auto"/>
              </w:rPr>
            </w:pPr>
            <w:r>
              <w:rPr>
                <w:rFonts w:ascii="Arial" w:cs="Arial" w:eastAsia="Arial" w:hAnsi="Arial"/>
                <w:sz w:val="18"/>
                <w:szCs w:val="18"/>
                <w:color w:val="auto"/>
              </w:rPr>
              <w:t>11,056,947</w:t>
            </w:r>
          </w:p>
        </w:tc>
        <w:tc>
          <w:tcPr>
            <w:tcW w:w="2320" w:type="dxa"/>
            <w:vAlign w:val="bottom"/>
          </w:tcPr>
          <w:p>
            <w:pPr>
              <w:jc w:val="right"/>
              <w:ind w:right="190"/>
              <w:spacing w:after="0"/>
              <w:rPr>
                <w:sz w:val="20"/>
                <w:szCs w:val="20"/>
                <w:color w:val="auto"/>
              </w:rPr>
            </w:pPr>
            <w:r>
              <w:rPr>
                <w:rFonts w:ascii="Arial" w:cs="Arial" w:eastAsia="Arial" w:hAnsi="Arial"/>
                <w:sz w:val="18"/>
                <w:szCs w:val="18"/>
                <w:color w:val="auto"/>
              </w:rPr>
              <w:t>20,702,480</w:t>
            </w:r>
          </w:p>
        </w:tc>
        <w:tc>
          <w:tcPr>
            <w:tcW w:w="360" w:type="dxa"/>
            <w:vAlign w:val="bottom"/>
          </w:tcPr>
          <w:p>
            <w:pPr>
              <w:spacing w:after="0"/>
              <w:rPr>
                <w:sz w:val="19"/>
                <w:szCs w:val="19"/>
                <w:color w:val="auto"/>
              </w:rPr>
            </w:pPr>
          </w:p>
        </w:tc>
      </w:tr>
      <w:tr>
        <w:trPr>
          <w:trHeight w:val="296"/>
        </w:trPr>
        <w:tc>
          <w:tcPr>
            <w:tcW w:w="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June 3, 2022</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Reid</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Thomas J. Reid</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Legal Officer and Secretary</w:t>
            </w:r>
          </w:p>
        </w:tc>
      </w:tr>
      <w:tr>
        <w:trPr>
          <w:trHeight w:val="310"/>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7"/>
    </w:lvl>
  </w:abstractNum>
  <w:abstractNum w:abstractNumId="4">
    <w:nsid w:val="46E87CCD"/>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2022-06-03T15:10:45Z</dcterms:created>
  <dcterms:modified xsi:type="dcterms:W3CDTF">2022-06-03T15:10:45Z</dcterms:modified>
</cp:coreProperties>
</file>