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November 29,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tbl>
      <w:tblPr>
        <w:tblLayout w:type="fixed"/>
        <w:tblInd w:w="800" w:type="dxa"/>
        <w:tblCellMar>
          <w:top w:w="0" w:type="dxa"/>
          <w:left w:w="0" w:type="dxa"/>
          <w:bottom w:w="0" w:type="dxa"/>
          <w:right w:w="0" w:type="dxa"/>
        </w:tblCellMar>
      </w:tblPr>
      <w:tr>
        <w:trPr>
          <w:trHeight w:val="529"/>
        </w:trPr>
        <w:tc>
          <w:tcPr>
            <w:tcW w:w="2600" w:type="dxa"/>
            <w:vAlign w:val="bottom"/>
          </w:tcPr>
          <w:p>
            <w:pPr>
              <w:spacing w:after="0"/>
              <w:rPr>
                <w:sz w:val="24"/>
                <w:szCs w:val="24"/>
                <w:color w:val="auto"/>
              </w:rPr>
            </w:pPr>
          </w:p>
        </w:tc>
        <w:tc>
          <w:tcPr>
            <w:tcW w:w="6720" w:type="dxa"/>
            <w:vAlign w:val="bottom"/>
            <w:gridSpan w:val="3"/>
          </w:tcPr>
          <w:p>
            <w:pPr>
              <w:jc w:val="center"/>
              <w:ind w:right="2032"/>
              <w:spacing w:after="0"/>
              <w:rPr>
                <w:sz w:val="20"/>
                <w:szCs w:val="20"/>
                <w:color w:val="auto"/>
              </w:rPr>
            </w:pPr>
            <w:r>
              <w:rPr>
                <w:rFonts w:ascii="Arial" w:cs="Arial" w:eastAsia="Arial" w:hAnsi="Arial"/>
                <w:sz w:val="43"/>
                <w:szCs w:val="43"/>
                <w:b w:val="1"/>
                <w:bCs w:val="1"/>
                <w:color w:val="auto"/>
                <w:w w:val="91"/>
              </w:rPr>
              <w:t>Comcast Corporation</w:t>
            </w:r>
          </w:p>
        </w:tc>
      </w:tr>
      <w:tr>
        <w:trPr>
          <w:trHeight w:val="228"/>
        </w:trPr>
        <w:tc>
          <w:tcPr>
            <w:tcW w:w="2600" w:type="dxa"/>
            <w:vAlign w:val="bottom"/>
          </w:tcPr>
          <w:p>
            <w:pPr>
              <w:spacing w:after="0"/>
              <w:rPr>
                <w:sz w:val="19"/>
                <w:szCs w:val="19"/>
                <w:color w:val="auto"/>
              </w:rPr>
            </w:pPr>
          </w:p>
        </w:tc>
        <w:tc>
          <w:tcPr>
            <w:tcW w:w="6720" w:type="dxa"/>
            <w:vAlign w:val="bottom"/>
            <w:gridSpan w:val="3"/>
          </w:tcPr>
          <w:p>
            <w:pPr>
              <w:jc w:val="center"/>
              <w:ind w:right="2032"/>
              <w:spacing w:after="0"/>
              <w:rPr>
                <w:sz w:val="20"/>
                <w:szCs w:val="20"/>
                <w:color w:val="auto"/>
              </w:rPr>
            </w:pPr>
            <w:r>
              <w:rPr>
                <w:rFonts w:ascii="Arial" w:cs="Arial" w:eastAsia="Arial" w:hAnsi="Arial"/>
                <w:sz w:val="18"/>
                <w:szCs w:val="18"/>
                <w:b w:val="1"/>
                <w:bCs w:val="1"/>
                <w:color w:val="auto"/>
                <w:w w:val="88"/>
              </w:rPr>
              <w:t>(Exact Name of Registrant as Specified in Charter)</w:t>
            </w:r>
          </w:p>
        </w:tc>
      </w:tr>
      <w:tr>
        <w:trPr>
          <w:trHeight w:val="178"/>
        </w:trPr>
        <w:tc>
          <w:tcPr>
            <w:tcW w:w="2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3220" w:type="dxa"/>
            <w:vAlign w:val="bottom"/>
          </w:tcPr>
          <w:p>
            <w:pPr>
              <w:spacing w:after="0"/>
              <w:rPr>
                <w:sz w:val="15"/>
                <w:szCs w:val="15"/>
                <w:color w:val="auto"/>
              </w:rPr>
            </w:pPr>
          </w:p>
        </w:tc>
      </w:tr>
      <w:tr>
        <w:trPr>
          <w:trHeight w:val="278"/>
        </w:trPr>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gridSpan w:val="2"/>
          </w:tcPr>
          <w:p>
            <w:pPr>
              <w:jc w:val="center"/>
              <w:ind w:right="3132"/>
              <w:spacing w:after="0"/>
              <w:rPr>
                <w:sz w:val="20"/>
                <w:szCs w:val="20"/>
                <w:color w:val="auto"/>
              </w:rPr>
            </w:pPr>
            <w:r>
              <w:rPr>
                <w:rFonts w:ascii="Arial" w:cs="Arial" w:eastAsia="Arial" w:hAnsi="Arial"/>
                <w:sz w:val="18"/>
                <w:szCs w:val="18"/>
                <w:b w:val="1"/>
                <w:bCs w:val="1"/>
                <w:color w:val="auto"/>
                <w:w w:val="86"/>
              </w:rPr>
              <w:t>Pennsylvania</w:t>
            </w:r>
          </w:p>
        </w:tc>
      </w:tr>
      <w:tr>
        <w:trPr>
          <w:trHeight w:val="149"/>
        </w:trPr>
        <w:tc>
          <w:tcPr>
            <w:tcW w:w="2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0" w:type="dxa"/>
            <w:vAlign w:val="bottom"/>
            <w:gridSpan w:val="2"/>
          </w:tcPr>
          <w:p>
            <w:pPr>
              <w:jc w:val="center"/>
              <w:ind w:right="315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r>
      <w:tr>
        <w:trPr>
          <w:trHeight w:val="174"/>
        </w:trPr>
        <w:tc>
          <w:tcPr>
            <w:tcW w:w="2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0" w:type="dxa"/>
            <w:vAlign w:val="bottom"/>
            <w:gridSpan w:val="2"/>
          </w:tcPr>
          <w:p>
            <w:pPr>
              <w:jc w:val="center"/>
              <w:ind w:right="3152"/>
              <w:spacing w:after="0"/>
              <w:rPr>
                <w:sz w:val="20"/>
                <w:szCs w:val="20"/>
                <w:color w:val="auto"/>
              </w:rPr>
            </w:pPr>
            <w:r>
              <w:rPr>
                <w:rFonts w:ascii="Arial" w:cs="Arial" w:eastAsia="Arial" w:hAnsi="Arial"/>
                <w:sz w:val="14"/>
                <w:szCs w:val="14"/>
                <w:b w:val="1"/>
                <w:bCs w:val="1"/>
                <w:color w:val="auto"/>
                <w:w w:val="87"/>
              </w:rPr>
              <w:t>of incorporation)</w:t>
            </w:r>
          </w:p>
        </w:tc>
      </w:tr>
      <w:tr>
        <w:trPr>
          <w:trHeight w:val="393"/>
        </w:trPr>
        <w:tc>
          <w:tcPr>
            <w:tcW w:w="2600" w:type="dxa"/>
            <w:vAlign w:val="bottom"/>
          </w:tcPr>
          <w:p>
            <w:pPr>
              <w:jc w:val="center"/>
              <w:ind w:right="242"/>
              <w:spacing w:after="0"/>
              <w:rPr>
                <w:sz w:val="20"/>
                <w:szCs w:val="20"/>
                <w:color w:val="auto"/>
              </w:rPr>
            </w:pPr>
            <w:r>
              <w:rPr>
                <w:rFonts w:ascii="Arial" w:cs="Arial" w:eastAsia="Arial" w:hAnsi="Arial"/>
                <w:sz w:val="18"/>
                <w:szCs w:val="18"/>
                <w:b w:val="1"/>
                <w:bCs w:val="1"/>
                <w:color w:val="auto"/>
                <w:w w:val="88"/>
              </w:rPr>
              <w:t>001-32871</w:t>
            </w:r>
          </w:p>
        </w:tc>
        <w:tc>
          <w:tcPr>
            <w:tcW w:w="6720" w:type="dxa"/>
            <w:vAlign w:val="bottom"/>
            <w:gridSpan w:val="3"/>
          </w:tcPr>
          <w:p>
            <w:pPr>
              <w:jc w:val="center"/>
              <w:ind w:left="5560"/>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260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85"/>
              </w:rPr>
              <w:t>(Commission</w:t>
            </w: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220" w:type="dxa"/>
            <w:vAlign w:val="bottom"/>
          </w:tcPr>
          <w:p>
            <w:pPr>
              <w:jc w:val="center"/>
              <w:ind w:left="211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600" w:type="dxa"/>
            <w:vAlign w:val="bottom"/>
          </w:tcPr>
          <w:p>
            <w:pPr>
              <w:jc w:val="center"/>
              <w:ind w:right="222"/>
              <w:spacing w:after="0"/>
              <w:rPr>
                <w:sz w:val="20"/>
                <w:szCs w:val="20"/>
                <w:color w:val="auto"/>
              </w:rPr>
            </w:pPr>
            <w:r>
              <w:rPr>
                <w:rFonts w:ascii="Arial" w:cs="Arial" w:eastAsia="Arial" w:hAnsi="Arial"/>
                <w:sz w:val="14"/>
                <w:szCs w:val="14"/>
                <w:b w:val="1"/>
                <w:bCs w:val="1"/>
                <w:color w:val="auto"/>
                <w:w w:val="91"/>
              </w:rPr>
              <w:t>File Number)</w:t>
            </w:r>
          </w:p>
        </w:tc>
        <w:tc>
          <w:tcPr>
            <w:tcW w:w="1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220" w:type="dxa"/>
            <w:vAlign w:val="bottom"/>
          </w:tcPr>
          <w:p>
            <w:pPr>
              <w:jc w:val="center"/>
              <w:ind w:left="2092"/>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600" w:type="dxa"/>
            <w:vAlign w:val="bottom"/>
          </w:tcPr>
          <w:p>
            <w:pPr>
              <w:jc w:val="center"/>
              <w:ind w:right="222"/>
              <w:spacing w:after="0"/>
              <w:rPr>
                <w:sz w:val="20"/>
                <w:szCs w:val="20"/>
                <w:color w:val="auto"/>
              </w:rPr>
            </w:pPr>
            <w:r>
              <w:rPr>
                <w:rFonts w:ascii="Arial" w:cs="Arial" w:eastAsia="Arial" w:hAnsi="Arial"/>
                <w:sz w:val="18"/>
                <w:szCs w:val="18"/>
                <w:b w:val="1"/>
                <w:bCs w:val="1"/>
                <w:color w:val="auto"/>
                <w:w w:val="88"/>
              </w:rPr>
              <w:t>One Comcast Center</w:t>
            </w:r>
          </w:p>
        </w:tc>
        <w:tc>
          <w:tcPr>
            <w:tcW w:w="1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31"/>
        </w:trPr>
        <w:tc>
          <w:tcPr>
            <w:tcW w:w="2600" w:type="dxa"/>
            <w:vAlign w:val="bottom"/>
          </w:tcPr>
          <w:p>
            <w:pPr>
              <w:jc w:val="center"/>
              <w:ind w:right="222"/>
              <w:spacing w:after="0"/>
              <w:rPr>
                <w:sz w:val="20"/>
                <w:szCs w:val="20"/>
                <w:color w:val="auto"/>
              </w:rPr>
            </w:pPr>
            <w:r>
              <w:rPr>
                <w:rFonts w:ascii="Arial" w:cs="Arial" w:eastAsia="Arial" w:hAnsi="Arial"/>
                <w:sz w:val="18"/>
                <w:szCs w:val="18"/>
                <w:b w:val="1"/>
                <w:bCs w:val="1"/>
                <w:color w:val="auto"/>
                <w:w w:val="89"/>
              </w:rPr>
              <w:t>Philadelphia, PA</w:t>
            </w:r>
          </w:p>
        </w:tc>
        <w:tc>
          <w:tcPr>
            <w:tcW w:w="6720" w:type="dxa"/>
            <w:vAlign w:val="bottom"/>
            <w:gridSpan w:val="3"/>
          </w:tcPr>
          <w:p>
            <w:pPr>
              <w:jc w:val="center"/>
              <w:ind w:left="5560"/>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600" w:type="dxa"/>
            <w:vAlign w:val="bottom"/>
          </w:tcPr>
          <w:p>
            <w:pPr>
              <w:jc w:val="center"/>
              <w:ind w:right="2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220" w:type="dxa"/>
            <w:vAlign w:val="bottom"/>
          </w:tcPr>
          <w:p>
            <w:pPr>
              <w:jc w:val="center"/>
              <w:ind w:left="209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December 6, 2012, Comcast Corporation (“Comcast”) expects to consummate the issuance and sale of $250,000,000 principal amount of its 5.00% Notes due 2061 (the “Notes”), pursuant to an underwriting agreement dated November 29, 2012 among Comcast, the Cable Guarantors (defined below) and Merrill Lynch, Pierce, Fenner &amp; Smith Incorporated, Morgan Stanley &amp; Co. LLC, UBS Securities LLC and Wells Fargo Securities, LLC, as representatives of the several underwriters named therein. The Notes will be issued pursuant to an Indenture dated as of January 7, 2003 (the “Indenture”) among Comcast, the cable guarantors named therein and The Bank of New York Mellon (formerly known as The Bank of New York), as trustee (the “Trustee”), as supplemented by the First Supplemental Indenture dated as of March 25, 2003 by and among Comcast, the cable guarantors named therein and the Trustee, and as further supplemented by the Second Supplemental Indenture dated as of August 31, 2009 by and among Comcast, the Cable Guarantors and the Trustee, and an officers’ certificate issued pursuant thereto. The Notes are guaranteed on an unsecured and unsubordinated basis by Comcast Cable Communications, LLC, Comcast Cable Holdings, LLC, Comcast MO Group, Inc. and Comcast MO of Delaware, LLC (the “Cable Guarantors”).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Notes are being offered pursuant to Comcast’s Registration Statement on Form S-3 filed on February 24, 2012 (Reg. No. 333-179678), including the prospectus contained therein, and a related prospectus supplement dated November 30, 2012.</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material terms and conditions of the Notes are set forth in the Form of Officers’ Certificate filed herewith as Exhibit 4.1 and incorporated by reference herein and in the Indenture filed as Exhibit 4.4 and the First Supplemental Indenture filed as Exhibit 4.5 to Comcast’s Annual Report on Form 10-K for the year ended December 31, 2008 and the Second Supplemental Indenture filed as Exhibit 4.1 to Comcast’s Current Report on Form 8-K filed on September 2, 2009.</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9.01(d)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980" w:type="dxa"/>
            <w:vAlign w:val="bottom"/>
          </w:tcPr>
          <w:p>
            <w:pPr>
              <w:spacing w:after="0"/>
              <w:rPr>
                <w:sz w:val="14"/>
                <w:szCs w:val="14"/>
                <w:color w:val="auto"/>
              </w:rPr>
            </w:pPr>
          </w:p>
        </w:tc>
      </w:tr>
      <w:tr>
        <w:trPr>
          <w:trHeight w:val="316"/>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3"/>
              </w:rPr>
              <w:t>Form of Officers’ Certificate setting forth the terms of the Notes</w:t>
            </w: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7"/>
              </w:rPr>
              <w:t>Opinion of Davis Polk &amp; Wardwell LLP regarding tax matters</w:t>
            </w: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Consent of Arthur R. Block, Esq. (contained in Exhibit 5.1)</w:t>
            </w: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0"/>
              </w:rPr>
              <w:t>Consent of Davis Polk &amp; Wardwell LLP (contained in Exhibit 5.2)</w:t>
            </w: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23.3</w:t>
            </w:r>
          </w:p>
        </w:tc>
        <w:tc>
          <w:tcPr>
            <w:tcW w:w="5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0"/>
              </w:rPr>
              <w:t>Consent of Davis Polk &amp; Wardwell LLP (contained in Exhibit 8.1)</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40" w:val="left"/>
          <w:tab w:leader="none" w:pos="5560" w:val="left"/>
        </w:tabs>
        <w:rPr>
          <w:sz w:val="20"/>
          <w:szCs w:val="20"/>
          <w:color w:val="auto"/>
        </w:rPr>
      </w:pPr>
      <w:r>
        <w:rPr>
          <w:rFonts w:ascii="Arial" w:cs="Arial" w:eastAsia="Arial" w:hAnsi="Arial"/>
          <w:sz w:val="18"/>
          <w:szCs w:val="18"/>
          <w:color w:val="auto"/>
        </w:rPr>
        <w:t>Date:</w:t>
        <w:tab/>
        <w:t>December 3, 2012</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10795</wp:posOffset>
            </wp:positionV>
            <wp:extent cx="34817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Senior Vice President, 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6, 2012</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Pursuant to Section 2.03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and the Trustee, and guaranteed on an unsecured and unsubordinated basis by Comcast Cable Communications, LLC, Comcast Cable Holdings, LLC, Comcast MO Group, Inc., and Comcast MO of Delaware, LLC, the undersigned officers of the Company do hereby certify, in connection with the issuance of the Company’s $250,000,000 aggregate principal amount of 5.00% Notes Due 2061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ectPr>
          <w:pgSz w:w="11900" w:h="16838" w:orient="portrait"/>
          <w:cols w:equalWidth="0" w:num="1">
            <w:col w:w="11420"/>
          </w:cols>
          <w:pgMar w:left="240" w:top="125" w:right="2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5.00% Notes Due 2061</w:t>
      </w:r>
    </w:p>
    <w:p>
      <w:pPr>
        <w:spacing w:after="0" w:line="151" w:lineRule="exact"/>
        <w:rPr>
          <w:sz w:val="20"/>
          <w:szCs w:val="20"/>
          <w:color w:val="auto"/>
        </w:rPr>
      </w:pPr>
    </w:p>
    <w:p>
      <w:pPr>
        <w:sectPr>
          <w:pgSz w:w="11900" w:h="16838" w:orient="portrait"/>
          <w:cols w:equalWidth="0" w:num="2">
            <w:col w:w="3280" w:space="720"/>
            <w:col w:w="742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$250,000,000 (or $287,500,000 if the underwriters exercise their over-allotment option in full)</w:t>
      </w:r>
    </w:p>
    <w:p>
      <w:pPr>
        <w:spacing w:after="0" w:line="140" w:lineRule="exact"/>
        <w:rPr>
          <w:sz w:val="20"/>
          <w:szCs w:val="20"/>
          <w:color w:val="auto"/>
        </w:rPr>
      </w:pPr>
    </w:p>
    <w:p>
      <w:pPr>
        <w:sectPr>
          <w:pgSz w:w="11900" w:h="16838" w:orient="portrait"/>
          <w:cols w:equalWidth="0" w:num="2">
            <w:col w:w="3280" w:space="720"/>
            <w:col w:w="742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15, 2061</w:t>
      </w:r>
    </w:p>
    <w:p>
      <w:pPr>
        <w:spacing w:after="0" w:line="151" w:lineRule="exact"/>
        <w:rPr>
          <w:sz w:val="20"/>
          <w:szCs w:val="20"/>
          <w:color w:val="auto"/>
        </w:rPr>
      </w:pPr>
    </w:p>
    <w:p>
      <w:pPr>
        <w:sectPr>
          <w:pgSz w:w="11900" w:h="16838" w:orient="portrait"/>
          <w:cols w:equalWidth="0" w:num="2">
            <w:col w:w="3280" w:space="720"/>
            <w:col w:w="742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5.00%</w:t>
      </w:r>
    </w:p>
    <w:p>
      <w:pPr>
        <w:spacing w:after="0" w:line="140" w:lineRule="exact"/>
        <w:rPr>
          <w:sz w:val="20"/>
          <w:szCs w:val="20"/>
          <w:color w:val="auto"/>
        </w:rPr>
      </w:pPr>
    </w:p>
    <w:p>
      <w:pPr>
        <w:sectPr>
          <w:pgSz w:w="11900" w:h="16838" w:orient="portrait"/>
          <w:cols w:equalWidth="0" w:num="2">
            <w:col w:w="3280" w:space="720"/>
            <w:col w:w="742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Redemption:</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Arial" w:cs="Arial" w:eastAsia="Arial" w:hAnsi="Arial"/>
          <w:sz w:val="18"/>
          <w:szCs w:val="18"/>
          <w:color w:val="auto"/>
        </w:rPr>
        <w:t>The Company may at its option redeem the Notes in whole or in part, at any time or from time to time on or after December 15, 2017 and prior to their maturity, on at least 30 days, but not more than 60 days, prior notice mailed to the registered address of each holder of the Notes, at a redemption price equal to 100% of the principal amount of the redeemed Notes</w:t>
      </w:r>
    </w:p>
    <w:p>
      <w:pPr>
        <w:sectPr>
          <w:pgSz w:w="11900" w:h="16838" w:orient="portrait"/>
          <w:cols w:equalWidth="0" w:num="2">
            <w:col w:w="3280" w:space="720"/>
            <w:col w:w="7420"/>
          </w:cols>
          <w:pgMar w:left="240" w:top="12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3"/>
              </w:rPr>
              <w:t>plus accrued and unpaid interest thereon to the date of redemption, and as further described in the</w:t>
            </w:r>
          </w:p>
        </w:tc>
      </w:tr>
      <w:tr>
        <w:trPr>
          <w:trHeight w:val="222"/>
        </w:trPr>
        <w:tc>
          <w:tcPr>
            <w:tcW w:w="2780" w:type="dxa"/>
            <w:vAlign w:val="bottom"/>
          </w:tcPr>
          <w:p>
            <w:pPr>
              <w:spacing w:after="0"/>
              <w:rPr>
                <w:sz w:val="19"/>
                <w:szCs w:val="19"/>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rPr>
              <w:t>Prospectus Supplement dated November 30, 2012.</w:t>
            </w:r>
          </w:p>
        </w:tc>
      </w:tr>
      <w:tr>
        <w:trPr>
          <w:trHeight w:val="318"/>
        </w:trPr>
        <w:tc>
          <w:tcPr>
            <w:tcW w:w="27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3"/>
              </w:rPr>
              <w:t>The Notes need not be issued at the same time and the series may be reopened for issuance of an</w:t>
            </w:r>
          </w:p>
        </w:tc>
      </w:tr>
      <w:tr>
        <w:trPr>
          <w:trHeight w:val="216"/>
        </w:trPr>
        <w:tc>
          <w:tcPr>
            <w:tcW w:w="278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1"/>
              </w:rPr>
              <w:t>unlimited principal amount of additional Notes under this series. Additional Notes of this series will be</w:t>
            </w:r>
          </w:p>
        </w:tc>
      </w:tr>
      <w:tr>
        <w:trPr>
          <w:trHeight w:val="216"/>
        </w:trPr>
        <w:tc>
          <w:tcPr>
            <w:tcW w:w="278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4"/>
              </w:rPr>
              <w:t>consolidated with, and form a single series with, Notes then outstanding, including for purposes of</w:t>
            </w:r>
          </w:p>
        </w:tc>
      </w:tr>
      <w:tr>
        <w:trPr>
          <w:trHeight w:val="216"/>
        </w:trPr>
        <w:tc>
          <w:tcPr>
            <w:tcW w:w="2780" w:type="dxa"/>
            <w:vAlign w:val="bottom"/>
          </w:tcPr>
          <w:p>
            <w:pPr>
              <w:spacing w:after="0"/>
              <w:rPr>
                <w:sz w:val="18"/>
                <w:szCs w:val="18"/>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87"/>
              </w:rPr>
              <w:t>determining whether the required percentage of the holders of record has given approval or consent to an</w:t>
            </w:r>
          </w:p>
        </w:tc>
      </w:tr>
      <w:tr>
        <w:trPr>
          <w:trHeight w:val="222"/>
        </w:trPr>
        <w:tc>
          <w:tcPr>
            <w:tcW w:w="2780" w:type="dxa"/>
            <w:vAlign w:val="bottom"/>
          </w:tcPr>
          <w:p>
            <w:pPr>
              <w:spacing w:after="0"/>
              <w:rPr>
                <w:sz w:val="19"/>
                <w:szCs w:val="19"/>
                <w:color w:val="auto"/>
              </w:rPr>
            </w:pP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1"/>
              </w:rPr>
              <w:t>amendment or waiver or joined in directing the Trustee to take certain actions on behalf of all holders.</w:t>
            </w:r>
          </w:p>
        </w:tc>
      </w:tr>
      <w:tr>
        <w:trPr>
          <w:trHeight w:val="324"/>
        </w:trPr>
        <w:tc>
          <w:tcPr>
            <w:tcW w:w="27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rPr>
              <w:t>None</w:t>
            </w:r>
          </w:p>
        </w:tc>
      </w:tr>
      <w:tr>
        <w:trPr>
          <w:trHeight w:val="324"/>
        </w:trPr>
        <w:tc>
          <w:tcPr>
            <w:tcW w:w="27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rPr>
              <w:t>None</w:t>
            </w:r>
          </w:p>
        </w:tc>
      </w:tr>
      <w:tr>
        <w:trPr>
          <w:trHeight w:val="312"/>
        </w:trPr>
        <w:tc>
          <w:tcPr>
            <w:tcW w:w="27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600" w:type="dxa"/>
            <w:vAlign w:val="bottom"/>
            <w:gridSpan w:val="3"/>
          </w:tcPr>
          <w:p>
            <w:pPr>
              <w:ind w:left="1220"/>
              <w:spacing w:after="0"/>
              <w:rPr>
                <w:sz w:val="20"/>
                <w:szCs w:val="20"/>
                <w:color w:val="auto"/>
              </w:rPr>
            </w:pPr>
            <w:r>
              <w:rPr>
                <w:rFonts w:ascii="Arial" w:cs="Arial" w:eastAsia="Arial" w:hAnsi="Arial"/>
                <w:sz w:val="18"/>
                <w:szCs w:val="18"/>
                <w:color w:val="auto"/>
                <w:w w:val="92"/>
              </w:rPr>
              <w:t>The terms of the Notes shall include such other terms as are set forth in the Form of Notes attached</w:t>
            </w:r>
          </w:p>
        </w:tc>
      </w:tr>
      <w:tr>
        <w:trPr>
          <w:trHeight w:val="190"/>
        </w:trPr>
        <w:tc>
          <w:tcPr>
            <w:tcW w:w="2780" w:type="dxa"/>
            <w:vAlign w:val="bottom"/>
          </w:tcPr>
          <w:p>
            <w:pPr>
              <w:spacing w:after="0"/>
              <w:rPr>
                <w:sz w:val="16"/>
                <w:szCs w:val="16"/>
                <w:color w:val="auto"/>
              </w:rPr>
            </w:pPr>
          </w:p>
        </w:tc>
        <w:tc>
          <w:tcPr>
            <w:tcW w:w="8600" w:type="dxa"/>
            <w:vAlign w:val="bottom"/>
            <w:gridSpan w:val="3"/>
          </w:tcPr>
          <w:p>
            <w:pPr>
              <w:ind w:left="1220"/>
              <w:spacing w:after="0" w:line="190"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firstLine="456"/>
        <w:spacing w:after="0" w:line="294" w:lineRule="auto"/>
        <w:rPr>
          <w:sz w:val="20"/>
          <w:szCs w:val="20"/>
          <w:color w:val="auto"/>
        </w:rPr>
      </w:pPr>
      <w:r>
        <w:rPr>
          <w:rFonts w:ascii="Arial" w:cs="Arial" w:eastAsia="Arial" w:hAnsi="Arial"/>
          <w:sz w:val="16"/>
          <w:szCs w:val="16"/>
          <w:color w:val="auto"/>
        </w:rPr>
        <w:t>Each such officer has read and understands the provisions of the Indenture, as supplemented, and the definitions relating thereto. The statements made in this Officers’ Certificate are based upon the examination of the provisions of the Indenture, as supplemented, and upon the relevant books and records of the Company. In such officer’s opinion, he has made such examination or investigation as is necessary to enable such officer to express an informed opinion as to whether or not the covenants and conditions of such Indenture, as supplemented, relating to the issuance and authentication of the Notes have been complied with. In such officer’s opinion, such covenants and conditions have been complied with.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88" w:right="27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5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27940</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 Treasurer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27940</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0"/>
          </w:cols>
          <w:pgMar w:left="700" w:top="280" w:right="7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 Note Due 2061</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606</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US20030N606</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380" w:space="720"/>
            <w:col w:w="17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corporation), for value received promises to</w:t>
      </w:r>
    </w:p>
    <w:p>
      <w:pPr>
        <w:spacing w:after="0" w:line="4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pay to CEDE &amp; CO. or registered assigns, the principal sum of $[ ] (or $[ ] if the underwriters exercise their over-allotment option in full) on December 15, 2061.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Payment Dates: March 15, June 15, September 15 and December 15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March 15, 2013.</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March 1, June 1, September 1 and December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 place.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-13970</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-13970</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p>
      <w:pPr>
        <w:spacing w:after="0" w:line="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General Counsel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ectPr>
          <w:pgSz w:w="11900" w:h="16838" w:orient="portrait"/>
          <w:cols w:equalWidth="0" w:num="2">
            <w:col w:w="860" w:space="180"/>
            <w:col w:w="10280"/>
          </w:cols>
          <w:pgMar w:left="240" w:top="280" w:right="3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320"/>
          </w:cols>
          <w:pgMar w:left="240" w:top="280" w:right="339" w:bottom="1440" w:gutter="0" w:footer="0" w:header="0"/>
          <w:type w:val="continuous"/>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280" w:right="1440"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5.00% Note Due 2061</w:t>
      </w:r>
    </w:p>
    <w:p>
      <w:pPr>
        <w:spacing w:after="0" w:line="21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December 6, 2012. The Issuer will pay interest quarterly in arrears on each Interest Payment Date, commencing March 15, 2013. Interest will be computed on the basis of a 360-day year of twelve 30-day months.</w:t>
      </w:r>
    </w:p>
    <w:p>
      <w:pPr>
        <w:spacing w:after="0" w:line="14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(formerly known as The Bank of New York)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4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10" w:name="page11"/>
    <w:bookmarkEnd w:id="10"/>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Trustee, as supplemented by the First Supplemental Indenture dated as of March 25, 2003 by and among the Issuer, the cable guarantors named therein and the Trustee and as further supplemented by the Second Supplemental Indenture dated as of August 31, 2009 by and among the Issuer, the cable guarantors named therein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$25.00 and multiples of $25.00.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40" w:top="280"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that, all liability of the Trustee and such Paying Agent with respect to such funds shall cease.</w:t>
      </w:r>
    </w:p>
    <w:p>
      <w:pPr>
        <w:spacing w:after="0" w:line="293"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28"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on or after December 15, 2017 and prior to their maturity, on at least 30 days, but not more than 60 days, prior notice mailed to the registered address of each Holder of the Securities, at a redemption price equal to 100% of the principal amount of such Securities plus accrued and unpaid interest thereon to the date of redemption.</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80" w:right="279" w:bottom="1440" w:gutter="0" w:footer="0" w:header="0"/>
        </w:sectPr>
      </w:pPr>
    </w:p>
    <w:bookmarkStart w:id="12" w:name="page13"/>
    <w:bookmarkEnd w:id="1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5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6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80" w:right="259" w:bottom="1440" w:gutter="0" w:footer="0" w:header="0"/>
        </w:sectPr>
      </w:pPr>
    </w:p>
    <w:bookmarkStart w:id="13" w:name="page14"/>
    <w:bookmarkEnd w:id="13"/>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00"/>
          </w:cols>
          <w:pgMar w:left="240" w:top="280"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60" w:type="dxa"/>
            <w:vAlign w:val="bottom"/>
            <w:gridSpan w:val="4"/>
          </w:tcPr>
          <w:p>
            <w:pPr>
              <w:jc w:val="center"/>
              <w:ind w:right="2052"/>
              <w:spacing w:after="0"/>
              <w:rPr>
                <w:sz w:val="20"/>
                <w:szCs w:val="20"/>
                <w:color w:val="auto"/>
              </w:rPr>
            </w:pPr>
            <w:r>
              <w:rPr>
                <w:rFonts w:ascii="Arial" w:cs="Arial" w:eastAsia="Arial" w:hAnsi="Arial"/>
                <w:sz w:val="18"/>
                <w:szCs w:val="18"/>
                <w:color w:val="auto"/>
                <w:w w:val="86"/>
              </w:rPr>
              <w:t>(Print or type name, address and zip code of assignee or transferee)</w:t>
            </w:r>
          </w:p>
        </w:tc>
      </w:tr>
      <w:tr>
        <w:trPr>
          <w:trHeight w:val="648"/>
        </w:trPr>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60" w:type="dxa"/>
            <w:vAlign w:val="bottom"/>
            <w:gridSpan w:val="4"/>
          </w:tcPr>
          <w:p>
            <w:pPr>
              <w:jc w:val="center"/>
              <w:ind w:right="2072"/>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378"/>
        </w:trPr>
        <w:tc>
          <w:tcPr>
            <w:tcW w:w="21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260" w:type="dxa"/>
            <w:vAlign w:val="bottom"/>
            <w:gridSpan w:val="4"/>
          </w:tcPr>
          <w:p>
            <w:pPr>
              <w:ind w:left="480"/>
              <w:spacing w:after="0"/>
              <w:rPr>
                <w:sz w:val="20"/>
                <w:szCs w:val="20"/>
                <w:color w:val="auto"/>
              </w:rPr>
            </w:pPr>
            <w:r>
              <w:rPr>
                <w:rFonts w:ascii="Arial" w:cs="Arial" w:eastAsia="Arial" w:hAnsi="Arial"/>
                <w:sz w:val="18"/>
                <w:szCs w:val="18"/>
                <w:color w:val="auto"/>
              </w:rPr>
              <w:t>agent to transfer this Security on the books of the Issuer. The agent may substitute another to act for him.</w:t>
            </w:r>
          </w:p>
        </w:tc>
      </w:tr>
      <w:tr>
        <w:trPr>
          <w:trHeight w:val="420"/>
        </w:trPr>
        <w:tc>
          <w:tcPr>
            <w:tcW w:w="2160" w:type="dxa"/>
            <w:vAlign w:val="bottom"/>
            <w:gridSpan w:val="2"/>
          </w:tcPr>
          <w:p>
            <w:pPr>
              <w:spacing w:after="0"/>
              <w:rPr>
                <w:sz w:val="20"/>
                <w:szCs w:val="20"/>
                <w:color w:val="auto"/>
              </w:rPr>
            </w:pPr>
            <w:r>
              <w:rPr>
                <w:rFonts w:ascii="Arial" w:cs="Arial" w:eastAsia="Arial" w:hAnsi="Arial"/>
                <w:sz w:val="18"/>
                <w:szCs w:val="18"/>
                <w:color w:val="auto"/>
              </w:rPr>
              <w:t>Dated:</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Signed:</w:t>
            </w:r>
          </w:p>
        </w:tc>
      </w:tr>
      <w:tr>
        <w:trPr>
          <w:trHeight w:val="216"/>
        </w:trPr>
        <w:tc>
          <w:tcPr>
            <w:tcW w:w="6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(Signed exactly as name appears</w:t>
            </w:r>
          </w:p>
        </w:tc>
      </w:tr>
      <w:tr>
        <w:trPr>
          <w:trHeight w:val="222"/>
        </w:trPr>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on the other side of this Security)</w:t>
            </w:r>
          </w:p>
        </w:tc>
      </w:tr>
      <w:tr>
        <w:trPr>
          <w:trHeight w:val="420"/>
        </w:trPr>
        <w:tc>
          <w:tcPr>
            <w:tcW w:w="21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Medallion Program (or other signature guarantor</w:t>
            </w:r>
          </w:p>
        </w:tc>
      </w:tr>
      <w:tr>
        <w:trPr>
          <w:trHeight w:val="222"/>
        </w:trPr>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program reasonably acceptable to the Trustee)</w:t>
            </w:r>
          </w:p>
        </w:tc>
      </w:tr>
      <w:tr>
        <w:trPr>
          <w:trHeight w:val="365"/>
        </w:trPr>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120" w:type="dxa"/>
            <w:vAlign w:val="bottom"/>
            <w:gridSpan w:val="3"/>
          </w:tcPr>
          <w:p>
            <w:pPr>
              <w:jc w:val="center"/>
              <w:ind w:right="5192"/>
              <w:spacing w:after="0"/>
              <w:rPr>
                <w:sz w:val="20"/>
                <w:szCs w:val="20"/>
                <w:color w:val="auto"/>
              </w:rPr>
            </w:pPr>
            <w:r>
              <w:rPr>
                <w:rFonts w:ascii="Arial" w:cs="Arial" w:eastAsia="Arial" w:hAnsi="Arial"/>
                <w:sz w:val="18"/>
                <w:szCs w:val="18"/>
                <w:color w:val="auto"/>
                <w:w w:val="99"/>
              </w:rPr>
              <w:t>A-9</w:t>
            </w:r>
          </w:p>
        </w:tc>
      </w:tr>
    </w:tbl>
    <w:p>
      <w:pPr>
        <w:sectPr>
          <w:pgSz w:w="11900" w:h="16838" w:orient="portrait"/>
          <w:cols w:equalWidth="0" w:num="1">
            <w:col w:w="11420"/>
          </w:cols>
          <w:pgMar w:left="240" w:top="28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1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December 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 am Senior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November 29, 2012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Merrill Lynch, Pierce, Fenner &amp; Smith Incorporated, Morgan Stanley &amp; Co. LLC, UBS Securities LLC and Wells Fargo Securities, LLC,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$250,000,000 aggregate principal amount of its 5.00% Notes Due 2061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xml:space="preserve">”)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and guaranteed on an unsecured and unsubordinated basis by the Cable Guarantors.</w:t>
      </w:r>
    </w:p>
    <w:p>
      <w:pPr>
        <w:spacing w:after="0" w:line="12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w:t>
      </w:r>
    </w:p>
    <w:p>
      <w:pPr>
        <w:sectPr>
          <w:pgSz w:w="11900" w:h="16838" w:orient="portrait"/>
          <w:cols w:equalWidth="0" w:num="1">
            <w:col w:w="11420"/>
          </w:cols>
          <w:pgMar w:left="240" w:top="125" w:right="239" w:bottom="1440" w:gutter="0" w:footer="0" w:header="0"/>
        </w:sectPr>
      </w:pPr>
    </w:p>
    <w:bookmarkStart w:id="16" w:name="page17"/>
    <w:bookmarkEnd w:id="16"/>
    <w:p>
      <w:pPr>
        <w:spacing w:after="0"/>
        <w:tabs>
          <w:tab w:leader="none" w:pos="578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December 3,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other instruments as I have deemed necessary or advisable for the purpose of rendering this opinion.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171"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 hereby consent to the filing of this opinion as an exhibit to a report on Form 8-K filed by the Company on the date hereof and its incorporation by reference into the Company’s registration statement on Form S-3 (File No. 333-179678).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ectPr>
          <w:pgSz w:w="11900" w:h="16838" w:orient="portrait"/>
          <w:cols w:equalWidth="0" w:num="1">
            <w:col w:w="11420"/>
          </w:cols>
          <w:pgMar w:left="240" w:top="280"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5.2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acted as counsel to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issuance by the Company, pursuant to the Underwriting Agreement dated November 29, 2012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Cable Guarantors (as defined below) and Merrill Lynch, Pierce, Fenner &amp; Smith Incorporated, Morgan Stanley &amp; Co. LLC, UBS Securities LLC and Wells Fargo Securities, LLC, as representatives of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$250,000,000 aggregate principal amount of its 5.00% Notes Due 2061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and guaranteed (the “</w:t>
      </w:r>
      <w:r>
        <w:rPr>
          <w:rFonts w:ascii="Arial" w:cs="Arial" w:eastAsia="Arial" w:hAnsi="Arial"/>
          <w:sz w:val="16"/>
          <w:szCs w:val="16"/>
          <w:b w:val="1"/>
          <w:bCs w:val="1"/>
          <w:color w:val="auto"/>
        </w:rPr>
        <w:t>Cable Guarantees</w:t>
      </w:r>
      <w:r>
        <w:rPr>
          <w:rFonts w:ascii="Arial" w:cs="Arial" w:eastAsia="Arial" w:hAnsi="Arial"/>
          <w:sz w:val="16"/>
          <w:szCs w:val="16"/>
          <w:color w:val="auto"/>
        </w:rPr>
        <w:t>”) on an unsecured and unsubordinated basis by the Cable Guarantors.</w:t>
      </w:r>
    </w:p>
    <w:p>
      <w:pPr>
        <w:spacing w:after="0" w:line="11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ectPr>
          <w:pgSz w:w="11900" w:h="16838" w:orient="portrait"/>
          <w:cols w:equalWidth="0" w:num="1">
            <w:col w:w="11420"/>
          </w:cols>
          <w:pgMar w:left="240" w:top="125" w:right="239" w:bottom="1440" w:gutter="0" w:footer="0" w:header="0"/>
        </w:sectPr>
      </w:pPr>
    </w:p>
    <w:bookmarkStart w:id="18" w:name="page19"/>
    <w:bookmarkEnd w:id="18"/>
    <w:p>
      <w:pPr>
        <w:spacing w:after="0"/>
        <w:tabs>
          <w:tab w:leader="none" w:pos="578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December 3,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171" w:lineRule="exact"/>
        <w:rPr>
          <w:sz w:val="20"/>
          <w:szCs w:val="20"/>
          <w:color w:val="auto"/>
        </w:rPr>
      </w:pPr>
    </w:p>
    <w:p>
      <w:pPr>
        <w:ind w:right="120" w:firstLine="8"/>
        <w:spacing w:after="0" w:line="290"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Cable Guarantors, enforceable against the Company and the Cable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18" w:lineRule="exact"/>
        <w:rPr>
          <w:rFonts w:ascii="Arial" w:cs="Arial" w:eastAsia="Arial" w:hAnsi="Arial"/>
          <w:sz w:val="16"/>
          <w:szCs w:val="16"/>
          <w:color w:val="auto"/>
        </w:rPr>
      </w:pPr>
    </w:p>
    <w:p>
      <w:pPr>
        <w:ind w:right="40" w:firstLine="8"/>
        <w:spacing w:after="0" w:line="289"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Cable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Cable Guarantees will be valid and binding obligations of the Cable Guarantors, in each case enforceable against the Company and the Cable Guarantors in accordance with their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are members of the Bar of the States of New York and California and the foregoing opinion is limited to the laws of the State of New York and the General Corporation Law of the State of Delaware.</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hereby consent to the filing of this opinion as an exhibit to a report on Form 8-K filed by the Company on the date hereof and its incorporation by reference into the Company’s registration statement on Form S-3 (File No. 333-179678).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420"/>
          </w:cols>
          <w:pgMar w:left="240" w:top="280" w:right="239" w:bottom="1440" w:gutter="0" w:footer="0" w:header="0"/>
        </w:sectPr>
      </w:pPr>
    </w:p>
    <w:bookmarkStart w:id="19" w:name="page20"/>
    <w:bookmarkEnd w:id="19"/>
    <w:p>
      <w:pPr>
        <w:ind w:left="10600"/>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420"/>
          </w:cols>
          <w:pgMar w:left="240" w:top="125" w:right="239" w:bottom="1440" w:gutter="0" w:footer="0" w:header="0"/>
        </w:sectPr>
      </w:pPr>
    </w:p>
    <w:p>
      <w:pPr>
        <w:spacing w:after="0" w:line="235"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15875</wp:posOffset>
            </wp:positionV>
            <wp:extent cx="1372235"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234" w:lineRule="exact"/>
        <w:rPr>
          <w:sz w:val="20"/>
          <w:szCs w:val="20"/>
          <w:color w:val="auto"/>
        </w:rPr>
      </w:pPr>
    </w:p>
    <w:p>
      <w:pPr>
        <w:sectPr>
          <w:pgSz w:w="11900" w:h="16838" w:orient="portrait"/>
          <w:cols w:equalWidth="0" w:num="2">
            <w:col w:w="9340" w:space="720"/>
            <w:col w:w="1360"/>
          </w:cols>
          <w:pgMar w:left="240" w:top="125"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1780" w:type="dxa"/>
            <w:vAlign w:val="bottom"/>
          </w:tcPr>
          <w:p>
            <w:pPr>
              <w:ind w:left="560"/>
              <w:spacing w:after="0"/>
              <w:rPr>
                <w:sz w:val="20"/>
                <w:szCs w:val="20"/>
                <w:color w:val="auto"/>
              </w:rPr>
            </w:pPr>
            <w:r>
              <w:rPr>
                <w:rFonts w:ascii="Arial" w:cs="Arial" w:eastAsia="Arial" w:hAnsi="Arial"/>
                <w:sz w:val="18"/>
                <w:szCs w:val="18"/>
                <w:color w:val="auto"/>
                <w:w w:val="89"/>
              </w:rPr>
              <w:t>650 752 2000 tel</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1600 El Camino Real</w:t>
            </w:r>
          </w:p>
        </w:tc>
        <w:tc>
          <w:tcPr>
            <w:tcW w:w="1780" w:type="dxa"/>
            <w:vAlign w:val="bottom"/>
          </w:tcPr>
          <w:p>
            <w:pPr>
              <w:ind w:left="560"/>
              <w:spacing w:after="0"/>
              <w:rPr>
                <w:sz w:val="20"/>
                <w:szCs w:val="20"/>
                <w:color w:val="auto"/>
              </w:rPr>
            </w:pPr>
            <w:r>
              <w:rPr>
                <w:rFonts w:ascii="Arial" w:cs="Arial" w:eastAsia="Arial" w:hAnsi="Arial"/>
                <w:sz w:val="18"/>
                <w:szCs w:val="18"/>
                <w:color w:val="auto"/>
                <w:w w:val="86"/>
              </w:rPr>
              <w:t>650 752 2111 fax</w:t>
            </w:r>
          </w:p>
        </w:tc>
      </w:tr>
    </w:tbl>
    <w:p>
      <w:pPr>
        <w:spacing w:after="0"/>
        <w:rPr>
          <w:sz w:val="20"/>
          <w:szCs w:val="20"/>
          <w:color w:val="auto"/>
        </w:rPr>
      </w:pPr>
      <w:r>
        <w:rPr>
          <w:rFonts w:ascii="Arial" w:cs="Arial" w:eastAsia="Arial" w:hAnsi="Arial"/>
          <w:sz w:val="18"/>
          <w:szCs w:val="18"/>
          <w:color w:val="auto"/>
        </w:rPr>
        <w:t>Menlo Park, CA 94025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December 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We are acting as special tax counsel to Comcast Corporation, a corporation incorporated in Pennsylvania (the “Company”), in connection with the preparation and filing of the prospectus supplement dated November 29, 2012 (the “Prospectus Supplement”) relating to the Company’s 5.00% Notes due 2061 (the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 such matters of fact and law as we have deemed necessary or advisable for the purpose of our opinion.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confirm that our opinion as to the material U.S. federal income tax consequences to Non-U.S. Holders (as defined in the Prospectus Supplement) of an investment in the Notes is set forth in full under the caption “Material U.S. Federal Income Tax Consequences for Non-U.S. Holders” in the Prospectus Supplement.</w:t>
      </w:r>
    </w:p>
    <w:p>
      <w:pPr>
        <w:spacing w:after="0" w:line="14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We hereby consent to the use of our name under the caption “Material U.S. Federal Income Tax Consequences for Non-U.S. Holders” in the Prospectus Supplement and to the filing, as an exhibit to the Prospectus Supplement, of this letter. By such consent we do not concede that we are an “expert” for the purposes of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1."/>
      <w:numFmt w:val="decimal"/>
      <w:start w:val="14"/>
    </w:lvl>
  </w:abstractNum>
  <w:abstractNum w:abstractNumId="15">
    <w:nsid w:val="7C83E458"/>
    <w:multiLevelType w:val="hybridMultilevel"/>
    <w:lvl w:ilvl="0">
      <w:lvlJc w:val="left"/>
      <w:lvlText w:val="%1."/>
      <w:numFmt w:val="decimal"/>
      <w:start w:val="15"/>
    </w:lvl>
  </w:abstractNum>
  <w:abstractNum w:abstractNumId="16">
    <w:nsid w:val="257130A3"/>
    <w:multiLevelType w:val="hybridMultilevel"/>
    <w:lvl w:ilvl="0">
      <w:lvlJc w:val="left"/>
      <w:lvlText w:val="%1."/>
      <w:numFmt w:val="decimal"/>
      <w:start w:val="16"/>
    </w:lvl>
  </w:abstractNum>
  <w:abstractNum w:abstractNumId="17">
    <w:nsid w:val="62BBD95A"/>
    <w:multiLevelType w:val="hybridMultilevel"/>
    <w:lvl w:ilvl="0">
      <w:lvlJc w:val="left"/>
      <w:lvlText w:val="%1."/>
      <w:numFmt w:val="decimal"/>
      <w:start w:val="17"/>
    </w:lvl>
  </w:abstractNum>
  <w:abstractNum w:abstractNumId="18">
    <w:nsid w:val="436C6125"/>
    <w:multiLevelType w:val="hybridMultilevel"/>
    <w:lvl w:ilvl="0">
      <w:lvlJc w:val="left"/>
      <w:lvlText w:val="%1."/>
      <w:numFmt w:val="decimal"/>
      <w:start w:val="18"/>
    </w:lvl>
  </w:abstractNum>
  <w:abstractNum w:abstractNumId="19">
    <w:nsid w:val="628C895D"/>
    <w:multiLevelType w:val="hybridMultilevel"/>
    <w:lvl w:ilvl="0">
      <w:lvlJc w:val="left"/>
      <w:lvlText w:val="%1."/>
      <w:numFmt w:val="decimal"/>
      <w:start w:val="19"/>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2019-12-09T16:07:30Z</dcterms:created>
  <dcterms:modified xsi:type="dcterms:W3CDTF">2019-12-09T16:07:30Z</dcterms:modified>
</cp:coreProperties>
</file>