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22, 2014</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351"/>
        </w:trPr>
        <w:tc>
          <w:tcPr>
            <w:tcW w:w="2800" w:type="dxa"/>
            <w:vAlign w:val="bottom"/>
          </w:tcPr>
          <w:p>
            <w:pPr>
              <w:spacing w:after="0"/>
              <w:rPr>
                <w:sz w:val="24"/>
                <w:szCs w:val="24"/>
                <w:color w:val="auto"/>
              </w:rPr>
            </w:pPr>
          </w:p>
        </w:tc>
        <w:tc>
          <w:tcPr>
            <w:tcW w:w="6200" w:type="dxa"/>
            <w:vAlign w:val="bottom"/>
          </w:tcPr>
          <w:p>
            <w:pPr>
              <w:jc w:val="center"/>
              <w:ind w:right="2514"/>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800" w:type="dxa"/>
            <w:vAlign w:val="bottom"/>
          </w:tcPr>
          <w:p>
            <w:pPr>
              <w:spacing w:after="0"/>
              <w:rPr>
                <w:sz w:val="12"/>
                <w:szCs w:val="12"/>
                <w:color w:val="auto"/>
              </w:rPr>
            </w:pPr>
          </w:p>
        </w:tc>
        <w:tc>
          <w:tcPr>
            <w:tcW w:w="6200" w:type="dxa"/>
            <w:vAlign w:val="bottom"/>
          </w:tcPr>
          <w:p>
            <w:pPr>
              <w:jc w:val="center"/>
              <w:ind w:right="2534"/>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800" w:type="dxa"/>
            <w:vAlign w:val="bottom"/>
          </w:tcPr>
          <w:p>
            <w:pPr>
              <w:spacing w:after="0"/>
              <w:rPr>
                <w:sz w:val="24"/>
                <w:szCs w:val="24"/>
                <w:color w:val="auto"/>
              </w:rPr>
            </w:pPr>
          </w:p>
        </w:tc>
        <w:tc>
          <w:tcPr>
            <w:tcW w:w="6200" w:type="dxa"/>
            <w:vAlign w:val="bottom"/>
          </w:tcPr>
          <w:p>
            <w:pPr>
              <w:jc w:val="center"/>
              <w:ind w:right="2534"/>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001-32871</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4"/>
              </w:rPr>
              <w:t>(Commission File Number)</w:t>
            </w:r>
          </w:p>
        </w:tc>
        <w:tc>
          <w:tcPr>
            <w:tcW w:w="6200" w:type="dxa"/>
            <w:vAlign w:val="bottom"/>
          </w:tcPr>
          <w:p>
            <w:pPr>
              <w:jc w:val="center"/>
              <w:ind w:left="4134"/>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One Comcast Center</w:t>
            </w:r>
          </w:p>
        </w:tc>
        <w:tc>
          <w:tcPr>
            <w:tcW w:w="6200" w:type="dxa"/>
            <w:vAlign w:val="bottom"/>
          </w:tcPr>
          <w:p>
            <w:pPr>
              <w:spacing w:after="0"/>
              <w:rPr>
                <w:sz w:val="24"/>
                <w:szCs w:val="24"/>
                <w:color w:val="auto"/>
              </w:rPr>
            </w:pPr>
          </w:p>
        </w:tc>
      </w:tr>
      <w:tr>
        <w:trPr>
          <w:trHeight w:val="216"/>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2"/>
              </w:rPr>
              <w:t>Philadelphia, PA</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5"/>
              </w:rPr>
              <w:t>(Address of Principal Executive Offices)</w:t>
            </w:r>
          </w:p>
        </w:tc>
        <w:tc>
          <w:tcPr>
            <w:tcW w:w="620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July 22, 2014, Comcast Corporation (“Comcast”) issued a press release reporting the results of its operations for the three and six months ended June 30, 2014.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22, 2014.</w:t>
      </w:r>
    </w:p>
    <w:p>
      <w:pPr>
        <w:spacing w:after="0" w:line="23"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4"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July 22, 2014</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1576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4800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7" w:lineRule="exact"/>
        <w:rPr>
          <w:sz w:val="20"/>
          <w:szCs w:val="20"/>
          <w:color w:val="auto"/>
        </w:rPr>
      </w:pPr>
    </w:p>
    <w:p>
      <w:pPr>
        <w:ind w:right="3480" w:firstLine="3473"/>
        <w:spacing w:after="0" w:line="474" w:lineRule="auto"/>
        <w:rPr>
          <w:sz w:val="20"/>
          <w:szCs w:val="20"/>
          <w:color w:val="auto"/>
        </w:rPr>
      </w:pPr>
      <w:r>
        <w:rPr>
          <w:rFonts w:ascii="Arial" w:cs="Arial" w:eastAsia="Arial" w:hAnsi="Arial"/>
          <w:sz w:val="18"/>
          <w:szCs w:val="18"/>
          <w:b w:val="1"/>
          <w:bCs w:val="1"/>
          <w:color w:val="auto"/>
        </w:rPr>
        <w:t>COMCAST REPORTS 2nd QUARTER 2014 RESULTS Consolidated 2nd Quarter 2014 Highlights:</w:t>
      </w:r>
    </w:p>
    <w:p>
      <w:pPr>
        <w:spacing w:after="0" w:line="1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3.5%, Operating Cash Flow Increased 7.0% and Operating Income Increased 10.7%</w:t>
      </w:r>
    </w:p>
    <w:p>
      <w:pPr>
        <w:spacing w:after="0" w:line="171" w:lineRule="exact"/>
        <w:rPr>
          <w:rFonts w:ascii="Arial" w:cs="Arial" w:eastAsia="Arial" w:hAnsi="Arial"/>
          <w:sz w:val="18"/>
          <w:szCs w:val="18"/>
          <w:color w:val="auto"/>
        </w:rPr>
      </w:pPr>
    </w:p>
    <w:p>
      <w:pPr>
        <w:ind w:left="660" w:right="440" w:hanging="328"/>
        <w:spacing w:after="0" w:line="262"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16.9% to $0.76; Excluding Gain on a Sale and Transaction-Related Costs, EPS Increased 15.4% to $0.75</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Dividends and Quarterly Share Repurchases Increased 31.7% to $1.3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2014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5.4% and Operating Cash Flow Increased 5.3%</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Customers Increased by 203,000; The Best Second Quarter Net Additions in Six Years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 Net Losses Declined to 144,000; The Best Second Quarter Result in Six Years</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22.4%, Approaching a $4 Billion Annual Run-Rate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2014 Highlights:</w:t>
      </w:r>
    </w:p>
    <w:p>
      <w:pPr>
        <w:spacing w:after="0" w:line="220" w:lineRule="exact"/>
        <w:rPr>
          <w:sz w:val="20"/>
          <w:szCs w:val="20"/>
          <w:color w:val="auto"/>
        </w:rPr>
      </w:pPr>
    </w:p>
    <w:p>
      <w:pPr>
        <w:ind w:left="660" w:right="32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0.3% and Operating Cash Flow Increased 20.4%, as Operating Cash Flow Margins Expanded to 23.8% from 19.9% in the Prior Year Period</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Ended the Broadcast Season Rated #1 Among Adults 18-49</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Extended Rights for an Additional Six Olympic Games Through 2032</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July 22, 2014… Comcast Corporation (NASDAQ: CMCSA, CMCSK) today reported results for the quarter ended June 30, 2014.</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“We continue to see strong momentum across our cable and content businesses. In Cable, we posted the best second quarter customer results for both video and high-speed Internet in six years and saw tremendous demand for our X1 product, which is a truly transformative experience. We are also pleased with the continued rapid growth of business services, which has quickly become an important engine for the company. NBCUniversal had another excellent quarter with double-digit operating cash flow growth driven by solid results in each segment and a first place finish for NBC for the 2013/2014 broadcast television season.”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2nd Quarter</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Year to Date</w:t>
            </w:r>
          </w:p>
        </w:tc>
        <w:tc>
          <w:tcPr>
            <w:tcW w:w="700" w:type="dxa"/>
            <w:vAlign w:val="bottom"/>
          </w:tcPr>
          <w:p>
            <w:pPr>
              <w:spacing w:after="0"/>
              <w:rPr>
                <w:sz w:val="14"/>
                <w:szCs w:val="14"/>
                <w:color w:val="auto"/>
              </w:rPr>
            </w:pPr>
          </w:p>
        </w:tc>
      </w:tr>
      <w:tr>
        <w:trPr>
          <w:trHeight w:val="20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Growth</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8"/>
        </w:trPr>
        <w:tc>
          <w:tcPr>
            <w:tcW w:w="4280" w:type="dxa"/>
            <w:vAlign w:val="bottom"/>
          </w:tcPr>
          <w:p>
            <w:pPr>
              <w:ind w:left="40"/>
              <w:spacing w:after="0"/>
              <w:rPr>
                <w:sz w:val="20"/>
                <w:szCs w:val="20"/>
                <w:color w:val="auto"/>
              </w:rPr>
            </w:pPr>
            <w:r>
              <w:rPr>
                <w:rFonts w:ascii="Arial" w:cs="Arial" w:eastAsia="Arial" w:hAnsi="Arial"/>
                <w:sz w:val="14"/>
                <w:szCs w:val="14"/>
                <w:color w:val="auto"/>
              </w:rPr>
              <w:t>Revenue</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$16,270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$16,844</w:t>
            </w: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3.5%</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$31,580</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$34,252</w:t>
            </w: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8"/>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w:t>
            </w:r>
          </w:p>
        </w:tc>
        <w:tc>
          <w:tcPr>
            <w:tcW w:w="1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$31,580</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$33,149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5.0%</w:t>
            </w:r>
          </w:p>
        </w:tc>
      </w:tr>
      <w:tr>
        <w:trPr>
          <w:trHeight w:val="219"/>
        </w:trPr>
        <w:tc>
          <w:tcPr>
            <w:tcW w:w="428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$5,425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$5,804</w:t>
            </w: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7.0%</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$10,459</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$11,342</w:t>
            </w:r>
          </w:p>
        </w:tc>
        <w:tc>
          <w:tcPr>
            <w:tcW w:w="7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79"/>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TWC and Charter Transaction-Related Costs</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$5,425</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$5,848</w:t>
            </w: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7.8%</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$10,459</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$11,403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9.0%</w:t>
            </w:r>
          </w:p>
        </w:tc>
      </w:tr>
      <w:tr>
        <w:trPr>
          <w:trHeight w:val="196"/>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$3,435</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$3,804</w:t>
            </w: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10.7%</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$6,502</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$7,372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9"/>
        </w:trPr>
        <w:tc>
          <w:tcPr>
            <w:tcW w:w="428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$0.65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$0.76</w:t>
            </w: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16.9%</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$1.47</w:t>
            </w:r>
          </w:p>
        </w:tc>
        <w:tc>
          <w:tcPr>
            <w:tcW w:w="70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79"/>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$0.65</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$0.75</w:t>
            </w: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15.4%</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$1.16</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23.3%</w:t>
            </w:r>
          </w:p>
        </w:tc>
      </w:tr>
      <w:tr>
        <w:trPr>
          <w:trHeight w:val="219"/>
        </w:trPr>
        <w:tc>
          <w:tcPr>
            <w:tcW w:w="42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$1,948</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$1,155</w:t>
            </w: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(40.7%)</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$5,086</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$3,979</w:t>
            </w:r>
          </w:p>
        </w:tc>
        <w:tc>
          <w:tcPr>
            <w:tcW w:w="700" w:type="dxa"/>
            <w:vAlign w:val="bottom"/>
          </w:tcPr>
          <w:p>
            <w:pPr>
              <w:jc w:val="right"/>
              <w:spacing w:after="0"/>
              <w:rPr>
                <w:sz w:val="20"/>
                <w:szCs w:val="20"/>
                <w:color w:val="auto"/>
              </w:rPr>
            </w:pPr>
            <w:r>
              <w:rPr>
                <w:rFonts w:ascii="Arial" w:cs="Arial" w:eastAsia="Arial" w:hAnsi="Arial"/>
                <w:sz w:val="14"/>
                <w:szCs w:val="14"/>
                <w:color w:val="auto"/>
              </w:rPr>
              <w:t>(21.8%)</w:t>
            </w: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2014 increased 3.5% to $16.8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7.0%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$5.8 billion. Excluding $44 million of Time Warner Cable and Charter transaction-related costs in the second quarter of 2014, consolidated operating cash flow increased 7.8%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10.7% to $3.8 billion.</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2014, consolidated revenue increased 8.5% to $34.3 billion. Excluding $1.1 billion of revenue generated by the Sochi Olympics in the first quarter of 2014, consolidated revenue increased 5.0%. Consolidated operating cash flow increased 8.4% to $11.3 billion. Excluding $61 million of transaction-related costs in the first six months of 2014, consolidated operating cash flow increased 9.0% (See Table 5). Consolidated operating income increased 13.4% to $7.4 billion.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2014 was $0.76, a 16.9% increase from the $0.65 reported in the second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a gain on the sale of an investment and transaction-related costs in the second quarter of 2014, EPS increased 15.4% to $0.75 (see Table 4).</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EPS for the six months ended June 30, 2014 was $1.47, a 23.5% increase from the $1.19 reported in the prior year. Excluding gains on the sales of investments, a favorable resolution of a prior acquisition contingency and transaction-related costs in the first six months of 2014, as</w:t>
      </w:r>
    </w:p>
    <w:p>
      <w:pPr>
        <w:sectPr>
          <w:pgSz w:w="11900" w:h="16862"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well as a gain on the sale of wireless spectrum licenses in the first quarter of 2013, EPS increased 23.3% to $1.43 (see Table 4).</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19.4% to $1.8 billion in the second quarter of 2014 compared to the second quarter of 2013.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$253 million, or 20.4%, to $1.5 billion in the second quarter of 2014, primarily reflecting increased spending on customer premise equipment related to the deployment of the X1 platform and Cloud DVR, as well as our investment in network infrastructure to increase network capacity. Cable capital expenditures represented 13.5% of Cable revenue in the second quarter of 2014 compared to 11.9% in last year’s second quarter. NBCUniversal’s capital expenditures increased $38 million, or 14.3%, to $298 million in the second quarter of 2014, primarily reflecting increased investments in Theme Parks and facilities.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2014, capital expenditures increased 13.2% to $3.2 billion compared to the prior year. Cable Communications capital expenditures increased $304 million, or 13.0%, to $2.6 billion and represented 12.1% of Cable revenue compared to 11.3% in 2013. NBCUniversal’s capital expenditures increased $66 million, or 12.5%, to $589 million for the first six months of 2014.</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decreased 40.7% to $1.2 billion in the second quarter of 2014 compared to $1.9 billion in the second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increased working capital, mainly driven by higher film and TV production spend, as well as increased capital expenditures and cash taxes on operating items, partially offset by growth in consolidated operating cash flow. Free cash flow for the six months ended June 30, 2014 decreased 21.8% to $4.0 billion compared to $5.1 billion in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8"/>
              </w:rPr>
              <w:t>2nd Quarter</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Year to Date</w:t>
            </w:r>
          </w:p>
        </w:tc>
        <w:tc>
          <w:tcPr>
            <w:tcW w:w="860" w:type="dxa"/>
            <w:vAlign w:val="bottom"/>
          </w:tcPr>
          <w:p>
            <w:pPr>
              <w:spacing w:after="0"/>
              <w:rPr>
                <w:sz w:val="14"/>
                <w:szCs w:val="14"/>
                <w:color w:val="auto"/>
              </w:rPr>
            </w:pPr>
          </w:p>
        </w:tc>
      </w:tr>
      <w:tr>
        <w:trPr>
          <w:trHeight w:val="22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Growth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$5,804</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$10,459</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$11,342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(1,798)</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19.4%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(3,246)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(260)</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(0.8%)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(477)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(541)</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(1,164)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 on Operating Items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(1,570)</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16.6%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(1,838)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(638)</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(905)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Noncash Share-Based Compensation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147</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r>
      <w:tr>
        <w:trPr>
          <w:trHeight w:val="211"/>
        </w:trPr>
        <w:tc>
          <w:tcPr>
            <w:tcW w:w="48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1220" w:type="dxa"/>
            <w:vAlign w:val="bottom"/>
          </w:tcPr>
          <w:p>
            <w:pPr>
              <w:jc w:val="right"/>
              <w:spacing w:after="0"/>
              <w:rPr>
                <w:sz w:val="20"/>
                <w:szCs w:val="20"/>
                <w:color w:val="auto"/>
              </w:rPr>
            </w:pPr>
            <w:r>
              <w:rPr>
                <w:rFonts w:ascii="Arial" w:cs="Arial" w:eastAsia="Arial" w:hAnsi="Arial"/>
                <w:sz w:val="14"/>
                <w:szCs w:val="14"/>
                <w:color w:val="auto"/>
              </w:rPr>
              <w:t>(67)</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(51)</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(23.9%)</w:t>
            </w:r>
          </w:p>
        </w:tc>
        <w:tc>
          <w:tcPr>
            <w:tcW w:w="1040" w:type="dxa"/>
            <w:vAlign w:val="bottom"/>
          </w:tcPr>
          <w:p>
            <w:pPr>
              <w:jc w:val="right"/>
              <w:spacing w:after="0"/>
              <w:rPr>
                <w:sz w:val="20"/>
                <w:szCs w:val="20"/>
                <w:color w:val="auto"/>
              </w:rPr>
            </w:pPr>
            <w:r>
              <w:rPr>
                <w:rFonts w:ascii="Arial" w:cs="Arial" w:eastAsia="Arial" w:hAnsi="Arial"/>
                <w:sz w:val="14"/>
                <w:szCs w:val="14"/>
                <w:color w:val="auto"/>
              </w:rPr>
              <w:t>(116)</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(117)</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88"/>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Redeemable Subsidiary Preferred Stock</w:t>
            </w:r>
          </w:p>
        </w:tc>
        <w:tc>
          <w:tcPr>
            <w:tcW w:w="1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$1,948</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$1,155</w:t>
            </w: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(40.7%)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$5,086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$3,979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w:t>
            </w:r>
          </w:p>
        </w:tc>
      </w:tr>
      <w:tr>
        <w:trPr>
          <w:trHeight w:val="211"/>
        </w:trPr>
        <w:tc>
          <w:tcPr>
            <w:tcW w:w="484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2014, Comcast paid dividends totaling $585 million and repurchased 15.0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$750 million. In the first six months of 2014, Comcast has repurchased 29.9 million of its common shares for $1.5 billion. As of June 30, 2014, Comcast had approximately $6.0 billion available under its share repurchase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2nd Quarter</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Year to Date</w:t>
            </w:r>
          </w:p>
        </w:tc>
        <w:tc>
          <w:tcPr>
            <w:tcW w:w="820" w:type="dxa"/>
            <w:vAlign w:val="bottom"/>
          </w:tcPr>
          <w:p>
            <w:pPr>
              <w:spacing w:after="0"/>
              <w:rPr>
                <w:sz w:val="14"/>
                <w:szCs w:val="14"/>
                <w:color w:val="auto"/>
              </w:rPr>
            </w:pPr>
          </w:p>
        </w:tc>
      </w:tr>
      <w:tr>
        <w:trPr>
          <w:trHeight w:val="195"/>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Growth</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Revenue</w:t>
            </w:r>
          </w:p>
        </w:tc>
        <w:tc>
          <w:tcPr>
            <w:tcW w:w="1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$5,175</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$5,239</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$10,288</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$10,417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2,569</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2,819</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9.7%</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5,092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5,569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910</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922</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1.3%</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1,810</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965</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22.4%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1,529</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1,882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558</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599</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7.5%</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1,046</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2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467</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485</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3.9%</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919</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958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$10,467</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$11,029</w:t>
            </w: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5.4%</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$20,684</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$21,786</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35"/>
        </w:trPr>
        <w:tc>
          <w:tcPr>
            <w:tcW w:w="4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$4,335</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$4,564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5.3%</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$8,554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$8,964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640" w:type="dxa"/>
            <w:vAlign w:val="bottom"/>
          </w:tcPr>
          <w:p>
            <w:pPr>
              <w:jc w:val="right"/>
              <w:ind w:right="8"/>
              <w:spacing w:after="0"/>
              <w:rPr>
                <w:sz w:val="20"/>
                <w:szCs w:val="20"/>
                <w:color w:val="auto"/>
              </w:rPr>
            </w:pPr>
            <w:r>
              <w:rPr>
                <w:rFonts w:ascii="Arial" w:cs="Arial" w:eastAsia="Arial" w:hAnsi="Arial"/>
                <w:sz w:val="14"/>
                <w:szCs w:val="14"/>
                <w:i w:val="1"/>
                <w:iCs w:val="1"/>
                <w:color w:val="auto"/>
              </w:rPr>
              <w:t>41.4%</w:t>
            </w:r>
          </w:p>
        </w:tc>
        <w:tc>
          <w:tcPr>
            <w:tcW w:w="1200" w:type="dxa"/>
            <w:vAlign w:val="bottom"/>
          </w:tcPr>
          <w:p>
            <w:pPr>
              <w:jc w:val="right"/>
              <w:ind w:right="268"/>
              <w:spacing w:after="0"/>
              <w:rPr>
                <w:sz w:val="20"/>
                <w:szCs w:val="20"/>
                <w:color w:val="auto"/>
              </w:rPr>
            </w:pPr>
            <w:r>
              <w:rPr>
                <w:rFonts w:ascii="Arial" w:cs="Arial" w:eastAsia="Arial" w:hAnsi="Arial"/>
                <w:sz w:val="14"/>
                <w:szCs w:val="14"/>
                <w:i w:val="1"/>
                <w:iCs w:val="1"/>
                <w:color w:val="auto"/>
              </w:rPr>
              <w:t>41.4%</w:t>
            </w:r>
          </w:p>
        </w:tc>
        <w:tc>
          <w:tcPr>
            <w:tcW w:w="1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i w:val="1"/>
                <w:iCs w:val="1"/>
                <w:color w:val="auto"/>
              </w:rPr>
              <w:t>41.4%</w:t>
            </w:r>
          </w:p>
        </w:tc>
        <w:tc>
          <w:tcPr>
            <w:tcW w:w="1200" w:type="dxa"/>
            <w:vAlign w:val="bottom"/>
          </w:tcPr>
          <w:p>
            <w:pPr>
              <w:jc w:val="right"/>
              <w:ind w:right="228"/>
              <w:spacing w:after="0"/>
              <w:rPr>
                <w:sz w:val="20"/>
                <w:szCs w:val="20"/>
                <w:color w:val="auto"/>
              </w:rPr>
            </w:pPr>
            <w:r>
              <w:rPr>
                <w:rFonts w:ascii="Arial" w:cs="Arial" w:eastAsia="Arial" w:hAnsi="Arial"/>
                <w:sz w:val="14"/>
                <w:szCs w:val="14"/>
                <w:i w:val="1"/>
                <w:iCs w:val="1"/>
                <w:color w:val="auto"/>
              </w:rPr>
              <w:t>41.1%</w:t>
            </w:r>
          </w:p>
        </w:tc>
        <w:tc>
          <w:tcPr>
            <w:tcW w:w="820" w:type="dxa"/>
            <w:vAlign w:val="bottom"/>
          </w:tcPr>
          <w:p>
            <w:pPr>
              <w:spacing w:after="0"/>
              <w:rPr>
                <w:sz w:val="17"/>
                <w:szCs w:val="17"/>
                <w:color w:val="auto"/>
              </w:rPr>
            </w:pPr>
          </w:p>
        </w:tc>
      </w:tr>
      <w:tr>
        <w:trPr>
          <w:trHeight w:val="235"/>
        </w:trPr>
        <w:tc>
          <w:tcPr>
            <w:tcW w:w="4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Capital Expenditures</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$1,240</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$1,493</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$2,334</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1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11.9%</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13.5%</w:t>
            </w: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11.3%</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12.1%</w:t>
            </w:r>
          </w:p>
        </w:tc>
        <w:tc>
          <w:tcPr>
            <w:tcW w:w="820" w:type="dxa"/>
            <w:vAlign w:val="bottom"/>
            <w:tcBorders>
              <w:bottom w:val="single" w:sz="8" w:color="auto"/>
            </w:tcBorders>
          </w:tcPr>
          <w:p>
            <w:pPr>
              <w:spacing w:after="0"/>
              <w:rPr>
                <w:sz w:val="18"/>
                <w:szCs w:val="18"/>
                <w:color w:val="auto"/>
              </w:rPr>
            </w:pPr>
          </w:p>
        </w:tc>
      </w:tr>
    </w:tbl>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5.4% to $11.0 billion in the second quarter of 2014 compared to $ 10.5 billion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driven by increases of 9.7% in high-speed Internet and 22.4% in business services. The increase in Cable revenue reflects rate adjustments, customers receiving higher levels of services and customer growth (see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2014, Cable revenue increased 5.3% to $21.8 billion compared to $20.7 billion in 2013.</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decreased by 25,000 to 26.8 million during the second quarter of 2014, a 62% improvement compared to a decline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66,000 during the second quarter of 2013. At the end of the second quarter, penetration of our triple product customers increased to 36% compared to 34% in the second quarter of 2013. High-speed Internet customer net additions improved versus last year and were the strongest for a second quarter in six years. Video customer net losses improved year-over-year and were also the best result for a second quarter in six years.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360" w:type="dxa"/>
            <w:vAlign w:val="bottom"/>
          </w:tcPr>
          <w:p>
            <w:pPr>
              <w:spacing w:after="0"/>
              <w:rPr>
                <w:sz w:val="14"/>
                <w:szCs w:val="14"/>
                <w:color w:val="auto"/>
              </w:rPr>
            </w:pPr>
          </w:p>
        </w:tc>
        <w:tc>
          <w:tcPr>
            <w:tcW w:w="1860" w:type="dxa"/>
            <w:vAlign w:val="bottom"/>
          </w:tcPr>
          <w:p>
            <w:pPr>
              <w:jc w:val="right"/>
              <w:ind w:right="88"/>
              <w:spacing w:after="0"/>
              <w:rPr>
                <w:sz w:val="20"/>
                <w:szCs w:val="20"/>
                <w:color w:val="auto"/>
              </w:rPr>
            </w:pPr>
            <w:r>
              <w:rPr>
                <w:rFonts w:ascii="Arial" w:cs="Arial" w:eastAsia="Arial" w:hAnsi="Arial"/>
                <w:sz w:val="14"/>
                <w:szCs w:val="14"/>
                <w:color w:val="auto"/>
              </w:rPr>
              <w:t>Net Adds</w:t>
            </w:r>
          </w:p>
        </w:tc>
        <w:tc>
          <w:tcPr>
            <w:tcW w:w="540" w:type="dxa"/>
            <w:vAlign w:val="bottom"/>
          </w:tcPr>
          <w:p>
            <w:pPr>
              <w:spacing w:after="0"/>
              <w:rPr>
                <w:sz w:val="14"/>
                <w:szCs w:val="14"/>
                <w:color w:val="auto"/>
              </w:rPr>
            </w:pPr>
          </w:p>
        </w:tc>
      </w:tr>
      <w:tr>
        <w:trPr>
          <w:trHeight w:val="195"/>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Billable Customers Method</w:t>
            </w:r>
            <w:r>
              <w:rPr>
                <w:rFonts w:ascii="Arial" w:cs="Arial" w:eastAsia="Arial" w:hAnsi="Arial"/>
                <w:sz w:val="14"/>
                <w:szCs w:val="14"/>
                <w:color w:val="auto"/>
                <w:vertAlign w:val="superscript"/>
              </w:rPr>
              <w:t>4</w:t>
            </w:r>
            <w:r>
              <w:rPr>
                <w:rFonts w:ascii="Arial" w:cs="Arial" w:eastAsia="Arial" w:hAnsi="Arial"/>
                <w:sz w:val="14"/>
                <w:szCs w:val="14"/>
                <w:color w:val="auto"/>
              </w:rPr>
              <w:t xml:space="preserve"> </w:t>
            </w:r>
            <w:r>
              <w:rPr>
                <w:rFonts w:ascii="Arial" w:cs="Arial" w:eastAsia="Arial" w:hAnsi="Arial"/>
                <w:sz w:val="10"/>
                <w:szCs w:val="10"/>
                <w:i w:val="1"/>
                <w:iCs w:val="1"/>
                <w:color w:val="auto"/>
              </w:rPr>
              <w:t>(in thousands)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2Q13</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2Q14</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2Q13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2Q14</w:t>
            </w: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22,658</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22,457</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(162)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19,986</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21,271</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187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3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10,327</w:t>
            </w:r>
          </w:p>
        </w:tc>
        <w:tc>
          <w:tcPr>
            <w:tcW w:w="13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11,003</w:t>
            </w:r>
          </w:p>
        </w:tc>
        <w:tc>
          <w:tcPr>
            <w:tcW w:w="18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161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142"/>
        </w:trPr>
        <w:tc>
          <w:tcPr>
            <w:tcW w:w="45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3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9,044</w:t>
            </w: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8,510</w:t>
            </w:r>
          </w:p>
        </w:tc>
        <w:tc>
          <w:tcPr>
            <w:tcW w:w="1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196"/>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3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8,505</w:t>
            </w: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8,574</w:t>
            </w:r>
          </w:p>
        </w:tc>
        <w:tc>
          <w:tcPr>
            <w:tcW w:w="1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03"/>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3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8,980</w:t>
            </w:r>
          </w:p>
        </w:tc>
        <w:tc>
          <w:tcPr>
            <w:tcW w:w="16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9,691</w:t>
            </w:r>
          </w:p>
        </w:tc>
        <w:tc>
          <w:tcPr>
            <w:tcW w:w="16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159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218"/>
        </w:trPr>
        <w:tc>
          <w:tcPr>
            <w:tcW w:w="418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3180" w:type="dxa"/>
            <w:vAlign w:val="bottom"/>
          </w:tcPr>
          <w:p>
            <w:pPr>
              <w:jc w:val="right"/>
              <w:ind w:right="248"/>
              <w:spacing w:after="0"/>
              <w:rPr>
                <w:sz w:val="20"/>
                <w:szCs w:val="20"/>
                <w:color w:val="auto"/>
              </w:rPr>
            </w:pPr>
            <w:r>
              <w:rPr>
                <w:rFonts w:ascii="Arial" w:cs="Arial" w:eastAsia="Arial" w:hAnsi="Arial"/>
                <w:sz w:val="14"/>
                <w:szCs w:val="14"/>
                <w:b w:val="1"/>
                <w:bCs w:val="1"/>
                <w:color w:val="auto"/>
              </w:rPr>
              <w:t>26,529</w:t>
            </w:r>
          </w:p>
        </w:tc>
        <w:tc>
          <w:tcPr>
            <w:tcW w:w="1680" w:type="dxa"/>
            <w:vAlign w:val="bottom"/>
          </w:tcPr>
          <w:p>
            <w:pPr>
              <w:jc w:val="right"/>
              <w:ind w:right="848"/>
              <w:spacing w:after="0"/>
              <w:rPr>
                <w:sz w:val="20"/>
                <w:szCs w:val="20"/>
                <w:color w:val="auto"/>
              </w:rPr>
            </w:pPr>
            <w:r>
              <w:rPr>
                <w:rFonts w:ascii="Arial" w:cs="Arial" w:eastAsia="Arial" w:hAnsi="Arial"/>
                <w:sz w:val="14"/>
                <w:szCs w:val="14"/>
                <w:b w:val="1"/>
                <w:bCs w:val="1"/>
                <w:color w:val="auto"/>
              </w:rPr>
              <w:t>26,775</w:t>
            </w:r>
          </w:p>
        </w:tc>
        <w:tc>
          <w:tcPr>
            <w:tcW w:w="1660" w:type="dxa"/>
            <w:vAlign w:val="bottom"/>
          </w:tcPr>
          <w:p>
            <w:pPr>
              <w:jc w:val="right"/>
              <w:ind w:right="348"/>
              <w:spacing w:after="0"/>
              <w:rPr>
                <w:sz w:val="20"/>
                <w:szCs w:val="20"/>
                <w:color w:val="auto"/>
              </w:rPr>
            </w:pPr>
            <w:r>
              <w:rPr>
                <w:rFonts w:ascii="Arial" w:cs="Arial" w:eastAsia="Arial" w:hAnsi="Arial"/>
                <w:sz w:val="14"/>
                <w:szCs w:val="14"/>
                <w:b w:val="1"/>
                <w:bCs w:val="1"/>
                <w:color w:val="auto"/>
              </w:rPr>
              <w:t>(66)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5.3% to $ 4.6 billion in the second quarter of 2014 compared to $ 4.3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2013, reflecting higher revenue, partially offset by a 5.4% increase in operating expenses primarily related to higher video programming costs. This quarter’s operating cash flow margin was 41.4%, consistent with the prior year period.</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2014, Cable operating cash flow increased 4.8% to $9.0 billion compared to $8.6 billion in 2013. Year-to-date operating cash flow margin was 41.1% compared to 41.4% in 2013.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2nd Quarter</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20" w:type="dxa"/>
            <w:vAlign w:val="bottom"/>
            <w:gridSpan w:val="2"/>
          </w:tcPr>
          <w:p>
            <w:pPr>
              <w:jc w:val="right"/>
              <w:ind w:right="688"/>
              <w:spacing w:after="0"/>
              <w:rPr>
                <w:sz w:val="20"/>
                <w:szCs w:val="20"/>
                <w:color w:val="auto"/>
              </w:rPr>
            </w:pPr>
            <w:r>
              <w:rPr>
                <w:rFonts w:ascii="Arial" w:cs="Arial" w:eastAsia="Arial" w:hAnsi="Arial"/>
                <w:sz w:val="14"/>
                <w:szCs w:val="14"/>
                <w:color w:val="auto"/>
              </w:rPr>
              <w:t>Year to Date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color w:val="auto"/>
              </w:rPr>
              <w:t>2014</w:t>
            </w:r>
          </w:p>
        </w:tc>
        <w:tc>
          <w:tcPr>
            <w:tcW w:w="1320" w:type="dxa"/>
            <w:vAlign w:val="bottom"/>
            <w:vMerge w:val="restart"/>
          </w:tcPr>
          <w:p>
            <w:pPr>
              <w:jc w:val="right"/>
              <w:ind w:right="408"/>
              <w:spacing w:after="0"/>
              <w:rPr>
                <w:sz w:val="20"/>
                <w:szCs w:val="20"/>
                <w:color w:val="auto"/>
              </w:rPr>
            </w:pPr>
            <w:r>
              <w:rPr>
                <w:rFonts w:ascii="Arial" w:cs="Arial" w:eastAsia="Arial" w:hAnsi="Arial"/>
                <w:sz w:val="14"/>
                <w:szCs w:val="14"/>
                <w:color w:val="auto"/>
              </w:rPr>
              <w:t>Growth</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2013</w:t>
            </w:r>
          </w:p>
        </w:tc>
        <w:tc>
          <w:tcPr>
            <w:tcW w:w="1040" w:type="dxa"/>
            <w:vAlign w:val="bottom"/>
            <w:vMerge w:val="restart"/>
          </w:tcPr>
          <w:p>
            <w:pPr>
              <w:jc w:val="right"/>
              <w:ind w:right="208"/>
              <w:spacing w:after="0"/>
              <w:rPr>
                <w:sz w:val="20"/>
                <w:szCs w:val="20"/>
                <w:color w:val="auto"/>
              </w:rPr>
            </w:pPr>
            <w:r>
              <w:rPr>
                <w:rFonts w:ascii="Arial" w:cs="Arial" w:eastAsia="Arial" w:hAnsi="Arial"/>
                <w:sz w:val="14"/>
                <w:szCs w:val="14"/>
                <w:color w:val="auto"/>
              </w:rPr>
              <w:t>2014</w:t>
            </w: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Growth</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05"/>
        </w:trPr>
        <w:tc>
          <w:tcPr>
            <w:tcW w:w="33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 in millions)</w:t>
            </w: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Olympics</w:t>
            </w:r>
          </w:p>
        </w:tc>
        <w:tc>
          <w:tcPr>
            <w:tcW w:w="0" w:type="dxa"/>
            <w:vAlign w:val="bottom"/>
          </w:tcPr>
          <w:p>
            <w:pPr>
              <w:spacing w:after="0"/>
              <w:rPr>
                <w:sz w:val="1"/>
                <w:szCs w:val="1"/>
                <w:color w:val="auto"/>
              </w:rPr>
            </w:pPr>
          </w:p>
        </w:tc>
      </w:tr>
      <w:tr>
        <w:trPr>
          <w:trHeight w:val="73"/>
        </w:trPr>
        <w:tc>
          <w:tcPr>
            <w:tcW w:w="330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Revenue</w:t>
            </w: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$2,476</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2.6%</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$4,638</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$4,981</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1,816</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4.9%</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3,249</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4,437</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36.6%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1,176</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(15.3%)</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2,604</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2,527</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615</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12.8%</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1,008</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1,102</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9.4%</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(67)</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(164)</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(155)</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$5,995</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$6,016</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0.3%</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$11,335</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$12,892</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13.7%</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NBCUniversal Operating Cash Flow</w:t>
            </w:r>
          </w:p>
        </w:tc>
        <w:tc>
          <w:tcPr>
            <w:tcW w:w="1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$914</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6.3%</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$1,719</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$1,809</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240</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16.2%</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171</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362</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111.4%</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195</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102</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483</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244</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5.6%</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404</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414</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(159)</w:t>
            </w:r>
          </w:p>
        </w:tc>
        <w:tc>
          <w:tcPr>
            <w:tcW w:w="13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(252)</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(323)</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$1,191</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$1,434</w:t>
            </w: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20.4%</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$2,144</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$2,745</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28.0%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0.3% to $6.0 billion in the second quarter of 2014 compared to last year’s second quarter as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growth in Broadcast Television, Theme Parks and Cable Networks was mostly offset by lower theatrical revenue in the Filmed Entertainment segment.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20.4% to $1.4 billion compared to $1.2 billion in the second quarter of 2013, with improvement across all segments.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2014, NBCUniversal revenue increased 13.7% to $ 12.9 billion compared to $11.3 billion in 2013. Excluding $1.1 billion of revenue generated by the Sochi Olympics in the first quarter of 2014, NBCUniversal revenue increased 4.0% (see Table 5). Operating cash flow increased 28.0% to $2.7 billion compared to $2.1 billion in the first six months of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second quarter of 2014, revenue from the Cable Networks segment increased 2.6% to $2.5 billion compared to $2.4 billion in the second quarter of 2013, reflecting a 4.2% increase in distribution revenue and a 14.3% increase in content licensing and other revenue, partially offset by a 2.2% decline in advertising revenue. Operating cash flow increased 6.3% to $914 million compared to $860 million in the second quarter of 2013, reflecting higher revenue and moderate expense growth, with continued investment in programming.</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2014, revenue from the Cable Networks segment increased 7.4% to $5.0 billion compared to $4.6 billion in 2013. Excluding $257 million of revenue generated by the Sochi Olympics in the first quarter of 2014, revenue increased 1.9%. Operating cash flow increased 5.3% to $1.8 billion compared to $1.7 billion in the first six months of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second quarter of 2014, revenue from the Broadcast Television segment increased 4.9% to $1.8 billion compared to $1.7 billion in the second quarter of 2013, driven by higher retransmission consent fees, as well as content licensing agreements, partially offset by a 1.7% decrease in advertising revenue due to fewer hours of </w:t>
      </w:r>
      <w:r>
        <w:rPr>
          <w:rFonts w:ascii="Arial" w:cs="Arial" w:eastAsia="Arial" w:hAnsi="Arial"/>
          <w:sz w:val="18"/>
          <w:szCs w:val="18"/>
          <w:i w:val="1"/>
          <w:iCs w:val="1"/>
          <w:color w:val="auto"/>
        </w:rPr>
        <w:t>The Voice</w:t>
      </w:r>
      <w:r>
        <w:rPr>
          <w:rFonts w:ascii="Arial" w:cs="Arial" w:eastAsia="Arial" w:hAnsi="Arial"/>
          <w:sz w:val="18"/>
          <w:szCs w:val="18"/>
          <w:color w:val="auto"/>
        </w:rPr>
        <w:t xml:space="preserve"> compared to the same period a year ago. Operating cash flow increased 16.2% to $240 million compared to $206 million in the second quarter of 2013, reflecting higher revenue and a slight increase in operating costs and expenses.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2014, revenue from the Broadcast Television segment increased 36.6% to $4.4 billion compared to $3.2 billion in 2013. Excluding $846 million of revenue generated by the Sochi Olympics in the first quarter of 2014, revenue increased 10.5% (see Table 5). Operating cash flow increased $191 million to $362 million compared to $171 million in the first six months of 2013.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second quarter of 2014, revenue from the Filmed Entertainment segment decreased 15.3% to $1.2 billion compared to $1.4 billion in the second quarter of 2013, reflecting lower theatrical revenue from fewer releases in the second quarter compared to the same period last year, partially offset by higher content licensing revenue, as well as higher home entertainment revenue from the strong performances of </w:t>
      </w:r>
      <w:r>
        <w:rPr>
          <w:rFonts w:ascii="Arial" w:cs="Arial" w:eastAsia="Arial" w:hAnsi="Arial"/>
          <w:sz w:val="18"/>
          <w:szCs w:val="18"/>
          <w:i w:val="1"/>
          <w:iCs w:val="1"/>
          <w:color w:val="auto"/>
        </w:rPr>
        <w:t>Ride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Along </w:t>
      </w:r>
      <w:r>
        <w:rPr>
          <w:rFonts w:ascii="Arial" w:cs="Arial" w:eastAsia="Arial" w:hAnsi="Arial"/>
          <w:sz w:val="18"/>
          <w:szCs w:val="18"/>
          <w:color w:val="auto"/>
        </w:rPr>
        <w:t>and</w:t>
      </w:r>
      <w:r>
        <w:rPr>
          <w:rFonts w:ascii="Arial" w:cs="Arial" w:eastAsia="Arial" w:hAnsi="Arial"/>
          <w:sz w:val="18"/>
          <w:szCs w:val="18"/>
          <w:i w:val="1"/>
          <w:iCs w:val="1"/>
          <w:color w:val="auto"/>
        </w:rPr>
        <w:t xml:space="preserve"> Lone Survivor. </w:t>
      </w:r>
      <w:r>
        <w:rPr>
          <w:rFonts w:ascii="Arial" w:cs="Arial" w:eastAsia="Arial" w:hAnsi="Arial"/>
          <w:sz w:val="18"/>
          <w:szCs w:val="18"/>
          <w:color w:val="auto"/>
        </w:rPr>
        <w:t>Operating cash flow increased $162 million to $195 million compared to $33 million in the second quarter of 2013,</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a decrease in the amortization of film costs and reduced advertising, marketing and promotion expense due to a smaller film slate.</w:t>
      </w:r>
    </w:p>
    <w:p>
      <w:pPr>
        <w:sectPr>
          <w:pgSz w:w="11900" w:h="16838" w:orient="portrait"/>
          <w:cols w:equalWidth="0" w:num="1">
            <w:col w:w="11420"/>
          </w:cols>
          <w:pgMar w:left="240" w:top="141" w:right="239" w:bottom="118"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For the six months ended June 30, 2014, revenue from the Filmed Entertainment segment decreased 3.0% to $2.5 billion compared to $2.6 billion in 2013. Operating cash flow increased $381 million to $483 million compared to $102 million in the first six months of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second quarter of 2014, revenue from the Theme Parks segment increased 12.8% to $615 million compared to $546 million in the second quarter of 2013, driven by higher guest attendance and per capita spending at the Orlando and Hollywood theme parks, which benefitted, in part, from the timing of Spring holidays. Second quarter operating cash flow increased 5.6% to $244 million compared to $ 231 million in the same period last year, reflecting higher revenue, offset in part by additional costs related to marketing and training to support the opening of Orlando’s </w:t>
      </w:r>
      <w:r>
        <w:rPr>
          <w:rFonts w:ascii="Arial" w:cs="Arial" w:eastAsia="Arial" w:hAnsi="Arial"/>
          <w:sz w:val="18"/>
          <w:szCs w:val="18"/>
          <w:i w:val="1"/>
          <w:iCs w:val="1"/>
          <w:color w:val="auto"/>
        </w:rPr>
        <w:t>The Wizarding World of Harry Potter</w:t>
      </w:r>
      <w:r>
        <w:rPr>
          <w:rFonts w:ascii="Arial" w:cs="Arial" w:eastAsia="Arial" w:hAnsi="Arial"/>
          <w:sz w:val="8"/>
          <w:szCs w:val="8"/>
          <w:i w:val="1"/>
          <w:iCs w:val="1"/>
          <w:color w:val="auto"/>
        </w:rPr>
        <w:t>TM</w:t>
      </w:r>
      <w:r>
        <w:rPr>
          <w:rFonts w:ascii="Arial" w:cs="Arial" w:eastAsia="Arial" w:hAnsi="Arial"/>
          <w:sz w:val="18"/>
          <w:szCs w:val="18"/>
          <w:color w:val="auto"/>
        </w:rPr>
        <w:t xml:space="preserve"> </w:t>
      </w:r>
      <w:r>
        <w:rPr>
          <w:rFonts w:ascii="Arial" w:cs="Arial" w:eastAsia="Arial" w:hAnsi="Arial"/>
          <w:sz w:val="18"/>
          <w:szCs w:val="18"/>
          <w:i w:val="1"/>
          <w:iCs w:val="1"/>
          <w:color w:val="auto"/>
        </w:rPr>
        <w:t>– Diagon Alley</w:t>
      </w:r>
      <w:r>
        <w:rPr>
          <w:rFonts w:ascii="Arial" w:cs="Arial" w:eastAsia="Arial" w:hAnsi="Arial"/>
          <w:sz w:val="8"/>
          <w:szCs w:val="8"/>
          <w:i w:val="1"/>
          <w:iCs w:val="1"/>
          <w:color w:val="auto"/>
        </w:rPr>
        <w:t>TM</w:t>
      </w:r>
      <w:r>
        <w:rPr>
          <w:rFonts w:ascii="Arial" w:cs="Arial" w:eastAsia="Arial" w:hAnsi="Arial"/>
          <w:sz w:val="18"/>
          <w:szCs w:val="18"/>
          <w:color w:val="auto"/>
        </w:rPr>
        <w:t>, which officially opened on July 8</w:t>
      </w:r>
      <w:r>
        <w:rPr>
          <w:rFonts w:ascii="Arial" w:cs="Arial" w:eastAsia="Arial" w:hAnsi="Arial"/>
          <w:sz w:val="8"/>
          <w:szCs w:val="8"/>
          <w:color w:val="auto"/>
        </w:rPr>
        <w:t>th</w:t>
      </w:r>
      <w:r>
        <w:rPr>
          <w:rFonts w:ascii="Arial" w:cs="Arial" w:eastAsia="Arial" w:hAnsi="Arial"/>
          <w:sz w:val="18"/>
          <w:szCs w:val="18"/>
          <w:color w:val="auto"/>
        </w:rPr>
        <w: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2014, revenue from the Theme Parks segment increased 9.4% to $1.1 billion compared to $1.0 billion in 2013. Operating cash flow increased 2.5% to $414 million compared to $404 million in the first six months of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2014, NBCUniversal Headquarters, Other and Eliminations operating cash flow loss was $159 million compared to a loss of $139 million in the second quarter of 2013, reflecting higher employee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2014, NBCUniversal Headquarters, Other and Eliminations operating cash flow loss was $323 million compared to a loss of $252 million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June 30, 2014, Corporate, Other and Eliminations revenue was ($201) million compared to ($192) million in 2013. The operating cash flow loss was $194 million, including $44 million of costs related to the Time Warner Cable and Charter transactions, compared to a loss of $101 million in the second quarter of 2013.</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2014, Corporate, Other and Eliminations revenue was ($426) million compared to ($439) million in 2013. The operating cash flow loss was $367 million, including $61 million of transaction-related costs, compared to a loss of $239 million in the first six months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180" w:hanging="166"/>
        <w:spacing w:after="0" w:line="246" w:lineRule="auto"/>
        <w:tabs>
          <w:tab w:leader="none" w:pos="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80" w:hanging="166"/>
        <w:spacing w:after="0" w:line="236"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Video customer metrics for 2013 are now presented on the Billable Customers Method to provide an appropriate comparison. For high-speed Internet and voice customers, the differences in the customer metrics using the Billable Customers Method and the EBU Method were not material and 2013 data has not been adjusted.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July 22, 2014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57489596. A replay of the call will be available starting at 12:30 p.m. ET on July 22, 2014, on the Investor Relations website or by telephone. To access the telephone replay, which will be available until Tuesday, July 29, 2014 at midnight ET, please dial (855) 859-2056 and enter the conference ID number 57489596.</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r>
      <w:tr>
        <w:trPr>
          <w:trHeight w:val="593"/>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00" w:type="dxa"/>
            <w:vAlign w:val="bottom"/>
          </w:tcPr>
          <w:p>
            <w:pPr>
              <w:spacing w:after="0"/>
              <w:rPr>
                <w:sz w:val="24"/>
                <w:szCs w:val="24"/>
                <w:color w:val="auto"/>
              </w:rPr>
            </w:pPr>
          </w:p>
        </w:tc>
        <w:tc>
          <w:tcPr>
            <w:tcW w:w="3520" w:type="dxa"/>
            <w:vAlign w:val="bottom"/>
          </w:tcPr>
          <w:p>
            <w:pPr>
              <w:ind w:left="1880"/>
              <w:spacing w:after="0"/>
              <w:rPr>
                <w:sz w:val="20"/>
                <w:szCs w:val="20"/>
                <w:color w:val="auto"/>
              </w:rPr>
            </w:pPr>
            <w:r>
              <w:rPr>
                <w:rFonts w:ascii="Arial" w:cs="Arial" w:eastAsia="Arial" w:hAnsi="Arial"/>
                <w:sz w:val="18"/>
                <w:szCs w:val="18"/>
                <w:b w:val="1"/>
                <w:bCs w:val="1"/>
                <w:color w:val="auto"/>
              </w:rPr>
              <w:t>Press Contacts:</w:t>
            </w:r>
          </w:p>
        </w:tc>
        <w:tc>
          <w:tcPr>
            <w:tcW w:w="1500" w:type="dxa"/>
            <w:vAlign w:val="bottom"/>
          </w:tcPr>
          <w:p>
            <w:pPr>
              <w:spacing w:after="0"/>
              <w:rPr>
                <w:sz w:val="24"/>
                <w:szCs w:val="24"/>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00" w:type="dxa"/>
            <w:vAlign w:val="bottom"/>
          </w:tcPr>
          <w:p>
            <w:pPr>
              <w:jc w:val="right"/>
              <w:ind w:right="990"/>
              <w:spacing w:after="0" w:line="202" w:lineRule="exact"/>
              <w:rPr>
                <w:sz w:val="20"/>
                <w:szCs w:val="20"/>
                <w:color w:val="auto"/>
              </w:rPr>
            </w:pPr>
            <w:r>
              <w:rPr>
                <w:rFonts w:ascii="Arial" w:cs="Arial" w:eastAsia="Arial" w:hAnsi="Arial"/>
                <w:sz w:val="18"/>
                <w:szCs w:val="18"/>
                <w:color w:val="auto"/>
              </w:rPr>
              <w:t>(215) 286-7972</w:t>
            </w:r>
          </w:p>
        </w:tc>
        <w:tc>
          <w:tcPr>
            <w:tcW w:w="3520" w:type="dxa"/>
            <w:vAlign w:val="bottom"/>
          </w:tcPr>
          <w:p>
            <w:pPr>
              <w:ind w:left="1880"/>
              <w:spacing w:after="0" w:line="202" w:lineRule="exact"/>
              <w:rPr>
                <w:sz w:val="20"/>
                <w:szCs w:val="20"/>
                <w:color w:val="auto"/>
              </w:rPr>
            </w:pPr>
            <w:r>
              <w:rPr>
                <w:rFonts w:ascii="Arial" w:cs="Arial" w:eastAsia="Arial" w:hAnsi="Arial"/>
                <w:sz w:val="18"/>
                <w:szCs w:val="18"/>
                <w:color w:val="auto"/>
              </w:rPr>
              <w:t>D’Arcy Rudnay</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880" w:type="dxa"/>
            <w:vAlign w:val="bottom"/>
          </w:tcPr>
          <w:p>
            <w:pPr>
              <w:spacing w:after="0"/>
              <w:rPr>
                <w:sz w:val="20"/>
                <w:szCs w:val="20"/>
                <w:color w:val="auto"/>
              </w:rPr>
            </w:pPr>
            <w:r>
              <w:rPr>
                <w:rFonts w:ascii="Arial" w:cs="Arial" w:eastAsia="Arial" w:hAnsi="Arial"/>
                <w:sz w:val="18"/>
                <w:szCs w:val="18"/>
                <w:color w:val="auto"/>
              </w:rPr>
              <w:t>Jane Kearns</w:t>
            </w:r>
          </w:p>
        </w:tc>
        <w:tc>
          <w:tcPr>
            <w:tcW w:w="2600" w:type="dxa"/>
            <w:vAlign w:val="bottom"/>
          </w:tcPr>
          <w:p>
            <w:pPr>
              <w:jc w:val="right"/>
              <w:ind w:right="990"/>
              <w:spacing w:after="0"/>
              <w:rPr>
                <w:sz w:val="20"/>
                <w:szCs w:val="20"/>
                <w:color w:val="auto"/>
              </w:rPr>
            </w:pPr>
            <w:r>
              <w:rPr>
                <w:rFonts w:ascii="Arial" w:cs="Arial" w:eastAsia="Arial" w:hAnsi="Arial"/>
                <w:sz w:val="18"/>
                <w:szCs w:val="18"/>
                <w:color w:val="auto"/>
              </w:rPr>
              <w:t>(215) 286-4794</w:t>
            </w:r>
          </w:p>
        </w:tc>
        <w:tc>
          <w:tcPr>
            <w:tcW w:w="3520" w:type="dxa"/>
            <w:vAlign w:val="bottom"/>
          </w:tcPr>
          <w:p>
            <w:pPr>
              <w:ind w:left="1880"/>
              <w:spacing w:after="0"/>
              <w:rPr>
                <w:sz w:val="20"/>
                <w:szCs w:val="20"/>
                <w:color w:val="auto"/>
              </w:rPr>
            </w:pPr>
            <w:r>
              <w:rPr>
                <w:rFonts w:ascii="Arial" w:cs="Arial" w:eastAsia="Arial" w:hAnsi="Arial"/>
                <w:sz w:val="18"/>
                <w:szCs w:val="18"/>
                <w:color w:val="auto"/>
              </w:rPr>
              <w:t>John Demming</w:t>
            </w:r>
          </w:p>
        </w:tc>
        <w:tc>
          <w:tcPr>
            <w:tcW w:w="150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ectPr>
          <w:pgSz w:w="11900" w:h="16838" w:orient="portrait"/>
          <w:cols w:equalWidth="0" w:num="1">
            <w:col w:w="11420"/>
          </w:cols>
          <w:pgMar w:left="240" w:top="140"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8"/>
                <w:szCs w:val="18"/>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00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0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20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2013</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$16,270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$16,844</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$31,580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$34,252</w:t>
            </w:r>
          </w:p>
        </w:tc>
        <w:tc>
          <w:tcPr>
            <w:tcW w:w="0" w:type="dxa"/>
            <w:vAlign w:val="bottom"/>
          </w:tcPr>
          <w:p>
            <w:pPr>
              <w:spacing w:after="0"/>
              <w:rPr>
                <w:sz w:val="1"/>
                <w:szCs w:val="1"/>
                <w:color w:val="auto"/>
              </w:rPr>
            </w:pPr>
          </w:p>
        </w:tc>
      </w:tr>
      <w:tr>
        <w:trPr>
          <w:trHeight w:val="359"/>
        </w:trPr>
        <w:tc>
          <w:tcPr>
            <w:tcW w:w="50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4,968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4,874</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9,631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10,782</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4,570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4,924</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9,036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9,676</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1,307</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1,242</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2,452</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10,845</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11,040</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21,121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22,910</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5,425</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5,804</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10,459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11,342</w:t>
            </w:r>
          </w:p>
        </w:tc>
        <w:tc>
          <w:tcPr>
            <w:tcW w:w="0" w:type="dxa"/>
            <w:vAlign w:val="bottom"/>
          </w:tcPr>
          <w:p>
            <w:pPr>
              <w:spacing w:after="0"/>
              <w:rPr>
                <w:sz w:val="1"/>
                <w:szCs w:val="1"/>
                <w:color w:val="auto"/>
              </w:rPr>
            </w:pPr>
          </w:p>
        </w:tc>
      </w:tr>
      <w:tr>
        <w:trPr>
          <w:trHeight w:val="369"/>
        </w:trPr>
        <w:tc>
          <w:tcPr>
            <w:tcW w:w="50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1,583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1,599</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3,149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3,168</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401</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802</w:t>
            </w: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1,990</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3,957</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3,970</w:t>
            </w: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3,435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3,804</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6,502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7,372</w:t>
            </w:r>
          </w:p>
        </w:tc>
        <w:tc>
          <w:tcPr>
            <w:tcW w:w="0" w:type="dxa"/>
            <w:vAlign w:val="bottom"/>
          </w:tcPr>
          <w:p>
            <w:pPr>
              <w:spacing w:after="0"/>
              <w:rPr>
                <w:sz w:val="1"/>
                <w:szCs w:val="1"/>
                <w:color w:val="auto"/>
              </w:rPr>
            </w:pPr>
          </w:p>
        </w:tc>
      </w:tr>
      <w:tr>
        <w:trPr>
          <w:trHeight w:val="368"/>
        </w:trPr>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(1,290)</w:t>
            </w:r>
          </w:p>
        </w:tc>
        <w:tc>
          <w:tcPr>
            <w:tcW w:w="0" w:type="dxa"/>
            <w:vAlign w:val="bottom"/>
          </w:tcPr>
          <w:p>
            <w:pPr>
              <w:spacing w:after="0"/>
              <w:rPr>
                <w:sz w:val="1"/>
                <w:szCs w:val="1"/>
                <w:color w:val="auto"/>
              </w:rPr>
            </w:pPr>
          </w:p>
        </w:tc>
      </w:tr>
      <w:tr>
        <w:trPr>
          <w:trHeight w:val="181"/>
        </w:trPr>
        <w:tc>
          <w:tcPr>
            <w:tcW w:w="500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(636)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(1,289)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120</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233</w:t>
            </w: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(1,057)</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2,792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3,259</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5,362</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6,315</w:t>
            </w: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(1,234)</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(2,352)</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1,744</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3,389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3,963</w:t>
            </w:r>
          </w:p>
        </w:tc>
        <w:tc>
          <w:tcPr>
            <w:tcW w:w="0" w:type="dxa"/>
            <w:vAlign w:val="bottom"/>
          </w:tcPr>
          <w:p>
            <w:pPr>
              <w:spacing w:after="0"/>
              <w:rPr>
                <w:sz w:val="1"/>
                <w:szCs w:val="1"/>
                <w:color w:val="auto"/>
              </w:rPr>
            </w:pPr>
          </w:p>
        </w:tc>
      </w:tr>
      <w:tr>
        <w:trPr>
          <w:trHeight w:val="391"/>
        </w:trPr>
        <w:tc>
          <w:tcPr>
            <w:tcW w:w="50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7"/>
        </w:trPr>
        <w:tc>
          <w:tcPr>
            <w:tcW w:w="5000" w:type="dxa"/>
            <w:vAlign w:val="bottom"/>
          </w:tcPr>
          <w:p>
            <w:pPr>
              <w:ind w:left="360"/>
              <w:spacing w:after="0"/>
              <w:rPr>
                <w:sz w:val="20"/>
                <w:szCs w:val="20"/>
                <w:color w:val="auto"/>
              </w:rPr>
            </w:pPr>
            <w:r>
              <w:rPr>
                <w:rFonts w:ascii="Arial" w:cs="Arial" w:eastAsia="Arial" w:hAnsi="Arial"/>
                <w:sz w:val="18"/>
                <w:szCs w:val="18"/>
                <w:color w:val="auto"/>
              </w:rPr>
              <w:t>and redeemable subsidiary preferred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$1,734</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$1,992</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$3,171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$3,863</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$0.76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$0.225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$0.45</w:t>
            </w: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$0.195</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2,666</w:t>
            </w: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2,628</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2,672</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2,636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221"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21" w:gutter="0" w:footer="0" w:header="0"/>
          <w:type w:val="continuous"/>
        </w:sectPr>
      </w:pPr>
    </w:p>
    <w:bookmarkStart w:id="7" w:name="page8"/>
    <w:bookmarkEnd w:id="7"/>
    <w:p>
      <w:pPr>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$1,718</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3,573</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rPr>
                <w:sz w:val="20"/>
                <w:szCs w:val="20"/>
                <w:color w:val="auto"/>
              </w:rPr>
            </w:pPr>
            <w:r>
              <w:rPr>
                <w:rFonts w:ascii="Arial" w:cs="Arial" w:eastAsia="Arial" w:hAnsi="Arial"/>
                <w:sz w:val="18"/>
                <w:szCs w:val="18"/>
                <w:color w:val="auto"/>
              </w:rPr>
              <w:t>6,376</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14,075</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40" w:type="dxa"/>
            <w:vAlign w:val="bottom"/>
          </w:tcPr>
          <w:p>
            <w:pPr>
              <w:ind w:left="44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5,208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3,770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29,840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29,970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27,098</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27,323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17,329</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17,233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40" w:type="dxa"/>
            <w:vAlign w:val="bottom"/>
          </w:tcPr>
          <w:p>
            <w:pPr>
              <w:ind w:left="44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$5,528</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898</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7,967</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18,912</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40" w:type="dxa"/>
            <w:vAlign w:val="bottom"/>
          </w:tcPr>
          <w:p>
            <w:pPr>
              <w:ind w:left="4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44,567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43,602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31,935</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31,854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11,384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11,241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40" w:type="dxa"/>
            <w:vAlign w:val="bottom"/>
          </w:tcPr>
          <w:p>
            <w:pPr>
              <w:ind w:left="4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40" w:type="dxa"/>
            <w:vAlign w:val="bottom"/>
          </w:tcPr>
          <w:p>
            <w:pPr>
              <w:ind w:left="60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50,694</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51,058</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52,332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1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$157,459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4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8100" w:type="dxa"/>
            <w:vAlign w:val="bottom"/>
          </w:tcPr>
          <w:p>
            <w:pPr>
              <w:spacing w:after="0"/>
              <w:rPr>
                <w:sz w:val="20"/>
                <w:szCs w:val="20"/>
                <w:color w:val="auto"/>
              </w:rPr>
            </w:pPr>
            <w:r>
              <w:rPr>
                <w:rFonts w:ascii="Arial" w:cs="Arial" w:eastAsia="Arial" w:hAnsi="Arial"/>
                <w:sz w:val="18"/>
                <w:szCs w:val="18"/>
                <w:color w:val="auto"/>
              </w:rPr>
              <w:t>(in millions)</w:t>
            </w:r>
          </w:p>
        </w:tc>
        <w:tc>
          <w:tcPr>
            <w:tcW w:w="3000" w:type="dxa"/>
            <w:vAlign w:val="bottom"/>
            <w:gridSpan w:val="4"/>
          </w:tcPr>
          <w:p>
            <w:pPr>
              <w:ind w:lef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7"/>
        </w:trPr>
        <w:tc>
          <w:tcPr>
            <w:tcW w:w="8100" w:type="dxa"/>
            <w:vAlign w:val="bottom"/>
          </w:tcPr>
          <w:p>
            <w:pPr>
              <w:spacing w:after="0"/>
              <w:rPr>
                <w:sz w:val="22"/>
                <w:szCs w:val="22"/>
                <w:color w:val="auto"/>
              </w:rPr>
            </w:pPr>
          </w:p>
        </w:tc>
        <w:tc>
          <w:tcPr>
            <w:tcW w:w="2000" w:type="dxa"/>
            <w:vAlign w:val="bottom"/>
            <w:gridSpan w:val="3"/>
          </w:tcPr>
          <w:p>
            <w:pPr>
              <w:ind w:left="114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8"/>
        </w:trPr>
        <w:tc>
          <w:tcPr>
            <w:tcW w:w="81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$3,963</w:t>
            </w:r>
          </w:p>
        </w:tc>
        <w:tc>
          <w:tcPr>
            <w:tcW w:w="0" w:type="dxa"/>
            <w:vAlign w:val="bottom"/>
          </w:tcPr>
          <w:p>
            <w:pPr>
              <w:spacing w:after="0"/>
              <w:rPr>
                <w:sz w:val="1"/>
                <w:szCs w:val="1"/>
                <w:color w:val="auto"/>
              </w:rPr>
            </w:pPr>
          </w:p>
        </w:tc>
      </w:tr>
      <w:tr>
        <w:trPr>
          <w:trHeight w:val="217"/>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Pr>
          <w:p>
            <w:pPr>
              <w:ind w:left="740"/>
              <w:spacing w:after="0"/>
              <w:rPr>
                <w:sz w:val="20"/>
                <w:szCs w:val="20"/>
                <w:color w:val="auto"/>
              </w:rPr>
            </w:pPr>
            <w:r>
              <w:rPr>
                <w:rFonts w:ascii="Arial" w:cs="Arial" w:eastAsia="Arial" w:hAnsi="Arial"/>
                <w:sz w:val="18"/>
                <w:szCs w:val="18"/>
                <w:color w:val="auto"/>
              </w:rPr>
              <w:t>$3,389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93"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620"/>
              <w:spacing w:after="0" w:line="181"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3,957</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620"/>
              <w:spacing w:after="0" w:line="181"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750</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6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62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7,685</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440"/>
              <w:spacing w:after="0" w:line="181"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(2,867)</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(1,311)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Return of capital from investees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44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348</w:t>
            </w: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2,933</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(10,761)</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Settlement of Station Venture liability</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(12,287)</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spacing w:after="0"/>
              <w:rPr>
                <w:sz w:val="20"/>
                <w:szCs w:val="20"/>
                <w:color w:val="auto"/>
              </w:rPr>
            </w:pPr>
            <w:r>
              <w:rPr>
                <w:rFonts w:ascii="Arial" w:cs="Arial" w:eastAsia="Arial" w:hAnsi="Arial"/>
                <w:sz w:val="18"/>
                <w:szCs w:val="18"/>
                <w:color w:val="auto"/>
              </w:rPr>
              <w:t>(9,562)</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tcPr>
          <w:p>
            <w:pPr>
              <w:ind w:left="26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10,951</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$1,389</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6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color w:val="auto"/>
              </w:rPr>
              <w:t>2013</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color w:val="auto"/>
              </w:rPr>
              <w:t>2013</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47"/>
        </w:trPr>
        <w:tc>
          <w:tcPr>
            <w:tcW w:w="456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Operating income</w:t>
            </w:r>
          </w:p>
        </w:tc>
        <w:tc>
          <w:tcPr>
            <w:tcW w:w="9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$3,435</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$3,804</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$6,502</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$7,372</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1,990</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3,957</w:t>
            </w:r>
          </w:p>
        </w:tc>
        <w:tc>
          <w:tcPr>
            <w:tcW w:w="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3,970</w:t>
            </w: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Operating income before depreciation and amortization</w:t>
            </w:r>
          </w:p>
        </w:tc>
        <w:tc>
          <w:tcPr>
            <w:tcW w:w="9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5,425</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5,804</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10,459</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11,342</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147</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w:t>
            </w:r>
          </w:p>
        </w:tc>
        <w:tc>
          <w:tcPr>
            <w:tcW w:w="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(905)</w:t>
            </w: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Cash basis operating income</w:t>
            </w:r>
          </w:p>
        </w:tc>
        <w:tc>
          <w:tcPr>
            <w:tcW w:w="960" w:type="dxa"/>
            <w:vAlign w:val="bottom"/>
          </w:tcPr>
          <w:p>
            <w:pPr>
              <w:jc w:val="right"/>
              <w:ind w:right="28"/>
              <w:spacing w:after="0" w:line="156" w:lineRule="exact"/>
              <w:rPr>
                <w:sz w:val="20"/>
                <w:szCs w:val="20"/>
                <w:color w:val="auto"/>
              </w:rPr>
            </w:pPr>
            <w:r>
              <w:rPr>
                <w:rFonts w:ascii="Arial" w:cs="Arial" w:eastAsia="Arial" w:hAnsi="Arial"/>
                <w:sz w:val="14"/>
                <w:szCs w:val="14"/>
                <w:color w:val="auto"/>
              </w:rPr>
              <w:t>5,585</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5,313</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11,090</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8"/>
              <w:spacing w:after="0" w:line="156" w:lineRule="exact"/>
              <w:rPr>
                <w:sz w:val="20"/>
                <w:szCs w:val="20"/>
                <w:color w:val="auto"/>
              </w:rPr>
            </w:pPr>
            <w:r>
              <w:rPr>
                <w:rFonts w:ascii="Arial" w:cs="Arial" w:eastAsia="Arial" w:hAnsi="Arial"/>
                <w:sz w:val="14"/>
                <w:szCs w:val="14"/>
                <w:b w:val="1"/>
                <w:bCs w:val="1"/>
                <w:color w:val="auto"/>
              </w:rPr>
              <w:t>10,703</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interest</w:t>
            </w:r>
          </w:p>
        </w:tc>
        <w:tc>
          <w:tcPr>
            <w:tcW w:w="960" w:type="dxa"/>
            <w:vAlign w:val="bottom"/>
          </w:tcPr>
          <w:p>
            <w:pPr>
              <w:jc w:val="right"/>
              <w:spacing w:after="0"/>
              <w:rPr>
                <w:sz w:val="20"/>
                <w:szCs w:val="20"/>
                <w:color w:val="auto"/>
              </w:rPr>
            </w:pPr>
            <w:r>
              <w:rPr>
                <w:rFonts w:ascii="Arial" w:cs="Arial" w:eastAsia="Arial" w:hAnsi="Arial"/>
                <w:sz w:val="14"/>
                <w:szCs w:val="14"/>
                <w:color w:val="auto"/>
              </w:rPr>
              <w:t>(515)</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(541)</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(1,132)</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(1,164)</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60" w:type="dxa"/>
            <w:vAlign w:val="bottom"/>
          </w:tcPr>
          <w:p>
            <w:pPr>
              <w:jc w:val="right"/>
              <w:spacing w:after="0"/>
              <w:rPr>
                <w:sz w:val="20"/>
                <w:szCs w:val="20"/>
                <w:color w:val="auto"/>
              </w:rPr>
            </w:pPr>
            <w:r>
              <w:rPr>
                <w:rFonts w:ascii="Arial" w:cs="Arial" w:eastAsia="Arial" w:hAnsi="Arial"/>
                <w:sz w:val="14"/>
                <w:szCs w:val="14"/>
                <w:color w:val="auto"/>
              </w:rPr>
              <w:t>(1,761)</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(1,718)</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(2,222)</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(1,904)</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$3,316</w:t>
            </w:r>
          </w:p>
        </w:tc>
        <w:tc>
          <w:tcPr>
            <w:tcW w:w="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$3,061</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$7,685</w:t>
            </w:r>
          </w:p>
        </w:tc>
        <w:tc>
          <w:tcPr>
            <w:tcW w:w="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$7,547</w:t>
            </w: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(1,506)</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(1,798)</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(2,867)</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(3,246)</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(444)</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(477)</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158"/>
        </w:trPr>
        <w:tc>
          <w:tcPr>
            <w:tcW w:w="4560" w:type="dxa"/>
            <w:vAlign w:val="bottom"/>
          </w:tcPr>
          <w:p>
            <w:pPr>
              <w:ind w:left="180"/>
              <w:spacing w:after="0" w:line="157" w:lineRule="exact"/>
              <w:rPr>
                <w:sz w:val="20"/>
                <w:szCs w:val="20"/>
                <w:color w:val="auto"/>
              </w:rPr>
            </w:pPr>
            <w:r>
              <w:rPr>
                <w:rFonts w:ascii="Arial" w:cs="Arial" w:eastAsia="Arial" w:hAnsi="Arial"/>
                <w:sz w:val="14"/>
                <w:szCs w:val="14"/>
                <w:color w:val="auto"/>
              </w:rPr>
              <w:t>redeemable subsidiary preferred stock</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(67)</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(116)</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203</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c>
          <w:tcPr>
            <w:tcW w:w="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$1,948</w:t>
            </w:r>
          </w:p>
        </w:tc>
        <w:tc>
          <w:tcPr>
            <w:tcW w:w="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$1,155</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$5,086</w:t>
            </w:r>
          </w:p>
        </w:tc>
        <w:tc>
          <w:tcPr>
            <w:tcW w:w="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$3,979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of EPS Excluding Gains on Sales and Acquisition-Related Items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117475</wp:posOffset>
            </wp:positionV>
            <wp:extent cx="8890" cy="70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7048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bookmarkStart w:id="9" w:name="page10"/>
    <w:bookmarkEnd w:id="9"/>
    <w:p>
      <w:pPr>
        <w:spacing w:after="0" w:line="4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8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980" w:type="dxa"/>
            <w:vAlign w:val="bottom"/>
            <w:vMerge w:val="continue"/>
          </w:tcPr>
          <w:p>
            <w:pPr>
              <w:spacing w:after="0"/>
              <w:rPr>
                <w:sz w:val="13"/>
                <w:szCs w:val="13"/>
                <w:color w:val="auto"/>
              </w:rPr>
            </w:pP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gridSpan w:val="3"/>
            <w:vMerge w:val="restart"/>
          </w:tcPr>
          <w:p>
            <w:pPr>
              <w:ind w:left="80"/>
              <w:spacing w:after="0" w:line="304" w:lineRule="exact"/>
              <w:rPr>
                <w:sz w:val="20"/>
                <w:szCs w:val="20"/>
                <w:color w:val="auto"/>
              </w:rPr>
            </w:pPr>
            <w:r>
              <w:rPr>
                <w:rFonts w:ascii="Arial" w:cs="Arial" w:eastAsia="Arial" w:hAnsi="Arial"/>
                <w:sz w:val="28"/>
                <w:szCs w:val="28"/>
                <w:color w:val="auto"/>
                <w:vertAlign w:val="subscript"/>
              </w:rPr>
              <w:t>EPS</w:t>
            </w:r>
            <w:r>
              <w:rPr>
                <w:rFonts w:ascii="Arial" w:cs="Arial" w:eastAsia="Arial" w:hAnsi="Arial"/>
                <w:sz w:val="7"/>
                <w:szCs w:val="7"/>
                <w:color w:val="auto"/>
              </w:rPr>
              <w:t xml:space="preserve"> (2)</w:t>
            </w:r>
          </w:p>
        </w:tc>
        <w:tc>
          <w:tcPr>
            <w:tcW w:w="8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gridSpan w:val="2"/>
            <w:vMerge w:val="restart"/>
          </w:tcPr>
          <w:p>
            <w:pPr>
              <w:ind w:left="40"/>
              <w:spacing w:after="0" w:line="304" w:lineRule="exact"/>
              <w:rPr>
                <w:sz w:val="20"/>
                <w:szCs w:val="20"/>
                <w:color w:val="auto"/>
              </w:rPr>
            </w:pPr>
            <w:r>
              <w:rPr>
                <w:rFonts w:ascii="Arial" w:cs="Arial" w:eastAsia="Arial" w:hAnsi="Arial"/>
                <w:sz w:val="28"/>
                <w:szCs w:val="28"/>
                <w:b w:val="1"/>
                <w:bCs w:val="1"/>
                <w:color w:val="auto"/>
                <w:vertAlign w:val="subscript"/>
              </w:rPr>
              <w:t>EPS</w:t>
            </w:r>
            <w:r>
              <w:rPr>
                <w:rFonts w:ascii="Arial" w:cs="Arial" w:eastAsia="Arial" w:hAnsi="Arial"/>
                <w:sz w:val="7"/>
                <w:szCs w:val="7"/>
                <w:b w:val="1"/>
                <w:bCs w:val="1"/>
                <w:color w:val="auto"/>
              </w:rPr>
              <w:t xml:space="preserve"> (2)</w:t>
            </w:r>
          </w:p>
        </w:tc>
        <w:tc>
          <w:tcPr>
            <w:tcW w:w="80" w:type="dxa"/>
            <w:vAlign w:val="bottom"/>
          </w:tcPr>
          <w:p>
            <w:pPr>
              <w:spacing w:after="0"/>
              <w:rPr>
                <w:sz w:val="13"/>
                <w:szCs w:val="13"/>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1000" w:type="dxa"/>
            <w:vAlign w:val="bottom"/>
            <w:gridSpan w:val="3"/>
            <w:vMerge w:val="restart"/>
          </w:tcPr>
          <w:p>
            <w:pPr>
              <w:ind w:left="40"/>
              <w:spacing w:after="0" w:line="304" w:lineRule="exact"/>
              <w:rPr>
                <w:sz w:val="20"/>
                <w:szCs w:val="20"/>
                <w:color w:val="auto"/>
              </w:rPr>
            </w:pPr>
            <w:r>
              <w:rPr>
                <w:rFonts w:ascii="Arial" w:cs="Arial" w:eastAsia="Arial" w:hAnsi="Arial"/>
                <w:sz w:val="28"/>
                <w:szCs w:val="28"/>
                <w:color w:val="auto"/>
                <w:vertAlign w:val="subscript"/>
              </w:rPr>
              <w:t>EPS</w:t>
            </w:r>
            <w:r>
              <w:rPr>
                <w:rFonts w:ascii="Arial" w:cs="Arial" w:eastAsia="Arial" w:hAnsi="Arial"/>
                <w:sz w:val="7"/>
                <w:szCs w:val="7"/>
                <w:color w:val="auto"/>
              </w:rPr>
              <w:t xml:space="preserve"> (2)</w:t>
            </w:r>
          </w:p>
        </w:tc>
        <w:tc>
          <w:tcPr>
            <w:tcW w:w="8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72"/>
              <w:spacing w:after="0" w:line="304" w:lineRule="exact"/>
              <w:rPr>
                <w:sz w:val="20"/>
                <w:szCs w:val="20"/>
                <w:color w:val="auto"/>
              </w:rPr>
            </w:pPr>
            <w:r>
              <w:rPr>
                <w:rFonts w:ascii="Arial" w:cs="Arial" w:eastAsia="Arial" w:hAnsi="Arial"/>
                <w:sz w:val="28"/>
                <w:szCs w:val="28"/>
                <w:b w:val="1"/>
                <w:bCs w:val="1"/>
                <w:color w:val="auto"/>
                <w:w w:val="91"/>
                <w:vertAlign w:val="subscript"/>
              </w:rPr>
              <w:t>EPS</w:t>
            </w:r>
            <w:r>
              <w:rPr>
                <w:rFonts w:ascii="Arial" w:cs="Arial" w:eastAsia="Arial" w:hAnsi="Arial"/>
                <w:sz w:val="7"/>
                <w:szCs w:val="7"/>
                <w:b w:val="1"/>
                <w:bCs w:val="1"/>
                <w:color w:val="auto"/>
                <w:w w:val="91"/>
              </w:rPr>
              <w:t xml:space="preserve"> (2)</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398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$1,734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7"/>
              </w:rPr>
              <w:t>$1,992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$0.76</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$3,171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7"/>
              </w:rPr>
              <w:t>$3,863</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148"/>
              <w:spacing w:after="0"/>
              <w:rPr>
                <w:sz w:val="20"/>
                <w:szCs w:val="20"/>
                <w:color w:val="auto"/>
              </w:rPr>
            </w:pPr>
            <w:r>
              <w:rPr>
                <w:rFonts w:ascii="Arial" w:cs="Arial" w:eastAsia="Arial" w:hAnsi="Arial"/>
                <w:sz w:val="14"/>
                <w:szCs w:val="14"/>
                <w:i w:val="1"/>
                <w:iCs w:val="1"/>
                <w:color w:val="auto"/>
              </w:rPr>
              <w:t>14.8%</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16.9%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i w:val="1"/>
                <w:iCs w:val="1"/>
                <w:color w:val="auto"/>
              </w:rPr>
              <w:t>21.8%</w:t>
            </w:r>
          </w:p>
        </w:tc>
        <w:tc>
          <w:tcPr>
            <w:tcW w:w="600" w:type="dxa"/>
            <w:vAlign w:val="bottom"/>
          </w:tcPr>
          <w:p>
            <w:pPr>
              <w:jc w:val="center"/>
              <w:ind w:left="112"/>
              <w:spacing w:after="0"/>
              <w:rPr>
                <w:sz w:val="20"/>
                <w:szCs w:val="20"/>
                <w:color w:val="auto"/>
              </w:rPr>
            </w:pPr>
            <w:r>
              <w:rPr>
                <w:rFonts w:ascii="Arial" w:cs="Arial" w:eastAsia="Arial" w:hAnsi="Arial"/>
                <w:sz w:val="14"/>
                <w:szCs w:val="14"/>
                <w:i w:val="1"/>
                <w:iCs w:val="1"/>
                <w:color w:val="auto"/>
              </w:rPr>
              <w:t>23.5%</w:t>
            </w:r>
          </w:p>
        </w:tc>
        <w:tc>
          <w:tcPr>
            <w:tcW w:w="0" w:type="dxa"/>
            <w:vAlign w:val="bottom"/>
          </w:tcPr>
          <w:p>
            <w:pPr>
              <w:spacing w:after="0"/>
              <w:rPr>
                <w:sz w:val="1"/>
                <w:szCs w:val="1"/>
                <w:color w:val="auto"/>
              </w:rPr>
            </w:pPr>
          </w:p>
        </w:tc>
      </w:tr>
      <w:tr>
        <w:trPr>
          <w:trHeight w:val="219"/>
        </w:trPr>
        <w:tc>
          <w:tcPr>
            <w:tcW w:w="3980" w:type="dxa"/>
            <w:vAlign w:val="bottom"/>
          </w:tcPr>
          <w:p>
            <w:pPr>
              <w:ind w:left="440"/>
              <w:spacing w:after="0"/>
              <w:rPr>
                <w:sz w:val="20"/>
                <w:szCs w:val="20"/>
                <w:color w:val="auto"/>
              </w:rPr>
            </w:pPr>
            <w:r>
              <w:rPr>
                <w:rFonts w:ascii="Arial" w:cs="Arial" w:eastAsia="Arial" w:hAnsi="Arial"/>
                <w:sz w:val="14"/>
                <w:szCs w:val="14"/>
                <w:color w:val="auto"/>
              </w:rPr>
              <w:t>Gains on sales of investments</w:t>
            </w:r>
            <w:r>
              <w:rPr>
                <w:rFonts w:ascii="Arial" w:cs="Arial" w:eastAsia="Arial" w:hAnsi="Arial"/>
                <w:sz w:val="14"/>
                <w:szCs w:val="14"/>
                <w:color w:val="auto"/>
                <w:vertAlign w:val="superscript"/>
              </w:rPr>
              <w:t>(3)</w:t>
            </w: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(47)</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(97)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160"/>
        </w:trPr>
        <w:tc>
          <w:tcPr>
            <w:tcW w:w="3980" w:type="dxa"/>
            <w:vAlign w:val="bottom"/>
          </w:tcPr>
          <w:p>
            <w:pPr>
              <w:ind w:left="440"/>
              <w:spacing w:after="0" w:line="160" w:lineRule="exact"/>
              <w:rPr>
                <w:sz w:val="20"/>
                <w:szCs w:val="20"/>
                <w:color w:val="auto"/>
              </w:rPr>
            </w:pPr>
            <w:r>
              <w:rPr>
                <w:rFonts w:ascii="Arial" w:cs="Arial" w:eastAsia="Arial" w:hAnsi="Arial"/>
                <w:sz w:val="14"/>
                <w:szCs w:val="14"/>
                <w:color w:val="auto"/>
              </w:rPr>
              <w:t>Favorable resolution of a contingency</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84"/>
              </w:rPr>
              <w:t>-</w:t>
            </w:r>
          </w:p>
        </w:tc>
        <w:tc>
          <w:tcPr>
            <w:tcW w:w="58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(27)</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64"/>
        </w:trPr>
        <w:tc>
          <w:tcPr>
            <w:tcW w:w="3980" w:type="dxa"/>
            <w:vAlign w:val="bottom"/>
          </w:tcPr>
          <w:p>
            <w:pPr>
              <w:ind w:left="620"/>
              <w:spacing w:after="0"/>
              <w:rPr>
                <w:sz w:val="20"/>
                <w:szCs w:val="20"/>
                <w:color w:val="auto"/>
              </w:rPr>
            </w:pPr>
            <w:r>
              <w:rPr>
                <w:rFonts w:ascii="Arial" w:cs="Arial" w:eastAsia="Arial" w:hAnsi="Arial"/>
                <w:sz w:val="14"/>
                <w:szCs w:val="14"/>
                <w:color w:val="auto"/>
              </w:rPr>
              <w:t>of an acquired company</w:t>
            </w:r>
            <w:r>
              <w:rPr>
                <w:rFonts w:ascii="Arial" w:cs="Arial" w:eastAsia="Arial" w:hAnsi="Arial"/>
                <w:sz w:val="14"/>
                <w:szCs w:val="14"/>
                <w:color w:val="auto"/>
                <w:vertAlign w:val="superscript"/>
              </w:rPr>
              <w:t>(4)</w:t>
            </w: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440"/>
              <w:spacing w:after="0" w:line="160" w:lineRule="exact"/>
              <w:rPr>
                <w:sz w:val="20"/>
                <w:szCs w:val="20"/>
                <w:color w:val="auto"/>
              </w:rPr>
            </w:pPr>
            <w:r>
              <w:rPr>
                <w:rFonts w:ascii="Arial" w:cs="Arial" w:eastAsia="Arial" w:hAnsi="Arial"/>
                <w:sz w:val="14"/>
                <w:szCs w:val="14"/>
                <w:color w:val="auto"/>
              </w:rPr>
              <w:t>Costs related to Time Warner Cable</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27</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38</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64"/>
        </w:trPr>
        <w:tc>
          <w:tcPr>
            <w:tcW w:w="3980" w:type="dxa"/>
            <w:vAlign w:val="bottom"/>
          </w:tcPr>
          <w:p>
            <w:pPr>
              <w:ind w:left="620"/>
              <w:spacing w:after="0"/>
              <w:rPr>
                <w:sz w:val="20"/>
                <w:szCs w:val="20"/>
                <w:color w:val="auto"/>
              </w:rPr>
            </w:pPr>
            <w:r>
              <w:rPr>
                <w:rFonts w:ascii="Arial" w:cs="Arial" w:eastAsia="Arial" w:hAnsi="Arial"/>
                <w:sz w:val="14"/>
                <w:szCs w:val="14"/>
                <w:color w:val="auto"/>
              </w:rPr>
              <w:t>and Charter transactions</w:t>
            </w:r>
            <w:r>
              <w:rPr>
                <w:rFonts w:ascii="Arial" w:cs="Arial" w:eastAsia="Arial" w:hAnsi="Arial"/>
                <w:sz w:val="14"/>
                <w:szCs w:val="14"/>
                <w:color w:val="auto"/>
                <w:vertAlign w:val="superscript"/>
              </w:rPr>
              <w:t>(5)</w:t>
            </w:r>
          </w:p>
        </w:tc>
        <w:tc>
          <w:tcPr>
            <w:tcW w:w="9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440"/>
              <w:spacing w:after="0" w:line="160" w:lineRule="exact"/>
              <w:rPr>
                <w:sz w:val="20"/>
                <w:szCs w:val="20"/>
                <w:color w:val="auto"/>
              </w:rPr>
            </w:pPr>
            <w:r>
              <w:rPr>
                <w:rFonts w:ascii="Arial" w:cs="Arial" w:eastAsia="Arial" w:hAnsi="Arial"/>
                <w:sz w:val="14"/>
                <w:szCs w:val="14"/>
                <w:color w:val="auto"/>
              </w:rPr>
              <w:t>Gain on sale of wireless spectrum</w:t>
            </w: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84"/>
              </w:rPr>
              <w:t>-</w:t>
            </w:r>
          </w:p>
        </w:tc>
        <w:tc>
          <w:tcPr>
            <w:tcW w:w="58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84"/>
              </w:rPr>
              <w:t>-</w:t>
            </w:r>
          </w:p>
        </w:tc>
        <w:tc>
          <w:tcPr>
            <w:tcW w:w="60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160"/>
        </w:trPr>
        <w:tc>
          <w:tcPr>
            <w:tcW w:w="3980" w:type="dxa"/>
            <w:vAlign w:val="bottom"/>
          </w:tcPr>
          <w:p>
            <w:pPr>
              <w:ind w:left="620"/>
              <w:spacing w:after="0" w:line="160" w:lineRule="exact"/>
              <w:rPr>
                <w:sz w:val="20"/>
                <w:szCs w:val="20"/>
                <w:color w:val="auto"/>
              </w:rPr>
            </w:pPr>
            <w:r>
              <w:rPr>
                <w:rFonts w:ascii="Arial" w:cs="Arial" w:eastAsia="Arial" w:hAnsi="Arial"/>
                <w:sz w:val="14"/>
                <w:szCs w:val="14"/>
                <w:color w:val="auto"/>
              </w:rPr>
              <w:t>licenses</w:t>
            </w:r>
            <w:r>
              <w:rPr>
                <w:rFonts w:ascii="Arial" w:cs="Arial" w:eastAsia="Arial" w:hAnsi="Arial"/>
                <w:sz w:val="14"/>
                <w:szCs w:val="14"/>
                <w:color w:val="auto"/>
                <w:vertAlign w:val="superscript"/>
              </w:rPr>
              <w:t>(6)</w:t>
            </w:r>
          </w:p>
        </w:tc>
        <w:tc>
          <w:tcPr>
            <w:tcW w:w="980" w:type="dxa"/>
            <w:vAlign w:val="bottom"/>
            <w:tcBorders>
              <w:bottom w:val="single" w:sz="8" w:color="auto"/>
            </w:tcBorders>
          </w:tcPr>
          <w:p>
            <w:pPr>
              <w:jc w:val="right"/>
              <w:ind w:right="408"/>
              <w:spacing w:after="0" w:line="160"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32"/>
              <w:spacing w:after="0" w:line="16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248"/>
              <w:spacing w:after="0" w:line="160" w:lineRule="exact"/>
              <w:rPr>
                <w:sz w:val="20"/>
                <w:szCs w:val="20"/>
                <w:color w:val="auto"/>
              </w:rPr>
            </w:pPr>
            <w:r>
              <w:rPr>
                <w:rFonts w:ascii="Arial" w:cs="Arial" w:eastAsia="Arial" w:hAnsi="Arial"/>
                <w:sz w:val="14"/>
                <w:szCs w:val="14"/>
                <w:color w:val="auto"/>
              </w:rPr>
              <w:t>(67)</w:t>
            </w:r>
          </w:p>
        </w:tc>
        <w:tc>
          <w:tcPr>
            <w:tcW w:w="60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98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980" w:type="dxa"/>
            <w:vAlign w:val="bottom"/>
          </w:tcPr>
          <w:p>
            <w:pPr>
              <w:ind w:left="260"/>
              <w:spacing w:after="0"/>
              <w:rPr>
                <w:sz w:val="20"/>
                <w:szCs w:val="20"/>
                <w:color w:val="auto"/>
              </w:rPr>
            </w:pPr>
            <w:r>
              <w:rPr>
                <w:rFonts w:ascii="Arial" w:cs="Arial" w:eastAsia="Arial" w:hAnsi="Arial"/>
                <w:sz w:val="14"/>
                <w:szCs w:val="14"/>
                <w:color w:val="auto"/>
              </w:rPr>
              <w:t>(excluding gains on sales and</w:t>
            </w: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color w:val="auto"/>
              </w:rPr>
              <w:t>$1,734</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7"/>
              </w:rPr>
              <w:t>$1,972</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$0.75</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color w:val="auto"/>
              </w:rPr>
              <w:t>$3,104</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w w:val="97"/>
              </w:rPr>
              <w:t>$3,777</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144"/>
        </w:trPr>
        <w:tc>
          <w:tcPr>
            <w:tcW w:w="3980" w:type="dxa"/>
            <w:vAlign w:val="bottom"/>
          </w:tcPr>
          <w:p>
            <w:pPr>
              <w:ind w:left="260"/>
              <w:spacing w:after="0" w:line="144" w:lineRule="exact"/>
              <w:rPr>
                <w:sz w:val="20"/>
                <w:szCs w:val="20"/>
                <w:color w:val="auto"/>
              </w:rPr>
            </w:pPr>
            <w:r>
              <w:rPr>
                <w:rFonts w:ascii="Arial" w:cs="Arial" w:eastAsia="Arial" w:hAnsi="Arial"/>
                <w:sz w:val="14"/>
                <w:szCs w:val="14"/>
                <w:color w:val="auto"/>
              </w:rPr>
              <w:t>acquisition-related items)</w:t>
            </w:r>
          </w:p>
        </w:tc>
        <w:tc>
          <w:tcPr>
            <w:tcW w:w="9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8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right="148"/>
              <w:spacing w:after="0"/>
              <w:rPr>
                <w:sz w:val="20"/>
                <w:szCs w:val="20"/>
                <w:color w:val="auto"/>
              </w:rPr>
            </w:pPr>
            <w:r>
              <w:rPr>
                <w:rFonts w:ascii="Arial" w:cs="Arial" w:eastAsia="Arial" w:hAnsi="Arial"/>
                <w:sz w:val="14"/>
                <w:szCs w:val="14"/>
                <w:i w:val="1"/>
                <w:iCs w:val="1"/>
                <w:color w:val="auto"/>
              </w:rPr>
              <w:t>13.7%</w:t>
            </w:r>
          </w:p>
        </w:tc>
        <w:tc>
          <w:tcPr>
            <w:tcW w:w="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15.4%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i w:val="1"/>
                <w:iCs w:val="1"/>
                <w:color w:val="auto"/>
              </w:rPr>
              <w:t>21.7%</w:t>
            </w:r>
          </w:p>
        </w:tc>
        <w:tc>
          <w:tcPr>
            <w:tcW w:w="600" w:type="dxa"/>
            <w:vAlign w:val="bottom"/>
          </w:tcPr>
          <w:p>
            <w:pPr>
              <w:jc w:val="center"/>
              <w:ind w:left="112"/>
              <w:spacing w:after="0"/>
              <w:rPr>
                <w:sz w:val="20"/>
                <w:szCs w:val="20"/>
                <w:color w:val="auto"/>
              </w:rPr>
            </w:pPr>
            <w:r>
              <w:rPr>
                <w:rFonts w:ascii="Arial" w:cs="Arial" w:eastAsia="Arial" w:hAnsi="Arial"/>
                <w:sz w:val="14"/>
                <w:szCs w:val="14"/>
                <w:i w:val="1"/>
                <w:iCs w:val="1"/>
                <w:color w:val="auto"/>
              </w:rPr>
              <w:t>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40" w:right="4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w:t>
      </w:r>
    </w:p>
    <w:p>
      <w:pPr>
        <w:ind w:left="300" w:hanging="292"/>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2nd quarter 2014 net income attributable to Comcast Corporation includes $74 million of investment income, $47 million net of tax, resulting from the sale of an investment. 2014 year to date net income attributable to Comcast Corporation includes $154 million of investment income, $97 million net of tax, resulting from sales of investments.</w:t>
      </w:r>
    </w:p>
    <w:p>
      <w:pPr>
        <w:ind w:left="340" w:right="10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$27 million of other income, resulting from the favorable resolution of a contingency related to the AT&amp;T Broadband transaction.</w:t>
      </w:r>
    </w:p>
    <w:p>
      <w:pPr>
        <w:ind w:left="340" w:right="20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2nd quarter 2014 net income attributable to Comcast Corporation includes $44 million of operating costs and expenses, $27 million net of tax, related to the Time Warner Cable and Charter transactions. 2014 year to date net income attributable to Comcast Corporation includes $61 million of operating costs and expenses, $38 million net of tax, related to the Time Warner Cable and Charter transactions.</w:t>
      </w:r>
    </w:p>
    <w:p>
      <w:pPr>
        <w:spacing w:after="0" w:line="1" w:lineRule="exact"/>
        <w:rPr>
          <w:rFonts w:ascii="Arial" w:cs="Arial" w:eastAsia="Arial" w:hAnsi="Arial"/>
          <w:sz w:val="14"/>
          <w:szCs w:val="14"/>
          <w:color w:val="auto"/>
        </w:rPr>
      </w:pPr>
    </w:p>
    <w:p>
      <w:pPr>
        <w:ind w:left="340" w:right="220" w:hanging="332"/>
        <w:spacing w:after="0" w:line="258"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2" w:lineRule="exact"/>
        <w:rPr>
          <w:sz w:val="20"/>
          <w:szCs w:val="20"/>
          <w:color w:val="auto"/>
        </w:rPr>
      </w:pPr>
    </w:p>
    <w:p>
      <w:pPr>
        <w:ind w:right="2020"/>
        <w:spacing w:after="0" w:line="246" w:lineRule="auto"/>
        <w:rPr>
          <w:sz w:val="20"/>
          <w:szCs w:val="20"/>
          <w:color w:val="auto"/>
        </w:rPr>
      </w:pPr>
      <w:r>
        <w:rPr>
          <w:rFonts w:ascii="Arial" w:cs="Arial" w:eastAsia="Arial" w:hAnsi="Arial"/>
          <w:sz w:val="18"/>
          <w:szCs w:val="18"/>
          <w:b w:val="1"/>
          <w:bCs w:val="1"/>
          <w:color w:val="C9C9C9"/>
        </w:rPr>
        <w:t>Reconciliation of Consolidated Revenue Excluding 2014 Olympics and Operating Cash Flow Excluding Costs Related to Time Warner Cable and Charter Transactions (Unaudited)</w:t>
      </w:r>
    </w:p>
    <w:p>
      <w:pPr>
        <w:spacing w:after="0" w:line="7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$16,270</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$16,844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$31,580</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$34,252</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$16,270</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$16,844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$31,580</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$33,149</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4280" w:type="dxa"/>
            <w:vAlign w:val="bottom"/>
          </w:tcPr>
          <w:p>
            <w:pPr>
              <w:ind w:left="20"/>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$5,425</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$5,804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$10,459</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$11,342</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$5,425</w:t>
            </w:r>
          </w:p>
        </w:tc>
        <w:tc>
          <w:tcPr>
            <w:tcW w:w="12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$5,848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$10,459</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$11,403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line="144" w:lineRule="exact"/>
              <w:rPr>
                <w:sz w:val="20"/>
                <w:szCs w:val="20"/>
                <w:color w:val="auto"/>
              </w:rPr>
            </w:pPr>
            <w:r>
              <w:rPr>
                <w:rFonts w:ascii="Arial" w:cs="Arial" w:eastAsia="Arial" w:hAnsi="Arial"/>
                <w:sz w:val="14"/>
                <w:szCs w:val="14"/>
                <w:color w:val="auto"/>
              </w:rPr>
              <w:t>Cable and Charter transactions</w:t>
            </w:r>
          </w:p>
        </w:tc>
        <w:tc>
          <w:tcPr>
            <w:tcW w:w="88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line="144" w:lineRule="exact"/>
              <w:rPr>
                <w:sz w:val="20"/>
                <w:szCs w:val="20"/>
                <w:color w:val="auto"/>
              </w:rPr>
            </w:pPr>
            <w:r>
              <w:rPr>
                <w:rFonts w:ascii="Arial" w:cs="Arial" w:eastAsia="Arial" w:hAnsi="Arial"/>
                <w:sz w:val="14"/>
                <w:szCs w:val="14"/>
                <w:color w:val="auto"/>
              </w:rPr>
              <w:t>7.8%</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8"/>
              <w:spacing w:after="0" w:line="144"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$5,995</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$6,016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$11,335</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$12,892</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13.7%</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$5,995</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$6,016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$11,335</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$11,789</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4.0%</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$2,413</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$2,476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$4,638</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$4,981</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$2,413</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$2,476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$4,638</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$4,724</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ectPr>
          <w:pgSz w:w="11900" w:h="16884" w:orient="portrait"/>
          <w:cols w:equalWidth="0" w:num="1">
            <w:col w:w="11360"/>
          </w:cols>
          <w:pgMar w:left="240" w:top="127" w:right="29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C9C9C9"/>
        </w:rPr>
        <w:t>Reconciliation of Broadcast Television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6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$1,732</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$1,816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$3,249</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$4,437</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36.6%</w:t>
            </w:r>
          </w:p>
        </w:tc>
      </w:tr>
      <w:tr>
        <w:trPr>
          <w:trHeight w:val="309"/>
        </w:trPr>
        <w:tc>
          <w:tcPr>
            <w:tcW w:w="426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(846)</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6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$1,732</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$1,816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$3,249</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$3,591</w:t>
            </w:r>
          </w:p>
        </w:tc>
        <w:tc>
          <w:tcPr>
            <w:tcW w:w="20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10.5%</w:t>
            </w:r>
          </w:p>
        </w:tc>
      </w:tr>
      <w:tr>
        <w:trPr>
          <w:trHeight w:val="20"/>
        </w:trPr>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52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4"/>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2019-12-07T02:45:24Z</dcterms:created>
  <dcterms:modified xsi:type="dcterms:W3CDTF">2019-12-07T02:45:24Z</dcterms:modified>
</cp:coreProperties>
</file>