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80" w:right="1779"/>
        <w:spacing w:after="0" w:line="237" w:lineRule="auto"/>
        <w:rPr>
          <w:sz w:val="20"/>
          <w:szCs w:val="20"/>
          <w:color w:val="auto"/>
        </w:rPr>
      </w:pPr>
      <w:r>
        <w:rPr>
          <w:rFonts w:ascii="Courier New" w:cs="Courier New" w:eastAsia="Courier New" w:hAnsi="Courier New"/>
          <w:sz w:val="18"/>
          <w:szCs w:val="18"/>
          <w:color w:val="auto"/>
        </w:rPr>
        <w:t>Filed by Comcast Corporation Pursuant to Rule 425 under the Securities Act of 1933 and deemed filed pursuant to Rule 14a-12 under the Securities Exchange Act of 1934</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Subject Company: AT&amp;T Comcast Corporation</w:t>
      </w:r>
    </w:p>
    <w:p>
      <w:pPr>
        <w:ind w:left="3280"/>
        <w:spacing w:after="0" w:line="238" w:lineRule="auto"/>
        <w:rPr>
          <w:sz w:val="20"/>
          <w:szCs w:val="20"/>
          <w:color w:val="auto"/>
        </w:rPr>
      </w:pPr>
      <w:r>
        <w:rPr>
          <w:rFonts w:ascii="Courier New" w:cs="Courier New" w:eastAsia="Courier New" w:hAnsi="Courier New"/>
          <w:sz w:val="18"/>
          <w:szCs w:val="18"/>
          <w:color w:val="auto"/>
        </w:rPr>
        <w:t>Commission File No. 333-82460</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Date: June 6, 2002</w:t>
      </w:r>
    </w:p>
    <w:p>
      <w:pPr>
        <w:spacing w:after="0" w:line="200" w:lineRule="exact"/>
        <w:rPr>
          <w:sz w:val="24"/>
          <w:szCs w:val="24"/>
          <w:color w:val="auto"/>
        </w:rPr>
      </w:pPr>
    </w:p>
    <w:p>
      <w:pPr>
        <w:spacing w:after="0" w:line="209" w:lineRule="exact"/>
        <w:rPr>
          <w:sz w:val="24"/>
          <w:szCs w:val="24"/>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The following presentation was shown at the 10th Annual Deutsche Bank Media Conference:</w:t>
      </w:r>
    </w:p>
    <w:p>
      <w:pPr>
        <w:spacing w:after="0" w:line="200" w:lineRule="exact"/>
        <w:rPr>
          <w:sz w:val="24"/>
          <w:szCs w:val="24"/>
          <w:color w:val="auto"/>
        </w:rPr>
      </w:pPr>
    </w:p>
    <w:p>
      <w:pPr>
        <w:spacing w:after="0" w:line="205"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10th Annual Deutsche Bank Media Conference</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[GRAPHIC OMITTED]</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June 4, 2002</w:t>
      </w:r>
    </w:p>
    <w:p>
      <w:pPr>
        <w:spacing w:after="0" w:line="201" w:lineRule="exact"/>
        <w:rPr>
          <w:sz w:val="24"/>
          <w:szCs w:val="24"/>
          <w:color w:val="auto"/>
        </w:rPr>
      </w:pPr>
    </w:p>
    <w:p>
      <w:pPr>
        <w:ind w:left="7060"/>
        <w:spacing w:after="0"/>
        <w:rPr>
          <w:sz w:val="20"/>
          <w:szCs w:val="20"/>
          <w:color w:val="auto"/>
        </w:rPr>
      </w:pPr>
      <w:r>
        <w:rPr>
          <w:rFonts w:ascii="Courier New" w:cs="Courier New" w:eastAsia="Courier New" w:hAnsi="Courier New"/>
          <w:sz w:val="18"/>
          <w:szCs w:val="18"/>
          <w:color w:val="auto"/>
        </w:rPr>
        <w:t>COMCAST LOGO</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Safe Harbor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Caution Concerning Forward-Looking Statements</w:t>
      </w:r>
    </w:p>
    <w:p>
      <w:pPr>
        <w:spacing w:after="0" w:line="207" w:lineRule="exact"/>
        <w:rPr>
          <w:sz w:val="24"/>
          <w:szCs w:val="24"/>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This presentation contains forward-looking statements within the meaning of the Private Securities Litigation Reform Act of 1995. In some cases, you can identify those so-called "forward-looking statements" by words such as "may," "will," "should," "expects," "plans," "anticipates," "believes," "estimates," "predicts," "potential," or "continue," or the negative of those words and other comparable words. Comcast Corporation ("Comcast") wishes to take advantage of the "safe harbor" provided for by the Private Securities Litigation Reform Act of 1995 and you are cautioned that actual events or results may differ materially from the expectations expressed in such forward-looking statements as a result of various factors, including risks and uncertainties, many of which are beyond the control of Comcast. Factors that could cause actual results to differ materially include, but are not limited to</w:t>
      </w:r>
    </w:p>
    <w:p>
      <w:pPr>
        <w:spacing w:after="0" w:line="188" w:lineRule="exact"/>
        <w:rPr>
          <w:sz w:val="24"/>
          <w:szCs w:val="24"/>
          <w:color w:val="auto"/>
        </w:rPr>
      </w:pPr>
    </w:p>
    <w:p>
      <w:pPr>
        <w:ind w:right="1879" w:firstLine="8"/>
        <w:spacing w:after="0" w:line="268"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effects of legislative and regulatory changes; (2) the potential for increased competition; (3) technological changes; (4) the need to generate substantial growth in the subscriber base by successfully launching, marketing and providing services in identified markets; (5) pricing pressures which could affect demand for Comcast's services; (6) Comcast's ability to expand its distribution; (7) changes in labor, programming, equipment and capital costs;</w:t>
      </w:r>
    </w:p>
    <w:p>
      <w:pPr>
        <w:spacing w:after="0" w:line="1" w:lineRule="exact"/>
        <w:rPr>
          <w:rFonts w:ascii="Courier New" w:cs="Courier New" w:eastAsia="Courier New" w:hAnsi="Courier New"/>
          <w:sz w:val="16"/>
          <w:szCs w:val="16"/>
          <w:color w:val="auto"/>
        </w:rPr>
      </w:pPr>
    </w:p>
    <w:p>
      <w:pPr>
        <w:ind w:right="2099" w:firstLine="8"/>
        <w:spacing w:after="0" w:line="268" w:lineRule="auto"/>
        <w:tabs>
          <w:tab w:leader="none" w:pos="42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Comcast's continued ability to create or acquire programming and products that customers will find attractive; (9) future acquisitions, strategic partnerships and divestitures; (10) general business and economic conditions;</w:t>
      </w:r>
    </w:p>
    <w:p>
      <w:pPr>
        <w:ind w:right="1999" w:firstLine="8"/>
        <w:spacing w:after="0" w:line="237" w:lineRule="auto"/>
        <w:tabs>
          <w:tab w:leader="none" w:pos="52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risks described from time to time in Comcast's periodic reports filed with the Securities and Exchange Commission; and (12) with respect to statements relating to the proposed combination of Comcast and AT&amp;T Broadband, factors that could cause actual results of the combined businesses of Comcast and AT&amp;T Broadband to differ materially from expected results for such businesses, including failure to integrate the businesses successfully or to achieve the expected combination benefits.</w:t>
      </w:r>
    </w:p>
    <w:p>
      <w:pPr>
        <w:sectPr>
          <w:pgSz w:w="11900" w:h="16838" w:orient="portrait"/>
          <w:cols w:equalWidth="0" w:num="1">
            <w:col w:w="10219"/>
          </w:cols>
          <w:pgMar w:left="240" w:top="452" w:right="1440" w:bottom="1440" w:gutter="0" w:footer="0" w:header="0"/>
        </w:sectPr>
      </w:pPr>
    </w:p>
    <w:p>
      <w:pPr>
        <w:spacing w:after="0" w:line="200" w:lineRule="exact"/>
        <w:rPr>
          <w:sz w:val="24"/>
          <w:szCs w:val="24"/>
          <w:color w:val="auto"/>
        </w:rPr>
      </w:pPr>
    </w:p>
    <w:p>
      <w:pPr>
        <w:spacing w:after="0" w:line="21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Deutsche Bank</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June 4, 2002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COMCAST LOGO</w:t>
      </w:r>
    </w:p>
    <w:p>
      <w:pPr>
        <w:sectPr>
          <w:pgSz w:w="11900" w:h="16838" w:orient="portrait"/>
          <w:cols w:equalWidth="0" w:num="2">
            <w:col w:w="6340" w:space="720"/>
            <w:col w:w="3159"/>
          </w:cols>
          <w:pgMar w:left="240" w:top="452" w:right="1440"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COMCAST LOGO</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5259"/>
        <w:spacing w:after="0"/>
        <w:rPr>
          <w:sz w:val="20"/>
          <w:szCs w:val="20"/>
          <w:color w:val="auto"/>
        </w:rPr>
      </w:pPr>
      <w:r>
        <w:rPr>
          <w:rFonts w:ascii="Courier New" w:cs="Courier New" w:eastAsia="Courier New" w:hAnsi="Courier New"/>
          <w:sz w:val="18"/>
          <w:szCs w:val="18"/>
          <w:color w:val="auto"/>
        </w:rPr>
        <w:t>Brian L. Roberts</w:t>
      </w:r>
    </w:p>
    <w:p>
      <w:pPr>
        <w:ind w:left="3700"/>
        <w:spacing w:after="0" w:line="238" w:lineRule="auto"/>
        <w:rPr>
          <w:sz w:val="20"/>
          <w:szCs w:val="20"/>
          <w:color w:val="auto"/>
        </w:rPr>
      </w:pPr>
      <w:r>
        <w:rPr>
          <w:rFonts w:ascii="Courier New" w:cs="Courier New" w:eastAsia="Courier New" w:hAnsi="Courier New"/>
          <w:sz w:val="18"/>
          <w:szCs w:val="18"/>
          <w:color w:val="auto"/>
        </w:rPr>
        <w:t>President</w:t>
      </w:r>
    </w:p>
    <w:p>
      <w:pPr>
        <w:sectPr>
          <w:pgSz w:w="11900" w:h="16838" w:orient="portrait"/>
          <w:cols w:equalWidth="0" w:num="1">
            <w:col w:w="10219"/>
          </w:cols>
          <w:pgMar w:left="240" w:top="919"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80" w:type="dxa"/>
            <w:vAlign w:val="bottom"/>
            <w:gridSpan w:val="4"/>
          </w:tcPr>
          <w:p>
            <w:pPr>
              <w:ind w:left="540"/>
              <w:spacing w:after="0"/>
              <w:rPr>
                <w:sz w:val="20"/>
                <w:szCs w:val="20"/>
                <w:color w:val="auto"/>
              </w:rPr>
            </w:pPr>
            <w:r>
              <w:rPr>
                <w:rFonts w:ascii="Courier New" w:cs="Courier New" w:eastAsia="Courier New" w:hAnsi="Courier New"/>
                <w:sz w:val="18"/>
                <w:szCs w:val="18"/>
                <w:color w:val="auto"/>
              </w:rPr>
              <w:t>1Q02: Strong Operating Performance</w:t>
            </w:r>
          </w:p>
        </w:tc>
        <w:tc>
          <w:tcPr>
            <w:tcW w:w="7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608"/>
        </w:trPr>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jc w:val="right"/>
              <w:ind w:right="432"/>
              <w:spacing w:after="0"/>
              <w:rPr>
                <w:sz w:val="20"/>
                <w:szCs w:val="20"/>
                <w:color w:val="auto"/>
              </w:rPr>
            </w:pPr>
            <w:r>
              <w:rPr>
                <w:rFonts w:ascii="Courier New" w:cs="Courier New" w:eastAsia="Courier New" w:hAnsi="Courier New"/>
                <w:sz w:val="18"/>
                <w:szCs w:val="18"/>
                <w:color w:val="auto"/>
                <w:w w:val="96"/>
              </w:rPr>
              <w:t>Cable</w:t>
            </w:r>
          </w:p>
        </w:tc>
        <w:tc>
          <w:tcPr>
            <w:tcW w:w="126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Courier New" w:cs="Courier New" w:eastAsia="Courier New" w:hAnsi="Courier New"/>
                <w:sz w:val="18"/>
                <w:szCs w:val="18"/>
                <w:color w:val="auto"/>
              </w:rPr>
              <w:t>QVC</w:t>
            </w:r>
          </w:p>
        </w:tc>
        <w:tc>
          <w:tcPr>
            <w:tcW w:w="700" w:type="dxa"/>
            <w:vAlign w:val="bottom"/>
          </w:tcPr>
          <w:p>
            <w:pPr>
              <w:spacing w:after="0"/>
              <w:rPr>
                <w:sz w:val="24"/>
                <w:szCs w:val="24"/>
                <w:color w:val="auto"/>
              </w:rPr>
            </w:pPr>
          </w:p>
        </w:tc>
        <w:tc>
          <w:tcPr>
            <w:tcW w:w="226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Content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 Millions</w:t>
            </w:r>
          </w:p>
        </w:tc>
        <w:tc>
          <w:tcPr>
            <w:tcW w:w="460" w:type="dxa"/>
            <w:vAlign w:val="bottom"/>
          </w:tcPr>
          <w:p>
            <w:pPr>
              <w:spacing w:after="0"/>
              <w:rPr>
                <w:sz w:val="17"/>
                <w:szCs w:val="17"/>
                <w:color w:val="auto"/>
              </w:rPr>
            </w:pPr>
          </w:p>
        </w:tc>
        <w:tc>
          <w:tcPr>
            <w:tcW w:w="1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2"/>
              </w:rPr>
              <w:t>13.5%</w:t>
            </w:r>
          </w:p>
        </w:tc>
        <w:tc>
          <w:tcPr>
            <w:tcW w:w="1260" w:type="dxa"/>
            <w:vAlign w:val="bottom"/>
          </w:tcPr>
          <w:p>
            <w:pPr>
              <w:spacing w:after="0"/>
              <w:rPr>
                <w:sz w:val="17"/>
                <w:szCs w:val="17"/>
                <w:color w:val="auto"/>
              </w:rPr>
            </w:pPr>
          </w:p>
        </w:tc>
        <w:tc>
          <w:tcPr>
            <w:tcW w:w="1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11.4%</w:t>
            </w: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33.6%</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1320" w:type="dxa"/>
            <w:vAlign w:val="bottom"/>
          </w:tcPr>
          <w:p>
            <w:pPr>
              <w:jc w:val="right"/>
              <w:ind w:right="932"/>
              <w:spacing w:after="0" w:line="203" w:lineRule="exact"/>
              <w:rPr>
                <w:sz w:val="20"/>
                <w:szCs w:val="20"/>
                <w:color w:val="auto"/>
              </w:rPr>
            </w:pPr>
            <w:r>
              <w:rPr>
                <w:rFonts w:ascii="Courier New" w:cs="Courier New" w:eastAsia="Courier New" w:hAnsi="Courier New"/>
                <w:sz w:val="18"/>
                <w:szCs w:val="18"/>
                <w:color w:val="auto"/>
                <w:w w:val="86"/>
              </w:rPr>
              <w:t>600</w:t>
            </w:r>
          </w:p>
        </w:tc>
        <w:tc>
          <w:tcPr>
            <w:tcW w:w="46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X</w:t>
            </w: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$200</w:t>
            </w:r>
          </w:p>
        </w:tc>
        <w:tc>
          <w:tcPr>
            <w:tcW w:w="1260" w:type="dxa"/>
            <w:vAlign w:val="bottom"/>
          </w:tcPr>
          <w:p>
            <w:pPr>
              <w:spacing w:after="0"/>
              <w:rPr>
                <w:sz w:val="17"/>
                <w:szCs w:val="17"/>
                <w:color w:val="auto"/>
              </w:rPr>
            </w:pPr>
          </w:p>
        </w:tc>
        <w:tc>
          <w:tcPr>
            <w:tcW w:w="7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$60</w:t>
            </w:r>
          </w:p>
        </w:tc>
        <w:tc>
          <w:tcPr>
            <w:tcW w:w="7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X</w:t>
            </w: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X</w:t>
            </w:r>
          </w:p>
        </w:tc>
        <w:tc>
          <w:tcPr>
            <w:tcW w:w="1260" w:type="dxa"/>
            <w:vAlign w:val="bottom"/>
          </w:tcPr>
          <w:p>
            <w:pPr>
              <w:spacing w:after="0"/>
              <w:rPr>
                <w:sz w:val="17"/>
                <w:szCs w:val="17"/>
                <w:color w:val="auto"/>
              </w:rPr>
            </w:pPr>
          </w:p>
        </w:tc>
        <w:tc>
          <w:tcPr>
            <w:tcW w:w="12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X</w:t>
            </w:r>
          </w:p>
        </w:tc>
        <w:tc>
          <w:tcPr>
            <w:tcW w:w="7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$55</w:t>
            </w:r>
          </w:p>
        </w:tc>
        <w:tc>
          <w:tcPr>
            <w:tcW w:w="780" w:type="dxa"/>
            <w:vAlign w:val="bottom"/>
          </w:tcPr>
          <w:p>
            <w:pPr>
              <w:spacing w:after="0"/>
              <w:rPr>
                <w:sz w:val="17"/>
                <w:szCs w:val="17"/>
                <w:color w:val="auto"/>
              </w:rPr>
            </w:pPr>
          </w:p>
        </w:tc>
        <w:tc>
          <w:tcPr>
            <w:tcW w:w="14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X</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1320" w:type="dxa"/>
            <w:vAlign w:val="bottom"/>
          </w:tcPr>
          <w:p>
            <w:pPr>
              <w:jc w:val="right"/>
              <w:ind w:right="932"/>
              <w:spacing w:after="0" w:line="203" w:lineRule="exact"/>
              <w:rPr>
                <w:sz w:val="20"/>
                <w:szCs w:val="20"/>
                <w:color w:val="auto"/>
              </w:rPr>
            </w:pPr>
            <w:r>
              <w:rPr>
                <w:rFonts w:ascii="Courier New" w:cs="Courier New" w:eastAsia="Courier New" w:hAnsi="Courier New"/>
                <w:sz w:val="18"/>
                <w:szCs w:val="18"/>
                <w:color w:val="auto"/>
                <w:w w:val="86"/>
              </w:rPr>
              <w:t>550</w:t>
            </w:r>
          </w:p>
        </w:tc>
        <w:tc>
          <w:tcPr>
            <w:tcW w:w="46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X</w:t>
            </w:r>
          </w:p>
        </w:tc>
        <w:tc>
          <w:tcPr>
            <w:tcW w:w="1260" w:type="dxa"/>
            <w:vAlign w:val="bottom"/>
          </w:tcPr>
          <w:p>
            <w:pPr>
              <w:spacing w:after="0"/>
              <w:rPr>
                <w:sz w:val="17"/>
                <w:szCs w:val="17"/>
                <w:color w:val="auto"/>
              </w:rPr>
            </w:pPr>
          </w:p>
        </w:tc>
        <w:tc>
          <w:tcPr>
            <w:tcW w:w="12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X</w:t>
            </w: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X</w:t>
            </w:r>
          </w:p>
        </w:tc>
      </w:tr>
      <w:tr>
        <w:trPr>
          <w:trHeight w:val="203"/>
        </w:trPr>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X</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X</w:t>
            </w: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$175</w:t>
            </w:r>
          </w:p>
        </w:tc>
        <w:tc>
          <w:tcPr>
            <w:tcW w:w="12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X</w:t>
            </w:r>
          </w:p>
        </w:tc>
        <w:tc>
          <w:tcPr>
            <w:tcW w:w="7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$50</w:t>
            </w:r>
          </w:p>
        </w:tc>
        <w:tc>
          <w:tcPr>
            <w:tcW w:w="780" w:type="dxa"/>
            <w:vAlign w:val="bottom"/>
          </w:tcPr>
          <w:p>
            <w:pPr>
              <w:spacing w:after="0"/>
              <w:rPr>
                <w:sz w:val="17"/>
                <w:szCs w:val="17"/>
                <w:color w:val="auto"/>
              </w:rPr>
            </w:pPr>
          </w:p>
        </w:tc>
        <w:tc>
          <w:tcPr>
            <w:tcW w:w="14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X</w:t>
            </w:r>
          </w:p>
        </w:tc>
      </w:tr>
      <w:tr>
        <w:trPr>
          <w:trHeight w:val="203"/>
        </w:trPr>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X</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X</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X</w:t>
            </w:r>
          </w:p>
        </w:tc>
        <w:tc>
          <w:tcPr>
            <w:tcW w:w="12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X</w:t>
            </w: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X</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1320" w:type="dxa"/>
            <w:vAlign w:val="bottom"/>
          </w:tcPr>
          <w:p>
            <w:pPr>
              <w:jc w:val="right"/>
              <w:ind w:right="932"/>
              <w:spacing w:after="0" w:line="203" w:lineRule="exact"/>
              <w:rPr>
                <w:sz w:val="20"/>
                <w:szCs w:val="20"/>
                <w:color w:val="auto"/>
              </w:rPr>
            </w:pPr>
            <w:r>
              <w:rPr>
                <w:rFonts w:ascii="Courier New" w:cs="Courier New" w:eastAsia="Courier New" w:hAnsi="Courier New"/>
                <w:sz w:val="18"/>
                <w:szCs w:val="18"/>
                <w:color w:val="auto"/>
                <w:w w:val="86"/>
              </w:rPr>
              <w:t>500</w:t>
            </w:r>
          </w:p>
        </w:tc>
        <w:tc>
          <w:tcPr>
            <w:tcW w:w="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X</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X</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X</w:t>
            </w:r>
          </w:p>
        </w:tc>
        <w:tc>
          <w:tcPr>
            <w:tcW w:w="12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X</w:t>
            </w: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X</w:t>
            </w:r>
          </w:p>
        </w:tc>
      </w:tr>
      <w:tr>
        <w:trPr>
          <w:trHeight w:val="203"/>
        </w:trPr>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X</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X</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X</w:t>
            </w:r>
          </w:p>
        </w:tc>
        <w:tc>
          <w:tcPr>
            <w:tcW w:w="12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X</w:t>
            </w:r>
          </w:p>
        </w:tc>
        <w:tc>
          <w:tcPr>
            <w:tcW w:w="7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$45</w:t>
            </w:r>
          </w:p>
        </w:tc>
        <w:tc>
          <w:tcPr>
            <w:tcW w:w="780" w:type="dxa"/>
            <w:vAlign w:val="bottom"/>
          </w:tcPr>
          <w:p>
            <w:pPr>
              <w:spacing w:after="0"/>
              <w:rPr>
                <w:sz w:val="17"/>
                <w:szCs w:val="17"/>
                <w:color w:val="auto"/>
              </w:rPr>
            </w:pPr>
          </w:p>
        </w:tc>
        <w:tc>
          <w:tcPr>
            <w:tcW w:w="14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X</w:t>
            </w:r>
          </w:p>
        </w:tc>
      </w:tr>
      <w:tr>
        <w:trPr>
          <w:trHeight w:val="203"/>
        </w:trPr>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X</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X</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X</w:t>
            </w:r>
          </w:p>
        </w:tc>
        <w:tc>
          <w:tcPr>
            <w:tcW w:w="12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X</w:t>
            </w: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X</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1320" w:type="dxa"/>
            <w:vAlign w:val="bottom"/>
          </w:tcPr>
          <w:p>
            <w:pPr>
              <w:jc w:val="right"/>
              <w:ind w:right="932"/>
              <w:spacing w:after="0" w:line="203" w:lineRule="exact"/>
              <w:rPr>
                <w:sz w:val="20"/>
                <w:szCs w:val="20"/>
                <w:color w:val="auto"/>
              </w:rPr>
            </w:pPr>
            <w:r>
              <w:rPr>
                <w:rFonts w:ascii="Courier New" w:cs="Courier New" w:eastAsia="Courier New" w:hAnsi="Courier New"/>
                <w:sz w:val="18"/>
                <w:szCs w:val="18"/>
                <w:color w:val="auto"/>
                <w:w w:val="86"/>
              </w:rPr>
              <w:t>450</w:t>
            </w:r>
          </w:p>
        </w:tc>
        <w:tc>
          <w:tcPr>
            <w:tcW w:w="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X</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X</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$150  X</w:t>
            </w:r>
          </w:p>
        </w:tc>
        <w:tc>
          <w:tcPr>
            <w:tcW w:w="12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X</w:t>
            </w:r>
          </w:p>
        </w:tc>
        <w:tc>
          <w:tcPr>
            <w:tcW w:w="7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$40</w:t>
            </w:r>
          </w:p>
        </w:tc>
        <w:tc>
          <w:tcPr>
            <w:tcW w:w="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X</w:t>
            </w:r>
          </w:p>
        </w:tc>
        <w:tc>
          <w:tcPr>
            <w:tcW w:w="14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X</w:t>
            </w:r>
          </w:p>
        </w:tc>
      </w:tr>
      <w:tr>
        <w:trPr>
          <w:trHeight w:val="203"/>
        </w:trPr>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1Q01</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1Q02</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1Q01</w:t>
            </w:r>
          </w:p>
        </w:tc>
        <w:tc>
          <w:tcPr>
            <w:tcW w:w="1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1Q02</w:t>
            </w:r>
          </w:p>
        </w:tc>
        <w:tc>
          <w:tcPr>
            <w:tcW w:w="700" w:type="dxa"/>
            <w:vAlign w:val="bottom"/>
          </w:tcPr>
          <w:p>
            <w:pPr>
              <w:spacing w:after="0"/>
              <w:rPr>
                <w:sz w:val="17"/>
                <w:szCs w:val="17"/>
                <w:color w:val="auto"/>
              </w:rPr>
            </w:pPr>
          </w:p>
        </w:tc>
        <w:tc>
          <w:tcPr>
            <w:tcW w:w="7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1Q01</w:t>
            </w:r>
          </w:p>
        </w:tc>
        <w:tc>
          <w:tcPr>
            <w:tcW w:w="14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1Q02</w:t>
            </w:r>
          </w:p>
        </w:tc>
      </w:tr>
      <w:tr>
        <w:trPr>
          <w:trHeight w:val="608"/>
        </w:trPr>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80" w:type="dxa"/>
            <w:vAlign w:val="bottom"/>
            <w:gridSpan w:val="4"/>
          </w:tcPr>
          <w:p>
            <w:pPr>
              <w:jc w:val="right"/>
              <w:ind w:right="192"/>
              <w:spacing w:after="0"/>
              <w:rPr>
                <w:sz w:val="20"/>
                <w:szCs w:val="20"/>
                <w:color w:val="auto"/>
              </w:rPr>
            </w:pPr>
            <w:r>
              <w:rPr>
                <w:rFonts w:ascii="Courier New" w:cs="Courier New" w:eastAsia="Courier New" w:hAnsi="Courier New"/>
                <w:sz w:val="18"/>
                <w:szCs w:val="18"/>
                <w:color w:val="auto"/>
              </w:rPr>
              <w:t>Consolidated Revenue Growth: 12%</w:t>
            </w:r>
          </w:p>
        </w:tc>
        <w:tc>
          <w:tcPr>
            <w:tcW w:w="7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3"/>
        </w:trPr>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80" w:type="dxa"/>
            <w:vAlign w:val="bottom"/>
            <w:gridSpan w:val="4"/>
          </w:tcPr>
          <w:p>
            <w:pPr>
              <w:jc w:val="right"/>
              <w:ind w:right="392"/>
              <w:spacing w:after="0" w:line="203" w:lineRule="exact"/>
              <w:rPr>
                <w:sz w:val="20"/>
                <w:szCs w:val="20"/>
                <w:color w:val="auto"/>
              </w:rPr>
            </w:pPr>
            <w:r>
              <w:rPr>
                <w:rFonts w:ascii="Courier New" w:cs="Courier New" w:eastAsia="Courier New" w:hAnsi="Courier New"/>
                <w:sz w:val="18"/>
                <w:szCs w:val="18"/>
                <w:color w:val="auto"/>
              </w:rPr>
              <w:t>Consolidated OCF Growth: 18%</w:t>
            </w:r>
          </w:p>
        </w:tc>
        <w:tc>
          <w:tcPr>
            <w:tcW w:w="7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Deutsche Bank</w:t>
            </w: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Courier New" w:cs="Courier New" w:eastAsia="Courier New" w:hAnsi="Courier New"/>
                <w:sz w:val="18"/>
                <w:szCs w:val="18"/>
                <w:color w:val="auto"/>
              </w:rPr>
              <w:t>Note: Pro Forma Results</w:t>
            </w: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3"/>
        </w:trPr>
        <w:tc>
          <w:tcPr>
            <w:tcW w:w="1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June 4, 2002</w:t>
            </w: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COMCAST LOGO</w:t>
            </w:r>
          </w:p>
        </w:tc>
      </w:tr>
    </w:tbl>
    <w:p>
      <w:pPr>
        <w:sectPr>
          <w:pgSz w:w="11900" w:h="16838" w:orient="portrait"/>
          <w:cols w:equalWidth="0" w:num="1">
            <w:col w:w="10219"/>
          </w:cols>
          <w:pgMar w:left="240" w:top="919"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Leveraging an Upgraded Network</w:t>
      </w:r>
    </w:p>
    <w:p>
      <w:pPr>
        <w:spacing w:after="0" w:line="207" w:lineRule="exact"/>
        <w:rPr>
          <w:sz w:val="20"/>
          <w:szCs w:val="20"/>
          <w:color w:val="auto"/>
        </w:rPr>
      </w:pPr>
    </w:p>
    <w:p>
      <w:pPr>
        <w:ind w:left="540" w:right="6419" w:hanging="532"/>
        <w:spacing w:after="0" w:line="236"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--&gt; Strong Demand for New Services comcast High-Speed Internet comcast digital cable</w:t>
      </w:r>
    </w:p>
    <w:p>
      <w:pPr>
        <w:spacing w:after="0" w:line="203"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--&gt; Double-Digit OCF Growth</w:t>
      </w:r>
    </w:p>
    <w:p>
      <w:pPr>
        <w:ind w:left="540"/>
        <w:spacing w:after="0" w:line="238" w:lineRule="auto"/>
        <w:rPr>
          <w:sz w:val="20"/>
          <w:szCs w:val="20"/>
          <w:color w:val="auto"/>
        </w:rPr>
      </w:pPr>
      <w:r>
        <w:rPr>
          <w:rFonts w:ascii="Courier New" w:cs="Courier New" w:eastAsia="Courier New" w:hAnsi="Courier New"/>
          <w:sz w:val="18"/>
          <w:szCs w:val="18"/>
          <w:color w:val="auto"/>
        </w:rPr>
        <w:t>o 10% in 2000</w:t>
      </w:r>
    </w:p>
    <w:p>
      <w:pPr>
        <w:ind w:left="540"/>
        <w:spacing w:after="0"/>
        <w:rPr>
          <w:sz w:val="20"/>
          <w:szCs w:val="20"/>
          <w:color w:val="auto"/>
        </w:rPr>
      </w:pPr>
      <w:r>
        <w:rPr>
          <w:rFonts w:ascii="Courier New" w:cs="Courier New" w:eastAsia="Courier New" w:hAnsi="Courier New"/>
          <w:sz w:val="18"/>
          <w:szCs w:val="18"/>
          <w:color w:val="auto"/>
        </w:rPr>
        <w:t>o 12% in 2001</w:t>
      </w:r>
    </w:p>
    <w:p>
      <w:pPr>
        <w:ind w:left="540"/>
        <w:spacing w:after="0" w:line="237" w:lineRule="auto"/>
        <w:rPr>
          <w:sz w:val="20"/>
          <w:szCs w:val="20"/>
          <w:color w:val="auto"/>
        </w:rPr>
      </w:pPr>
      <w:r>
        <w:rPr>
          <w:rFonts w:ascii="Courier New" w:cs="Courier New" w:eastAsia="Courier New" w:hAnsi="Courier New"/>
          <w:sz w:val="18"/>
          <w:szCs w:val="18"/>
          <w:color w:val="auto"/>
        </w:rPr>
        <w:t>o 12-14% in 2002E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--&gt; Significant Free Cash Flow</w:t>
      </w:r>
    </w:p>
    <w:p>
      <w:pPr>
        <w:ind w:left="540"/>
        <w:spacing w:after="0" w:line="238" w:lineRule="auto"/>
        <w:rPr>
          <w:sz w:val="20"/>
          <w:szCs w:val="20"/>
          <w:color w:val="auto"/>
        </w:rPr>
      </w:pPr>
      <w:r>
        <w:rPr>
          <w:rFonts w:ascii="Courier New" w:cs="Courier New" w:eastAsia="Courier New" w:hAnsi="Courier New"/>
          <w:sz w:val="18"/>
          <w:szCs w:val="18"/>
          <w:color w:val="auto"/>
        </w:rPr>
        <w:t>o Consolidated: $800 million - $1.0 billion in 2002E</w:t>
      </w:r>
    </w:p>
    <w:p>
      <w:pPr>
        <w:spacing w:after="0" w:line="207"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6"/>
          <w:szCs w:val="16"/>
          <w:color w:val="auto"/>
        </w:rPr>
        <w:t>Upgraded Network + New Services + Double-Digit OCF Growth</w:t>
      </w:r>
    </w:p>
    <w:p>
      <w:pPr>
        <w:spacing w:after="0" w:line="16"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 Significant Free Cash Flow Generation</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Deutsche Bank</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June 4,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LOGO</w:t>
      </w:r>
    </w:p>
    <w:p>
      <w:pPr>
        <w:sectPr>
          <w:pgSz w:w="11900" w:h="16838" w:orient="portrait"/>
          <w:cols w:equalWidth="0" w:num="2">
            <w:col w:w="6460" w:space="720"/>
            <w:col w:w="3039"/>
          </w:cols>
          <w:pgMar w:left="240" w:top="919" w:right="1440"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3060" w:type="dxa"/>
            <w:vAlign w:val="bottom"/>
            <w:gridSpan w:val="2"/>
          </w:tcPr>
          <w:p>
            <w:pPr>
              <w:spacing w:after="0"/>
              <w:rPr>
                <w:sz w:val="20"/>
                <w:szCs w:val="20"/>
                <w:color w:val="auto"/>
              </w:rPr>
            </w:pPr>
            <w:r>
              <w:rPr>
                <w:rFonts w:ascii="Courier New" w:cs="Courier New" w:eastAsia="Courier New" w:hAnsi="Courier New"/>
                <w:sz w:val="18"/>
                <w:szCs w:val="18"/>
                <w:color w:val="auto"/>
              </w:rPr>
              <w:t>COMCAST LOGO digital cable</w:t>
            </w:r>
          </w:p>
        </w:tc>
        <w:tc>
          <w:tcPr>
            <w:tcW w:w="1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Subscriptions</w:t>
            </w:r>
          </w:p>
        </w:tc>
        <w:tc>
          <w:tcPr>
            <w:tcW w:w="1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90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Penetration</w:t>
            </w:r>
          </w:p>
        </w:tc>
      </w:tr>
      <w:tr>
        <w:trPr>
          <w:trHeight w:val="203"/>
        </w:trPr>
        <w:tc>
          <w:tcPr>
            <w:tcW w:w="174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(000s)</w:t>
            </w:r>
          </w:p>
        </w:tc>
        <w:tc>
          <w:tcPr>
            <w:tcW w:w="13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405"/>
        </w:trPr>
        <w:tc>
          <w:tcPr>
            <w:tcW w:w="1740" w:type="dxa"/>
            <w:vAlign w:val="bottom"/>
          </w:tcPr>
          <w:p>
            <w:pPr>
              <w:jc w:val="right"/>
              <w:ind w:right="1112"/>
              <w:spacing w:after="0"/>
              <w:rPr>
                <w:sz w:val="20"/>
                <w:szCs w:val="20"/>
                <w:color w:val="auto"/>
              </w:rPr>
            </w:pPr>
            <w:r>
              <w:rPr>
                <w:rFonts w:ascii="Courier New" w:cs="Courier New" w:eastAsia="Courier New" w:hAnsi="Courier New"/>
                <w:sz w:val="18"/>
                <w:szCs w:val="18"/>
                <w:color w:val="auto"/>
                <w:w w:val="96"/>
              </w:rPr>
              <w:t>3,500</w:t>
            </w:r>
          </w:p>
        </w:tc>
        <w:tc>
          <w:tcPr>
            <w:tcW w:w="1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40%</w:t>
            </w:r>
          </w:p>
        </w:tc>
      </w:tr>
      <w:tr>
        <w:trPr>
          <w:trHeight w:val="203"/>
        </w:trPr>
        <w:tc>
          <w:tcPr>
            <w:tcW w:w="1740" w:type="dxa"/>
            <w:vAlign w:val="bottom"/>
          </w:tcPr>
          <w:p>
            <w:pPr>
              <w:spacing w:after="0"/>
              <w:rPr>
                <w:sz w:val="17"/>
                <w:szCs w:val="17"/>
                <w:color w:val="auto"/>
              </w:rPr>
            </w:pPr>
          </w:p>
        </w:tc>
        <w:tc>
          <w:tcPr>
            <w:tcW w:w="29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1Q02 Net Adds: 200,000</w:t>
            </w: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1740" w:type="dxa"/>
            <w:vAlign w:val="bottom"/>
          </w:tcPr>
          <w:p>
            <w:pPr>
              <w:jc w:val="right"/>
              <w:ind w:right="1112"/>
              <w:spacing w:after="0" w:line="203" w:lineRule="exact"/>
              <w:rPr>
                <w:sz w:val="20"/>
                <w:szCs w:val="20"/>
                <w:color w:val="auto"/>
              </w:rPr>
            </w:pPr>
            <w:r>
              <w:rPr>
                <w:rFonts w:ascii="Courier New" w:cs="Courier New" w:eastAsia="Courier New" w:hAnsi="Courier New"/>
                <w:sz w:val="18"/>
                <w:szCs w:val="18"/>
                <w:color w:val="auto"/>
                <w:w w:val="96"/>
              </w:rPr>
              <w:t>3,000</w:t>
            </w:r>
          </w:p>
        </w:tc>
        <w:tc>
          <w:tcPr>
            <w:tcW w:w="13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3MM*+</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35%</w:t>
            </w:r>
          </w:p>
        </w:tc>
      </w:tr>
      <w:tr>
        <w:trPr>
          <w:trHeight w:val="405"/>
        </w:trPr>
        <w:tc>
          <w:tcPr>
            <w:tcW w:w="17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Courier New" w:cs="Courier New" w:eastAsia="Courier New" w:hAnsi="Courier New"/>
                <w:sz w:val="18"/>
                <w:szCs w:val="18"/>
                <w:color w:val="auto"/>
                <w:w w:val="98"/>
              </w:rPr>
              <w:t>2.54MM</w:t>
            </w:r>
          </w:p>
        </w:tc>
        <w:tc>
          <w:tcPr>
            <w:tcW w:w="640" w:type="dxa"/>
            <w:vAlign w:val="bottom"/>
          </w:tcPr>
          <w:p>
            <w:pPr>
              <w:spacing w:after="0"/>
              <w:rPr>
                <w:sz w:val="24"/>
                <w:szCs w:val="24"/>
                <w:color w:val="auto"/>
              </w:rPr>
            </w:pPr>
          </w:p>
        </w:tc>
        <w:tc>
          <w:tcPr>
            <w:tcW w:w="12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30%</w:t>
            </w:r>
          </w:p>
        </w:tc>
      </w:tr>
      <w:tr>
        <w:trPr>
          <w:trHeight w:val="203"/>
        </w:trPr>
        <w:tc>
          <w:tcPr>
            <w:tcW w:w="1740" w:type="dxa"/>
            <w:vAlign w:val="bottom"/>
          </w:tcPr>
          <w:p>
            <w:pPr>
              <w:jc w:val="right"/>
              <w:ind w:right="1112"/>
              <w:spacing w:after="0" w:line="203" w:lineRule="exact"/>
              <w:rPr>
                <w:sz w:val="20"/>
                <w:szCs w:val="20"/>
                <w:color w:val="auto"/>
              </w:rPr>
            </w:pPr>
            <w:r>
              <w:rPr>
                <w:rFonts w:ascii="Courier New" w:cs="Courier New" w:eastAsia="Courier New" w:hAnsi="Courier New"/>
                <w:sz w:val="18"/>
                <w:szCs w:val="18"/>
                <w:color w:val="auto"/>
                <w:w w:val="96"/>
              </w:rPr>
              <w:t>2,500</w:t>
            </w:r>
          </w:p>
        </w:tc>
        <w:tc>
          <w:tcPr>
            <w:tcW w:w="13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2.33MM</w:t>
            </w: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17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25%</w:t>
            </w:r>
          </w:p>
        </w:tc>
      </w:tr>
      <w:tr>
        <w:trPr>
          <w:trHeight w:val="203"/>
        </w:trPr>
        <w:tc>
          <w:tcPr>
            <w:tcW w:w="1740" w:type="dxa"/>
            <w:vAlign w:val="bottom"/>
          </w:tcPr>
          <w:p>
            <w:pPr>
              <w:jc w:val="right"/>
              <w:ind w:right="1112"/>
              <w:spacing w:after="0" w:line="203" w:lineRule="exact"/>
              <w:rPr>
                <w:sz w:val="20"/>
                <w:szCs w:val="20"/>
                <w:color w:val="auto"/>
              </w:rPr>
            </w:pPr>
            <w:r>
              <w:rPr>
                <w:rFonts w:ascii="Courier New" w:cs="Courier New" w:eastAsia="Courier New" w:hAnsi="Courier New"/>
                <w:sz w:val="18"/>
                <w:szCs w:val="18"/>
                <w:color w:val="auto"/>
                <w:w w:val="96"/>
              </w:rPr>
              <w:t>2,000</w:t>
            </w:r>
          </w:p>
        </w:tc>
        <w:tc>
          <w:tcPr>
            <w:tcW w:w="13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17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4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8"/>
              </w:rPr>
              <w:t>1.35MM</w:t>
            </w: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17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1740" w:type="dxa"/>
            <w:vAlign w:val="bottom"/>
          </w:tcPr>
          <w:p>
            <w:pPr>
              <w:jc w:val="right"/>
              <w:ind w:right="1112"/>
              <w:spacing w:after="0" w:line="203" w:lineRule="exact"/>
              <w:rPr>
                <w:sz w:val="20"/>
                <w:szCs w:val="20"/>
                <w:color w:val="auto"/>
              </w:rPr>
            </w:pPr>
            <w:r>
              <w:rPr>
                <w:rFonts w:ascii="Courier New" w:cs="Courier New" w:eastAsia="Courier New" w:hAnsi="Courier New"/>
                <w:sz w:val="18"/>
                <w:szCs w:val="18"/>
                <w:color w:val="auto"/>
                <w:w w:val="96"/>
              </w:rPr>
              <w:t>1,500</w:t>
            </w:r>
          </w:p>
        </w:tc>
        <w:tc>
          <w:tcPr>
            <w:tcW w:w="13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17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w:t>
            </w:r>
          </w:p>
        </w:tc>
      </w:tr>
      <w:tr>
        <w:trPr>
          <w:trHeight w:val="203"/>
        </w:trPr>
        <w:tc>
          <w:tcPr>
            <w:tcW w:w="1740" w:type="dxa"/>
            <w:vAlign w:val="bottom"/>
          </w:tcPr>
          <w:p>
            <w:pPr>
              <w:jc w:val="right"/>
              <w:ind w:right="1112"/>
              <w:spacing w:after="0" w:line="203" w:lineRule="exact"/>
              <w:rPr>
                <w:sz w:val="20"/>
                <w:szCs w:val="20"/>
                <w:color w:val="auto"/>
              </w:rPr>
            </w:pPr>
            <w:r>
              <w:rPr>
                <w:rFonts w:ascii="Courier New" w:cs="Courier New" w:eastAsia="Courier New" w:hAnsi="Courier New"/>
                <w:sz w:val="18"/>
                <w:szCs w:val="18"/>
                <w:color w:val="auto"/>
                <w:w w:val="96"/>
              </w:rPr>
              <w:t>1,000</w:t>
            </w:r>
          </w:p>
        </w:tc>
        <w:tc>
          <w:tcPr>
            <w:tcW w:w="13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17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1740" w:type="dxa"/>
            <w:vAlign w:val="bottom"/>
          </w:tcPr>
          <w:p>
            <w:pPr>
              <w:spacing w:after="0"/>
              <w:rPr>
                <w:sz w:val="17"/>
                <w:szCs w:val="17"/>
                <w:color w:val="auto"/>
              </w:rPr>
            </w:pPr>
          </w:p>
        </w:tc>
        <w:tc>
          <w:tcPr>
            <w:tcW w:w="13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515K</w:t>
            </w:r>
          </w:p>
        </w:tc>
        <w:tc>
          <w:tcPr>
            <w:tcW w:w="1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1740" w:type="dxa"/>
            <w:vAlign w:val="bottom"/>
          </w:tcPr>
          <w:p>
            <w:pPr>
              <w:jc w:val="right"/>
              <w:ind w:right="1112"/>
              <w:spacing w:after="0" w:line="203" w:lineRule="exact"/>
              <w:rPr>
                <w:sz w:val="20"/>
                <w:szCs w:val="20"/>
                <w:color w:val="auto"/>
              </w:rPr>
            </w:pPr>
            <w:r>
              <w:rPr>
                <w:rFonts w:ascii="Courier New" w:cs="Courier New" w:eastAsia="Courier New" w:hAnsi="Courier New"/>
                <w:sz w:val="18"/>
                <w:szCs w:val="18"/>
                <w:color w:val="auto"/>
              </w:rPr>
              <w:t>500</w:t>
            </w:r>
          </w:p>
        </w:tc>
        <w:tc>
          <w:tcPr>
            <w:tcW w:w="13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174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78K</w:t>
            </w:r>
          </w:p>
        </w:tc>
        <w:tc>
          <w:tcPr>
            <w:tcW w:w="13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1740" w:type="dxa"/>
            <w:vAlign w:val="bottom"/>
          </w:tcPr>
          <w:p>
            <w:pPr>
              <w:jc w:val="right"/>
              <w:ind w:right="1112"/>
              <w:spacing w:after="0" w:line="203" w:lineRule="exact"/>
              <w:rPr>
                <w:sz w:val="20"/>
                <w:szCs w:val="20"/>
                <w:color w:val="auto"/>
              </w:rPr>
            </w:pPr>
            <w:r>
              <w:rPr>
                <w:rFonts w:ascii="Courier New" w:cs="Courier New" w:eastAsia="Courier New" w:hAnsi="Courier New"/>
                <w:sz w:val="18"/>
                <w:szCs w:val="18"/>
                <w:color w:val="auto"/>
              </w:rPr>
              <w:t>0</w:t>
            </w:r>
          </w:p>
        </w:tc>
        <w:tc>
          <w:tcPr>
            <w:tcW w:w="13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740" w:type="dxa"/>
            <w:vAlign w:val="bottom"/>
          </w:tcPr>
          <w:p>
            <w:pPr>
              <w:ind w:left="1160"/>
              <w:spacing w:after="0"/>
              <w:rPr>
                <w:sz w:val="20"/>
                <w:szCs w:val="20"/>
                <w:color w:val="auto"/>
              </w:rPr>
            </w:pPr>
            <w:r>
              <w:rPr>
                <w:rFonts w:ascii="Courier New" w:cs="Courier New" w:eastAsia="Courier New" w:hAnsi="Courier New"/>
                <w:sz w:val="18"/>
                <w:szCs w:val="18"/>
                <w:color w:val="auto"/>
              </w:rPr>
              <w:t>YE98</w:t>
            </w:r>
          </w:p>
        </w:tc>
        <w:tc>
          <w:tcPr>
            <w:tcW w:w="1320" w:type="dxa"/>
            <w:vAlign w:val="bottom"/>
          </w:tcPr>
          <w:p>
            <w:pPr>
              <w:ind w:left="580"/>
              <w:spacing w:after="0"/>
              <w:rPr>
                <w:sz w:val="20"/>
                <w:szCs w:val="20"/>
                <w:color w:val="auto"/>
              </w:rPr>
            </w:pPr>
            <w:r>
              <w:rPr>
                <w:rFonts w:ascii="Courier New" w:cs="Courier New" w:eastAsia="Courier New" w:hAnsi="Courier New"/>
                <w:sz w:val="18"/>
                <w:szCs w:val="18"/>
                <w:color w:val="auto"/>
              </w:rPr>
              <w:t>YE99</w:t>
            </w:r>
          </w:p>
        </w:tc>
        <w:tc>
          <w:tcPr>
            <w:tcW w:w="1640" w:type="dxa"/>
            <w:vAlign w:val="bottom"/>
          </w:tcPr>
          <w:p>
            <w:pPr>
              <w:jc w:val="center"/>
              <w:ind w:right="292"/>
              <w:spacing w:after="0"/>
              <w:rPr>
                <w:sz w:val="20"/>
                <w:szCs w:val="20"/>
                <w:color w:val="auto"/>
              </w:rPr>
            </w:pPr>
            <w:r>
              <w:rPr>
                <w:rFonts w:ascii="Courier New" w:cs="Courier New" w:eastAsia="Courier New" w:hAnsi="Courier New"/>
                <w:sz w:val="18"/>
                <w:szCs w:val="18"/>
                <w:color w:val="auto"/>
                <w:w w:val="97"/>
              </w:rPr>
              <w:t>YE00</w:t>
            </w:r>
          </w:p>
        </w:tc>
        <w:tc>
          <w:tcPr>
            <w:tcW w:w="940" w:type="dxa"/>
            <w:vAlign w:val="bottom"/>
          </w:tcPr>
          <w:p>
            <w:pPr>
              <w:ind w:left="160"/>
              <w:spacing w:after="0"/>
              <w:rPr>
                <w:sz w:val="20"/>
                <w:szCs w:val="20"/>
                <w:color w:val="auto"/>
              </w:rPr>
            </w:pPr>
            <w:r>
              <w:rPr>
                <w:rFonts w:ascii="Courier New" w:cs="Courier New" w:eastAsia="Courier New" w:hAnsi="Courier New"/>
                <w:sz w:val="18"/>
                <w:szCs w:val="18"/>
                <w:color w:val="auto"/>
              </w:rPr>
              <w:t>YE01</w:t>
            </w:r>
          </w:p>
        </w:tc>
        <w:tc>
          <w:tcPr>
            <w:tcW w:w="900" w:type="dxa"/>
            <w:vAlign w:val="bottom"/>
          </w:tcPr>
          <w:p>
            <w:pPr>
              <w:jc w:val="center"/>
              <w:spacing w:after="0"/>
              <w:rPr>
                <w:sz w:val="20"/>
                <w:szCs w:val="20"/>
                <w:color w:val="auto"/>
              </w:rPr>
            </w:pPr>
            <w:r>
              <w:rPr>
                <w:rFonts w:ascii="Courier New" w:cs="Courier New" w:eastAsia="Courier New" w:hAnsi="Courier New"/>
                <w:sz w:val="18"/>
                <w:szCs w:val="18"/>
                <w:color w:val="auto"/>
                <w:w w:val="97"/>
              </w:rPr>
              <w:t>1Q02</w:t>
            </w:r>
          </w:p>
        </w:tc>
        <w:tc>
          <w:tcPr>
            <w:tcW w:w="640" w:type="dxa"/>
            <w:vAlign w:val="bottom"/>
          </w:tcPr>
          <w:p>
            <w:pPr>
              <w:ind w:left="100"/>
              <w:spacing w:after="0"/>
              <w:rPr>
                <w:sz w:val="20"/>
                <w:szCs w:val="20"/>
                <w:color w:val="auto"/>
              </w:rPr>
            </w:pPr>
            <w:r>
              <w:rPr>
                <w:rFonts w:ascii="Courier New" w:cs="Courier New" w:eastAsia="Courier New" w:hAnsi="Courier New"/>
                <w:sz w:val="18"/>
                <w:szCs w:val="18"/>
                <w:color w:val="auto"/>
                <w:w w:val="96"/>
              </w:rPr>
              <w:t>YE02E</w:t>
            </w:r>
          </w:p>
        </w:tc>
        <w:tc>
          <w:tcPr>
            <w:tcW w:w="1260" w:type="dxa"/>
            <w:vAlign w:val="bottom"/>
          </w:tcPr>
          <w:p>
            <w:pPr>
              <w:spacing w:after="0"/>
              <w:rPr>
                <w:sz w:val="24"/>
                <w:szCs w:val="24"/>
                <w:color w:val="auto"/>
              </w:rPr>
            </w:pPr>
          </w:p>
        </w:tc>
      </w:tr>
      <w:tr>
        <w:trPr>
          <w:trHeight w:val="405"/>
        </w:trPr>
        <w:tc>
          <w:tcPr>
            <w:tcW w:w="1740" w:type="dxa"/>
            <w:vAlign w:val="bottom"/>
          </w:tcPr>
          <w:p>
            <w:pPr>
              <w:spacing w:after="0"/>
              <w:rPr>
                <w:sz w:val="24"/>
                <w:szCs w:val="24"/>
                <w:color w:val="auto"/>
              </w:rPr>
            </w:pPr>
          </w:p>
        </w:tc>
        <w:tc>
          <w:tcPr>
            <w:tcW w:w="4800" w:type="dxa"/>
            <w:vAlign w:val="bottom"/>
            <w:gridSpan w:val="4"/>
          </w:tcPr>
          <w:p>
            <w:pPr>
              <w:ind w:left="160"/>
              <w:spacing w:after="0"/>
              <w:rPr>
                <w:sz w:val="20"/>
                <w:szCs w:val="20"/>
                <w:color w:val="auto"/>
              </w:rPr>
            </w:pPr>
            <w:r>
              <w:rPr>
                <w:rFonts w:ascii="Courier New" w:cs="Courier New" w:eastAsia="Courier New" w:hAnsi="Courier New"/>
                <w:sz w:val="18"/>
                <w:szCs w:val="18"/>
                <w:color w:val="auto"/>
                <w:w w:val="99"/>
              </w:rPr>
              <w:t>* 2002 Guidance: 600-700,000 net additions.</w:t>
            </w:r>
          </w:p>
        </w:tc>
        <w:tc>
          <w:tcPr>
            <w:tcW w:w="6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608"/>
        </w:trPr>
        <w:tc>
          <w:tcPr>
            <w:tcW w:w="1740" w:type="dxa"/>
            <w:vAlign w:val="bottom"/>
          </w:tcPr>
          <w:p>
            <w:pPr>
              <w:spacing w:after="0"/>
              <w:rPr>
                <w:sz w:val="20"/>
                <w:szCs w:val="20"/>
                <w:color w:val="auto"/>
              </w:rPr>
            </w:pPr>
            <w:r>
              <w:rPr>
                <w:rFonts w:ascii="Courier New" w:cs="Courier New" w:eastAsia="Courier New" w:hAnsi="Courier New"/>
                <w:sz w:val="18"/>
                <w:szCs w:val="18"/>
                <w:color w:val="auto"/>
              </w:rPr>
              <w:t>Deutsche Bank</w:t>
            </w:r>
          </w:p>
        </w:tc>
        <w:tc>
          <w:tcPr>
            <w:tcW w:w="1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June 4, 2002</w:t>
            </w:r>
          </w:p>
        </w:tc>
        <w:tc>
          <w:tcPr>
            <w:tcW w:w="13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COMCAST LOGO</w:t>
            </w:r>
          </w:p>
        </w:tc>
      </w:tr>
    </w:tbl>
    <w:p>
      <w:pPr>
        <w:sectPr>
          <w:pgSz w:w="11900" w:h="16838" w:orient="portrait"/>
          <w:cols w:equalWidth="0" w:num="1">
            <w:col w:w="10219"/>
          </w:cols>
          <w:pgMar w:left="240" w:top="919"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COMCAST LOGO digital cable</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Strong and Profitable Growth</w:t>
      </w:r>
    </w:p>
    <w:p>
      <w:pPr>
        <w:spacing w:after="0" w:line="200" w:lineRule="exact"/>
        <w:rPr>
          <w:sz w:val="20"/>
          <w:szCs w:val="20"/>
          <w:color w:val="auto"/>
        </w:rPr>
      </w:pPr>
    </w:p>
    <w:p>
      <w:pPr>
        <w:spacing w:after="0" w:line="209" w:lineRule="exact"/>
        <w:rPr>
          <w:sz w:val="20"/>
          <w:szCs w:val="20"/>
          <w:color w:val="auto"/>
        </w:rPr>
      </w:pPr>
    </w:p>
    <w:p>
      <w:pPr>
        <w:ind w:left="2540" w:right="3779" w:hanging="320"/>
        <w:spacing w:after="0" w:line="236" w:lineRule="auto"/>
        <w:tabs>
          <w:tab w:leader="none" w:pos="2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Positive Contribution Since Day One o Incremental Revenue: $10.61 per Box o Incremental OCF: &gt;80% Margin</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Deutsche Bank</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June 4,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LOGO</w:t>
      </w:r>
    </w:p>
    <w:p>
      <w:pPr>
        <w:sectPr>
          <w:pgSz w:w="11900" w:h="16838" w:orient="portrait"/>
          <w:cols w:equalWidth="0" w:num="2">
            <w:col w:w="6460" w:space="720"/>
            <w:col w:w="3039"/>
          </w:cols>
          <w:pgMar w:left="240" w:top="919" w:right="1440" w:bottom="1440" w:gutter="0" w:footer="0" w:header="0"/>
          <w:type w:val="continuous"/>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Building on the Digital Platform</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00" w:type="dxa"/>
            <w:vAlign w:val="bottom"/>
          </w:tcPr>
          <w:p>
            <w:pPr>
              <w:jc w:val="right"/>
              <w:ind w:right="632"/>
              <w:spacing w:after="0"/>
              <w:rPr>
                <w:sz w:val="20"/>
                <w:szCs w:val="20"/>
                <w:color w:val="auto"/>
              </w:rPr>
            </w:pPr>
            <w:r>
              <w:rPr>
                <w:rFonts w:ascii="Courier New" w:cs="Courier New" w:eastAsia="Courier New" w:hAnsi="Courier New"/>
                <w:sz w:val="18"/>
                <w:szCs w:val="18"/>
                <w:color w:val="auto"/>
                <w:w w:val="97"/>
              </w:rPr>
              <w:t>Subscription</w:t>
            </w:r>
          </w:p>
        </w:tc>
        <w:tc>
          <w:tcPr>
            <w:tcW w:w="6340" w:type="dxa"/>
            <w:vAlign w:val="bottom"/>
          </w:tcPr>
          <w:p>
            <w:pPr>
              <w:spacing w:after="0"/>
              <w:rPr>
                <w:sz w:val="17"/>
                <w:szCs w:val="17"/>
                <w:color w:val="auto"/>
              </w:rPr>
            </w:pPr>
          </w:p>
        </w:tc>
      </w:tr>
      <w:tr>
        <w:trPr>
          <w:trHeight w:val="203"/>
        </w:trPr>
        <w:tc>
          <w:tcPr>
            <w:tcW w:w="200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Penetration</w:t>
            </w:r>
          </w:p>
        </w:tc>
        <w:tc>
          <w:tcPr>
            <w:tcW w:w="63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 +</w:t>
            </w:r>
          </w:p>
        </w:tc>
      </w:tr>
      <w:tr>
        <w:trPr>
          <w:trHeight w:val="203"/>
        </w:trPr>
        <w:tc>
          <w:tcPr>
            <w:tcW w:w="200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w:t>
            </w:r>
          </w:p>
        </w:tc>
        <w:tc>
          <w:tcPr>
            <w:tcW w:w="6340" w:type="dxa"/>
            <w:vAlign w:val="bottom"/>
          </w:tcPr>
          <w:p>
            <w:pPr>
              <w:spacing w:after="0"/>
              <w:rPr>
                <w:sz w:val="17"/>
                <w:szCs w:val="17"/>
                <w:color w:val="auto"/>
              </w:rPr>
            </w:pPr>
          </w:p>
        </w:tc>
      </w:tr>
      <w:tr>
        <w:trPr>
          <w:trHeight w:val="203"/>
        </w:trPr>
        <w:tc>
          <w:tcPr>
            <w:tcW w:w="200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w:t>
            </w:r>
          </w:p>
        </w:tc>
        <w:tc>
          <w:tcPr>
            <w:tcW w:w="63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Interactive TV</w:t>
            </w:r>
          </w:p>
        </w:tc>
      </w:tr>
      <w:tr>
        <w:trPr>
          <w:trHeight w:val="203"/>
        </w:trPr>
        <w:tc>
          <w:tcPr>
            <w:tcW w:w="200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w:t>
            </w:r>
          </w:p>
        </w:tc>
        <w:tc>
          <w:tcPr>
            <w:tcW w:w="6340" w:type="dxa"/>
            <w:vAlign w:val="bottom"/>
          </w:tcPr>
          <w:p>
            <w:pPr>
              <w:spacing w:after="0"/>
              <w:rPr>
                <w:sz w:val="17"/>
                <w:szCs w:val="17"/>
                <w:color w:val="auto"/>
              </w:rPr>
            </w:pPr>
          </w:p>
        </w:tc>
      </w:tr>
      <w:tr>
        <w:trPr>
          <w:trHeight w:val="203"/>
        </w:trPr>
        <w:tc>
          <w:tcPr>
            <w:tcW w:w="200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w:t>
            </w:r>
          </w:p>
        </w:tc>
        <w:tc>
          <w:tcPr>
            <w:tcW w:w="63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Extended VOD / PVR</w:t>
            </w:r>
          </w:p>
        </w:tc>
      </w:tr>
      <w:tr>
        <w:trPr>
          <w:trHeight w:val="203"/>
        </w:trPr>
        <w:tc>
          <w:tcPr>
            <w:tcW w:w="200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w:t>
            </w:r>
          </w:p>
        </w:tc>
        <w:tc>
          <w:tcPr>
            <w:tcW w:w="6340" w:type="dxa"/>
            <w:vAlign w:val="bottom"/>
          </w:tcPr>
          <w:p>
            <w:pPr>
              <w:spacing w:after="0"/>
              <w:rPr>
                <w:sz w:val="17"/>
                <w:szCs w:val="17"/>
                <w:color w:val="auto"/>
              </w:rPr>
            </w:pPr>
          </w:p>
        </w:tc>
      </w:tr>
      <w:tr>
        <w:trPr>
          <w:trHeight w:val="203"/>
        </w:trPr>
        <w:tc>
          <w:tcPr>
            <w:tcW w:w="200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w:t>
            </w:r>
          </w:p>
        </w:tc>
        <w:tc>
          <w:tcPr>
            <w:tcW w:w="634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rPr>
              <w:t>High Definition TV</w:t>
            </w:r>
          </w:p>
        </w:tc>
      </w:tr>
      <w:tr>
        <w:trPr>
          <w:trHeight w:val="203"/>
        </w:trPr>
        <w:tc>
          <w:tcPr>
            <w:tcW w:w="200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w:t>
            </w:r>
          </w:p>
        </w:tc>
        <w:tc>
          <w:tcPr>
            <w:tcW w:w="6340" w:type="dxa"/>
            <w:vAlign w:val="bottom"/>
          </w:tcPr>
          <w:p>
            <w:pPr>
              <w:spacing w:after="0"/>
              <w:rPr>
                <w:sz w:val="17"/>
                <w:szCs w:val="17"/>
                <w:color w:val="auto"/>
              </w:rPr>
            </w:pPr>
          </w:p>
        </w:tc>
      </w:tr>
      <w:tr>
        <w:trPr>
          <w:trHeight w:val="203"/>
        </w:trPr>
        <w:tc>
          <w:tcPr>
            <w:tcW w:w="200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w:t>
            </w:r>
          </w:p>
        </w:tc>
        <w:tc>
          <w:tcPr>
            <w:tcW w:w="6340" w:type="dxa"/>
            <w:vAlign w:val="bottom"/>
          </w:tcPr>
          <w:p>
            <w:pPr>
              <w:jc w:val="right"/>
              <w:ind w:right="3092"/>
              <w:spacing w:after="0" w:line="203" w:lineRule="exact"/>
              <w:rPr>
                <w:sz w:val="20"/>
                <w:szCs w:val="20"/>
                <w:color w:val="auto"/>
              </w:rPr>
            </w:pPr>
            <w:r>
              <w:rPr>
                <w:rFonts w:ascii="Courier New" w:cs="Courier New" w:eastAsia="Courier New" w:hAnsi="Courier New"/>
                <w:sz w:val="18"/>
                <w:szCs w:val="18"/>
                <w:color w:val="auto"/>
              </w:rPr>
              <w:t>Video-On-Demand</w:t>
            </w:r>
          </w:p>
        </w:tc>
      </w:tr>
      <w:tr>
        <w:trPr>
          <w:trHeight w:val="203"/>
        </w:trPr>
        <w:tc>
          <w:tcPr>
            <w:tcW w:w="200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w:t>
            </w:r>
          </w:p>
        </w:tc>
        <w:tc>
          <w:tcPr>
            <w:tcW w:w="6340" w:type="dxa"/>
            <w:vAlign w:val="bottom"/>
          </w:tcPr>
          <w:p>
            <w:pPr>
              <w:spacing w:after="0"/>
              <w:rPr>
                <w:sz w:val="17"/>
                <w:szCs w:val="17"/>
                <w:color w:val="auto"/>
              </w:rPr>
            </w:pPr>
          </w:p>
        </w:tc>
      </w:tr>
      <w:tr>
        <w:trPr>
          <w:trHeight w:val="203"/>
        </w:trPr>
        <w:tc>
          <w:tcPr>
            <w:tcW w:w="200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w:t>
            </w:r>
          </w:p>
        </w:tc>
        <w:tc>
          <w:tcPr>
            <w:tcW w:w="6340" w:type="dxa"/>
            <w:vAlign w:val="bottom"/>
          </w:tcPr>
          <w:p>
            <w:pPr>
              <w:jc w:val="right"/>
              <w:ind w:right="4232"/>
              <w:spacing w:after="0" w:line="203" w:lineRule="exact"/>
              <w:rPr>
                <w:sz w:val="20"/>
                <w:szCs w:val="20"/>
                <w:color w:val="auto"/>
              </w:rPr>
            </w:pPr>
            <w:r>
              <w:rPr>
                <w:rFonts w:ascii="Courier New" w:cs="Courier New" w:eastAsia="Courier New" w:hAnsi="Courier New"/>
                <w:sz w:val="18"/>
                <w:szCs w:val="18"/>
                <w:color w:val="auto"/>
              </w:rPr>
              <w:t>Digital Plus</w:t>
            </w:r>
          </w:p>
        </w:tc>
      </w:tr>
      <w:tr>
        <w:trPr>
          <w:trHeight w:val="203"/>
        </w:trPr>
        <w:tc>
          <w:tcPr>
            <w:tcW w:w="200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w:t>
            </w:r>
          </w:p>
        </w:tc>
        <w:tc>
          <w:tcPr>
            <w:tcW w:w="6340" w:type="dxa"/>
            <w:vAlign w:val="bottom"/>
          </w:tcPr>
          <w:p>
            <w:pPr>
              <w:jc w:val="right"/>
              <w:ind w:right="4672"/>
              <w:spacing w:after="0" w:line="203" w:lineRule="exact"/>
              <w:rPr>
                <w:sz w:val="20"/>
                <w:szCs w:val="20"/>
                <w:color w:val="auto"/>
              </w:rPr>
            </w:pPr>
            <w:r>
              <w:rPr>
                <w:rFonts w:ascii="Courier New" w:cs="Courier New" w:eastAsia="Courier New" w:hAnsi="Courier New"/>
                <w:sz w:val="18"/>
                <w:szCs w:val="18"/>
                <w:color w:val="auto"/>
              </w:rPr>
              <w:t>$14.95</w:t>
            </w:r>
          </w:p>
        </w:tc>
      </w:tr>
      <w:tr>
        <w:trPr>
          <w:trHeight w:val="203"/>
        </w:trPr>
        <w:tc>
          <w:tcPr>
            <w:tcW w:w="200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w:t>
            </w:r>
          </w:p>
        </w:tc>
        <w:tc>
          <w:tcPr>
            <w:tcW w:w="6340" w:type="dxa"/>
            <w:vAlign w:val="bottom"/>
          </w:tcPr>
          <w:p>
            <w:pPr>
              <w:spacing w:after="0"/>
              <w:rPr>
                <w:sz w:val="17"/>
                <w:szCs w:val="17"/>
                <w:color w:val="auto"/>
              </w:rPr>
            </w:pPr>
          </w:p>
        </w:tc>
      </w:tr>
    </w:tbl>
    <w:p>
      <w:pPr>
        <w:ind w:left="1700" w:hanging="1165"/>
        <w:spacing w:after="0" w:line="238" w:lineRule="auto"/>
        <w:tabs>
          <w:tab w:leader="none" w:pos="17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Digital Classic</w:t>
      </w:r>
    </w:p>
    <w:p>
      <w:pPr>
        <w:ind w:left="2120" w:hanging="1585"/>
        <w:spacing w:after="0"/>
        <w:tabs>
          <w:tab w:leader="none" w:pos="21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$9.95</w:t>
      </w:r>
    </w:p>
    <w:p>
      <w:pPr>
        <w:spacing w:after="0" w:line="3" w:lineRule="exact"/>
        <w:rPr>
          <w:rFonts w:ascii="Courier New" w:cs="Courier New" w:eastAsia="Courier New" w:hAnsi="Courier New"/>
          <w:sz w:val="18"/>
          <w:szCs w:val="18"/>
          <w:color w:val="auto"/>
        </w:rPr>
      </w:pPr>
    </w:p>
    <w:p>
      <w:pPr>
        <w:spacing w:after="0"/>
        <w:tabs>
          <w:tab w:leader="none" w:pos="0" w:val="left"/>
        </w:tabs>
        <w:numPr>
          <w:ilvl w:val="0"/>
          <w:numId w:val="7"/>
        </w:numPr>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Deutsche Bank</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June 4,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LOGO</w:t>
      </w:r>
    </w:p>
    <w:p>
      <w:pPr>
        <w:sectPr>
          <w:pgSz w:w="11900" w:h="16838" w:orient="portrait"/>
          <w:cols w:equalWidth="0" w:num="2">
            <w:col w:w="6340" w:space="720"/>
            <w:col w:w="3159"/>
          </w:cols>
          <w:pgMar w:left="240" w:top="919" w:right="1440" w:bottom="1440" w:gutter="0" w:footer="0" w:header="0"/>
          <w:type w:val="continuous"/>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Building on the Digital Platform</w:t>
      </w:r>
    </w:p>
    <w:p>
      <w:pPr>
        <w:spacing w:after="0" w:line="201" w:lineRule="exact"/>
        <w:rPr>
          <w:sz w:val="20"/>
          <w:szCs w:val="20"/>
          <w:color w:val="auto"/>
        </w:rPr>
      </w:pPr>
    </w:p>
    <w:p>
      <w:pPr>
        <w:jc w:val="right"/>
        <w:ind w:right="5999"/>
        <w:spacing w:after="0"/>
        <w:rPr>
          <w:sz w:val="20"/>
          <w:szCs w:val="20"/>
          <w:color w:val="auto"/>
        </w:rPr>
      </w:pPr>
      <w:r>
        <w:rPr>
          <w:rFonts w:ascii="Courier New" w:cs="Courier New" w:eastAsia="Courier New" w:hAnsi="Courier New"/>
          <w:sz w:val="18"/>
          <w:szCs w:val="18"/>
          <w:color w:val="auto"/>
        </w:rPr>
        <w:t>Video-On-Demand</w:t>
      </w:r>
    </w:p>
    <w:p>
      <w:pPr>
        <w:spacing w:after="0" w:line="201" w:lineRule="exact"/>
        <w:rPr>
          <w:sz w:val="20"/>
          <w:szCs w:val="20"/>
          <w:color w:val="auto"/>
        </w:rPr>
      </w:pPr>
    </w:p>
    <w:p>
      <w:pPr>
        <w:ind w:left="320" w:hanging="312"/>
        <w:spacing w:after="0"/>
        <w:tabs>
          <w:tab w:leader="none" w:pos="3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Drives Digital Penetration</w:t>
      </w:r>
    </w:p>
    <w:p>
      <w:pPr>
        <w:ind w:left="320" w:hanging="312"/>
        <w:spacing w:after="0" w:line="238" w:lineRule="auto"/>
        <w:tabs>
          <w:tab w:leader="none" w:pos="3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Leverages Existing Box</w:t>
      </w:r>
    </w:p>
    <w:p>
      <w:pPr>
        <w:spacing w:after="0" w:line="4" w:lineRule="exact"/>
        <w:rPr>
          <w:rFonts w:ascii="Courier New" w:cs="Courier New" w:eastAsia="Courier New" w:hAnsi="Courier New"/>
          <w:sz w:val="18"/>
          <w:szCs w:val="18"/>
          <w:color w:val="auto"/>
        </w:rPr>
      </w:pPr>
    </w:p>
    <w:p>
      <w:pPr>
        <w:ind w:left="540" w:right="7679" w:hanging="532"/>
        <w:spacing w:after="0" w:line="290" w:lineRule="auto"/>
        <w:tabs>
          <w:tab w:leader="none" w:pos="329"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Competitive Advantage Digital --&gt; Parity</w:t>
      </w:r>
    </w:p>
    <w:p>
      <w:pPr>
        <w:spacing w:after="0" w:line="170" w:lineRule="exact"/>
        <w:rPr>
          <w:sz w:val="20"/>
          <w:szCs w:val="20"/>
          <w:color w:val="auto"/>
        </w:rPr>
      </w:pPr>
    </w:p>
    <w:p>
      <w:pPr>
        <w:ind w:left="320" w:right="6519" w:hanging="312"/>
        <w:spacing w:after="0" w:line="235" w:lineRule="auto"/>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Scalable Architecture for Future Services</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Deutsche Bank</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June 4, 2002</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LOGO</w:t>
      </w:r>
    </w:p>
    <w:p>
      <w:pPr>
        <w:sectPr>
          <w:pgSz w:w="11900" w:h="16838" w:orient="portrait"/>
          <w:cols w:equalWidth="0" w:num="2">
            <w:col w:w="6340" w:space="720"/>
            <w:col w:w="3159"/>
          </w:cols>
          <w:pgMar w:left="240" w:top="919" w:right="1440" w:bottom="1440" w:gutter="0" w:footer="0" w:header="0"/>
          <w:type w:val="continuous"/>
        </w:sectPr>
      </w:pPr>
    </w:p>
    <w:bookmarkStart w:id="8" w:name="page9"/>
    <w:bookmarkEnd w:id="8"/>
    <w:p>
      <w:pPr>
        <w:ind w:left="2740"/>
        <w:spacing w:after="0"/>
        <w:rPr>
          <w:sz w:val="20"/>
          <w:szCs w:val="20"/>
          <w:color w:val="auto"/>
        </w:rPr>
      </w:pPr>
      <w:r>
        <w:rPr>
          <w:rFonts w:ascii="Courier New" w:cs="Courier New" w:eastAsia="Courier New" w:hAnsi="Courier New"/>
          <w:sz w:val="16"/>
          <w:szCs w:val="16"/>
          <w:color w:val="auto"/>
        </w:rPr>
        <w:t>VOD . . . More Than Movies</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Movies</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Time Shifted Programming</w:t>
      </w:r>
    </w:p>
    <w:p>
      <w:pPr>
        <w:jc w:val="center"/>
        <w:ind w:right="2739"/>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2519"/>
        <w:spacing w:after="0"/>
        <w:tabs>
          <w:tab w:leader="none" w:pos="2300" w:val="left"/>
          <w:tab w:leader="none" w:pos="16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1" w:lineRule="exact"/>
        <w:rPr>
          <w:sz w:val="20"/>
          <w:szCs w:val="20"/>
          <w:color w:val="auto"/>
        </w:rPr>
      </w:pPr>
    </w:p>
    <w:p>
      <w:pPr>
        <w:sectPr>
          <w:pgSz w:w="11900" w:h="16838" w:orient="portrait"/>
          <w:cols w:equalWidth="0" w:num="3">
            <w:col w:w="2220" w:space="640"/>
            <w:col w:w="100" w:space="420"/>
            <w:col w:w="6839"/>
          </w:cols>
          <w:pgMar w:left="240" w:top="723" w:right="1440" w:bottom="1440" w:gutter="0" w:footer="0" w:header="0"/>
          <w:type w:val="continuous"/>
        </w:sectPr>
      </w:pPr>
    </w:p>
    <w:p>
      <w:pPr>
        <w:spacing w:after="0" w:line="3"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Impulse</w:t>
      </w:r>
    </w:p>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HBO</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8"/>
          <w:szCs w:val="18"/>
          <w:color w:val="auto"/>
        </w:rPr>
        <w:t>Subscription</w:t>
      </w:r>
    </w:p>
    <w:p>
      <w:pPr>
        <w:spacing w:after="0" w:line="202" w:lineRule="exact"/>
        <w:rPr>
          <w:sz w:val="20"/>
          <w:szCs w:val="20"/>
          <w:color w:val="auto"/>
        </w:rPr>
      </w:pPr>
    </w:p>
    <w:p>
      <w:pPr>
        <w:ind w:left="120"/>
        <w:spacing w:after="0"/>
        <w:tabs>
          <w:tab w:leader="none" w:pos="1140" w:val="left"/>
        </w:tabs>
        <w:rPr>
          <w:sz w:val="20"/>
          <w:szCs w:val="20"/>
          <w:color w:val="auto"/>
        </w:rPr>
      </w:pPr>
      <w:r>
        <w:rPr>
          <w:rFonts w:ascii="Courier New" w:cs="Courier New" w:eastAsia="Courier New" w:hAnsi="Courier New"/>
          <w:sz w:val="18"/>
          <w:szCs w:val="18"/>
          <w:color w:val="auto"/>
        </w:rPr>
        <w:t>Showtime</w:t>
      </w:r>
      <w:r>
        <w:rPr>
          <w:sz w:val="20"/>
          <w:szCs w:val="20"/>
          <w:color w:val="auto"/>
        </w:rPr>
        <w:tab/>
      </w:r>
      <w:r>
        <w:rPr>
          <w:rFonts w:ascii="Courier New" w:cs="Courier New" w:eastAsia="Courier New" w:hAnsi="Courier New"/>
          <w:sz w:val="16"/>
          <w:szCs w:val="16"/>
          <w:color w:val="auto"/>
        </w:rPr>
        <w:t>STARZ!</w:t>
      </w:r>
    </w:p>
    <w:p>
      <w:pPr>
        <w:spacing w:after="0" w:line="20" w:lineRule="exact"/>
        <w:rPr>
          <w:sz w:val="20"/>
          <w:szCs w:val="20"/>
          <w:color w:val="auto"/>
        </w:rPr>
      </w:pPr>
      <w:r>
        <w:rPr>
          <w:sz w:val="20"/>
          <w:szCs w:val="20"/>
          <w:color w:val="auto"/>
        </w:rPr>
        <w:br w:type="column"/>
      </w:r>
    </w:p>
    <w:p>
      <w:pPr>
        <w:ind w:left="100"/>
        <w:spacing w:after="0" w:line="238" w:lineRule="auto"/>
        <w:rPr>
          <w:sz w:val="20"/>
          <w:szCs w:val="20"/>
          <w:color w:val="auto"/>
        </w:rPr>
      </w:pPr>
      <w:r>
        <w:rPr>
          <w:rFonts w:ascii="Courier New" w:cs="Courier New" w:eastAsia="Courier New" w:hAnsi="Courier New"/>
          <w:sz w:val="18"/>
          <w:szCs w:val="18"/>
          <w:color w:val="auto"/>
        </w:rPr>
        <w:t>"Best of"</w:t>
      </w:r>
    </w:p>
    <w:p>
      <w:pPr>
        <w:ind w:left="100"/>
        <w:spacing w:after="0"/>
        <w:rPr>
          <w:sz w:val="20"/>
          <w:szCs w:val="20"/>
          <w:color w:val="auto"/>
        </w:rPr>
      </w:pPr>
      <w:r>
        <w:rPr>
          <w:rFonts w:ascii="Courier New" w:cs="Courier New" w:eastAsia="Courier New" w:hAnsi="Courier New"/>
          <w:sz w:val="18"/>
          <w:szCs w:val="18"/>
          <w:color w:val="auto"/>
        </w:rPr>
        <w:t>Cable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Broadcasting</w:t>
      </w:r>
    </w:p>
    <w:p>
      <w:pPr>
        <w:spacing w:after="0" w:line="216" w:lineRule="exact"/>
        <w:rPr>
          <w:sz w:val="20"/>
          <w:szCs w:val="20"/>
          <w:color w:val="auto"/>
        </w:rPr>
      </w:pPr>
    </w:p>
    <w:p>
      <w:pPr>
        <w:sectPr>
          <w:pgSz w:w="11900" w:h="16838" w:orient="portrait"/>
          <w:cols w:equalWidth="0" w:num="4">
            <w:col w:w="2760" w:space="720"/>
            <w:col w:w="320" w:space="100"/>
            <w:col w:w="1800" w:space="520"/>
            <w:col w:w="3999"/>
          </w:cols>
          <w:pgMar w:left="240" w:top="723" w:right="1440" w:bottom="1440" w:gutter="0" w:footer="0" w:header="0"/>
          <w:type w:val="continuous"/>
        </w:sect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[GRAPHIC OMITTED]</w:t>
      </w:r>
    </w:p>
    <w:p>
      <w:pPr>
        <w:jc w:val="right"/>
        <w:ind w:right="1879"/>
        <w:spacing w:after="0" w:line="238" w:lineRule="auto"/>
        <w:rPr>
          <w:sz w:val="20"/>
          <w:szCs w:val="20"/>
          <w:color w:val="auto"/>
        </w:rPr>
      </w:pPr>
      <w:r>
        <w:rPr>
          <w:rFonts w:ascii="Courier New" w:cs="Courier New" w:eastAsia="Courier New" w:hAnsi="Courier New"/>
          <w:sz w:val="18"/>
          <w:szCs w:val="18"/>
          <w:color w:val="auto"/>
        </w:rPr>
        <w:t>News</w:t>
      </w:r>
    </w:p>
    <w:p>
      <w:pPr>
        <w:spacing w:after="0" w:line="202"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Sports</w:t>
      </w:r>
    </w:p>
    <w:p>
      <w:pPr>
        <w:spacing w:after="0" w:line="201"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Kids</w:t>
      </w:r>
    </w:p>
    <w:p>
      <w:pPr>
        <w:spacing w:after="0" w:line="201"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Shopping</w:t>
      </w:r>
    </w:p>
    <w:p>
      <w:pPr>
        <w:spacing w:after="0" w:line="201"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Prime Time</w:t>
      </w:r>
    </w:p>
    <w:p>
      <w:pPr>
        <w:spacing w:after="0" w:line="201"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Cable</w:t>
      </w:r>
    </w:p>
    <w:p>
      <w:pPr>
        <w:sectPr>
          <w:pgSz w:w="11900" w:h="16838" w:orient="portrait"/>
          <w:cols w:equalWidth="0" w:num="1">
            <w:col w:w="10219"/>
          </w:cols>
          <w:pgMar w:left="240" w:top="723" w:right="1440" w:bottom="144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Deutsche Bank</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June 4, 2002</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LOGO</w:t>
      </w:r>
    </w:p>
    <w:p>
      <w:pPr>
        <w:sectPr>
          <w:pgSz w:w="11900" w:h="16838" w:orient="portrait"/>
          <w:cols w:equalWidth="0" w:num="2">
            <w:col w:w="6340" w:space="720"/>
            <w:col w:w="3159"/>
          </w:cols>
          <w:pgMar w:left="240" w:top="723" w:right="1440" w:bottom="1440" w:gutter="0" w:footer="0" w:header="0"/>
          <w:type w:val="continuous"/>
        </w:sectPr>
      </w:pPr>
    </w:p>
    <w:bookmarkStart w:id="9" w:name="page10"/>
    <w:bookmarkEnd w:id="9"/>
    <w:p>
      <w:pPr>
        <w:ind w:left="2960"/>
        <w:spacing w:after="0"/>
        <w:rPr>
          <w:sz w:val="20"/>
          <w:szCs w:val="20"/>
          <w:color w:val="auto"/>
        </w:rPr>
      </w:pPr>
      <w:r>
        <w:rPr>
          <w:rFonts w:ascii="Courier New" w:cs="Courier New" w:eastAsia="Courier New" w:hAnsi="Courier New"/>
          <w:sz w:val="18"/>
          <w:szCs w:val="18"/>
          <w:color w:val="auto"/>
        </w:rPr>
        <w:t>Building on the Digital</w:t>
      </w:r>
    </w:p>
    <w:p>
      <w:pPr>
        <w:spacing w:after="0" w:line="207"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High-Definition Television</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spacing w:after="0"/>
        <w:tabs>
          <w:tab w:leader="none" w:pos="300" w:val="left"/>
        </w:tabs>
        <w:rPr>
          <w:sz w:val="20"/>
          <w:szCs w:val="20"/>
          <w:color w:val="auto"/>
        </w:rPr>
      </w:pPr>
      <w:r>
        <w:rPr>
          <w:rFonts w:ascii="Courier New" w:cs="Courier New" w:eastAsia="Courier New" w:hAnsi="Courier New"/>
          <w:sz w:val="18"/>
          <w:szCs w:val="18"/>
          <w:color w:val="auto"/>
        </w:rPr>
        <w:t>o</w:t>
      </w:r>
      <w:r>
        <w:rPr>
          <w:sz w:val="20"/>
          <w:szCs w:val="20"/>
          <w:color w:val="auto"/>
        </w:rPr>
        <w:tab/>
      </w:r>
      <w:r>
        <w:rPr>
          <w:rFonts w:ascii="Courier New" w:cs="Courier New" w:eastAsia="Courier New" w:hAnsi="Courier New"/>
          <w:sz w:val="16"/>
          <w:szCs w:val="16"/>
          <w:color w:val="auto"/>
        </w:rPr>
        <w:t>Today: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Available to 1.3MM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Customers in Philadelphia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New Jersey</w:t>
      </w:r>
    </w:p>
    <w:p>
      <w:pPr>
        <w:spacing w:after="0" w:line="200" w:lineRule="exact"/>
        <w:rPr>
          <w:sz w:val="20"/>
          <w:szCs w:val="20"/>
          <w:color w:val="auto"/>
        </w:rPr>
      </w:pPr>
    </w:p>
    <w:p>
      <w:pPr>
        <w:sectPr>
          <w:pgSz w:w="11900" w:h="16838" w:orient="portrait"/>
          <w:cols w:equalWidth="0" w:num="2">
            <w:col w:w="1180" w:space="720"/>
            <w:col w:w="8319"/>
          </w:cols>
          <w:pgMar w:left="240" w:top="919" w:right="1440" w:bottom="1440" w:gutter="0" w:footer="0" w:header="0"/>
          <w:type w:val="continuous"/>
        </w:sectPr>
      </w:pPr>
    </w:p>
    <w:p>
      <w:pPr>
        <w:spacing w:after="0" w:line="1" w:lineRule="exact"/>
        <w:rPr>
          <w:sz w:val="20"/>
          <w:szCs w:val="20"/>
          <w:color w:val="auto"/>
        </w:rPr>
      </w:pPr>
    </w:p>
    <w:p>
      <w:pPr>
        <w:spacing w:after="0"/>
        <w:tabs>
          <w:tab w:leader="none" w:pos="300" w:val="left"/>
        </w:tabs>
        <w:rPr>
          <w:sz w:val="20"/>
          <w:szCs w:val="20"/>
          <w:color w:val="auto"/>
        </w:rPr>
      </w:pPr>
      <w:r>
        <w:rPr>
          <w:rFonts w:ascii="Courier New" w:cs="Courier New" w:eastAsia="Courier New" w:hAnsi="Courier New"/>
          <w:sz w:val="18"/>
          <w:szCs w:val="18"/>
          <w:color w:val="auto"/>
        </w:rPr>
        <w:t>o</w:t>
      </w:r>
      <w:r>
        <w:rPr>
          <w:sz w:val="20"/>
          <w:szCs w:val="20"/>
          <w:color w:val="auto"/>
        </w:rPr>
        <w:tab/>
      </w:r>
      <w:r>
        <w:rPr>
          <w:rFonts w:ascii="Courier New" w:cs="Courier New" w:eastAsia="Courier New" w:hAnsi="Courier New"/>
          <w:sz w:val="16"/>
          <w:szCs w:val="16"/>
          <w:color w:val="auto"/>
        </w:rPr>
        <w:t>YE 2002:</w:t>
      </w:r>
    </w:p>
    <w:p>
      <w:pPr>
        <w:spacing w:after="0" w:line="20" w:lineRule="exact"/>
        <w:rPr>
          <w:sz w:val="20"/>
          <w:szCs w:val="20"/>
          <w:color w:val="auto"/>
        </w:rPr>
      </w:pPr>
      <w:r>
        <w:rPr>
          <w:sz w:val="20"/>
          <w:szCs w:val="20"/>
          <w:color w:val="auto"/>
        </w:rPr>
        <w:br w:type="column"/>
      </w:r>
    </w:p>
    <w:p>
      <w:pPr>
        <w:ind w:right="960"/>
        <w:spacing w:after="0" w:line="236" w:lineRule="auto"/>
        <w:rPr>
          <w:sz w:val="20"/>
          <w:szCs w:val="20"/>
          <w:color w:val="auto"/>
        </w:rPr>
      </w:pPr>
      <w:r>
        <w:rPr>
          <w:rFonts w:ascii="Courier New" w:cs="Courier New" w:eastAsia="Courier New" w:hAnsi="Courier New"/>
          <w:sz w:val="18"/>
          <w:szCs w:val="18"/>
          <w:color w:val="auto"/>
        </w:rPr>
        <w:t>Expand Offering in Mid-Atlantic Super Cluster and to Other Key Markets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[GRAPHIC OMITTED]</w:t>
      </w:r>
    </w:p>
    <w:p>
      <w:pPr>
        <w:spacing w:after="0" w:line="620" w:lineRule="exact"/>
        <w:rPr>
          <w:sz w:val="20"/>
          <w:szCs w:val="20"/>
          <w:color w:val="auto"/>
        </w:rPr>
      </w:pPr>
    </w:p>
    <w:p>
      <w:pPr>
        <w:sectPr>
          <w:pgSz w:w="11900" w:h="16838" w:orient="portrait"/>
          <w:cols w:equalWidth="0" w:num="3">
            <w:col w:w="1180" w:space="720"/>
            <w:col w:w="3700" w:space="720"/>
            <w:col w:w="3899"/>
          </w:cols>
          <w:pgMar w:left="240" w:top="919" w:right="1440" w:bottom="1440" w:gutter="0" w:footer="0" w:header="0"/>
          <w:type w:val="continuous"/>
        </w:sectPr>
      </w:pPr>
    </w:p>
    <w:p>
      <w:pPr>
        <w:spacing w:after="0" w:line="9" w:lineRule="exact"/>
        <w:rPr>
          <w:sz w:val="20"/>
          <w:szCs w:val="20"/>
          <w:color w:val="auto"/>
        </w:rPr>
      </w:pPr>
    </w:p>
    <w:p>
      <w:pPr>
        <w:ind w:left="320" w:hanging="312"/>
        <w:spacing w:after="0"/>
        <w:tabs>
          <w:tab w:leader="none" w:pos="3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Programming:   ABC, NBC, HBO, and Showtime</w:t>
      </w:r>
    </w:p>
    <w:p>
      <w:pPr>
        <w:spacing w:after="0" w:line="218" w:lineRule="exact"/>
        <w:rPr>
          <w:rFonts w:ascii="Courier New" w:cs="Courier New" w:eastAsia="Courier New" w:hAnsi="Courier New"/>
          <w:sz w:val="16"/>
          <w:szCs w:val="16"/>
          <w:color w:val="auto"/>
        </w:rPr>
      </w:pPr>
    </w:p>
    <w:p>
      <w:pPr>
        <w:ind w:left="320" w:hanging="312"/>
        <w:spacing w:after="0"/>
        <w:tabs>
          <w:tab w:leader="none" w:pos="3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2003:</w:t>
      </w:r>
      <w:r>
        <w:rPr>
          <w:rFonts w:ascii="Courier New" w:cs="Courier New" w:eastAsia="Courier New" w:hAnsi="Courier New"/>
          <w:sz w:val="16"/>
          <w:szCs w:val="16"/>
          <w:color w:val="auto"/>
        </w:rPr>
        <w:t>Comcast SportsNet</w:t>
      </w:r>
    </w:p>
    <w:p>
      <w:pPr>
        <w:sectPr>
          <w:pgSz w:w="11900" w:h="16838" w:orient="portrait"/>
          <w:cols w:equalWidth="0" w:num="1">
            <w:col w:w="10219"/>
          </w:cols>
          <w:pgMar w:left="240" w:top="919" w:right="1440" w:bottom="144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Deutsche Bank</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June 4, 2002</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LOGO</w:t>
      </w:r>
    </w:p>
    <w:p>
      <w:pPr>
        <w:sectPr>
          <w:pgSz w:w="11900" w:h="16838" w:orient="portrait"/>
          <w:cols w:equalWidth="0" w:num="2">
            <w:col w:w="6340" w:space="720"/>
            <w:col w:w="3159"/>
          </w:cols>
          <w:pgMar w:left="240" w:top="919" w:right="1440"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04"/>
        </w:trPr>
        <w:tc>
          <w:tcPr>
            <w:tcW w:w="1800" w:type="dxa"/>
            <w:vAlign w:val="bottom"/>
          </w:tcPr>
          <w:p>
            <w:pPr>
              <w:spacing w:after="0"/>
              <w:rPr>
                <w:sz w:val="17"/>
                <w:szCs w:val="17"/>
                <w:color w:val="auto"/>
              </w:rPr>
            </w:pPr>
          </w:p>
        </w:tc>
        <w:tc>
          <w:tcPr>
            <w:tcW w:w="4640" w:type="dxa"/>
            <w:vAlign w:val="bottom"/>
            <w:gridSpan w:val="4"/>
          </w:tcPr>
          <w:p>
            <w:pPr>
              <w:ind w:left="640"/>
              <w:spacing w:after="0"/>
              <w:rPr>
                <w:sz w:val="20"/>
                <w:szCs w:val="20"/>
                <w:color w:val="auto"/>
              </w:rPr>
            </w:pPr>
            <w:r>
              <w:rPr>
                <w:rFonts w:ascii="Courier New" w:cs="Courier New" w:eastAsia="Courier New" w:hAnsi="Courier New"/>
                <w:sz w:val="18"/>
                <w:szCs w:val="18"/>
                <w:color w:val="auto"/>
              </w:rPr>
              <w:t>COMCAST LOGO High-Speed Internet</w:t>
            </w:r>
          </w:p>
        </w:tc>
        <w:tc>
          <w:tcPr>
            <w:tcW w:w="2000" w:type="dxa"/>
            <w:vAlign w:val="bottom"/>
          </w:tcPr>
          <w:p>
            <w:pPr>
              <w:spacing w:after="0"/>
              <w:rPr>
                <w:sz w:val="17"/>
                <w:szCs w:val="17"/>
                <w:color w:val="auto"/>
              </w:rPr>
            </w:pP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Subscribers</w:t>
            </w:r>
          </w:p>
        </w:tc>
        <w:tc>
          <w:tcPr>
            <w:tcW w:w="1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03"/>
        </w:trPr>
        <w:tc>
          <w:tcPr>
            <w:tcW w:w="1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(000s)</w:t>
            </w:r>
          </w:p>
        </w:tc>
        <w:tc>
          <w:tcPr>
            <w:tcW w:w="1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Penetration</w:t>
            </w:r>
          </w:p>
        </w:tc>
      </w:tr>
      <w:tr>
        <w:trPr>
          <w:trHeight w:val="405"/>
        </w:trPr>
        <w:tc>
          <w:tcPr>
            <w:tcW w:w="1800" w:type="dxa"/>
            <w:vAlign w:val="bottom"/>
          </w:tcPr>
          <w:p>
            <w:pPr>
              <w:jc w:val="right"/>
              <w:ind w:right="1172"/>
              <w:spacing w:after="0"/>
              <w:rPr>
                <w:sz w:val="20"/>
                <w:szCs w:val="20"/>
                <w:color w:val="auto"/>
              </w:rPr>
            </w:pPr>
            <w:r>
              <w:rPr>
                <w:rFonts w:ascii="Courier New" w:cs="Courier New" w:eastAsia="Courier New" w:hAnsi="Courier New"/>
                <w:sz w:val="18"/>
                <w:szCs w:val="18"/>
                <w:color w:val="auto"/>
                <w:w w:val="96"/>
              </w:rPr>
              <w:t>1,600</w:t>
            </w:r>
          </w:p>
        </w:tc>
        <w:tc>
          <w:tcPr>
            <w:tcW w:w="1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14%</w:t>
            </w:r>
          </w:p>
        </w:tc>
      </w:tr>
      <w:tr>
        <w:trPr>
          <w:trHeight w:val="203"/>
        </w:trPr>
        <w:tc>
          <w:tcPr>
            <w:tcW w:w="1800" w:type="dxa"/>
            <w:vAlign w:val="bottom"/>
          </w:tcPr>
          <w:p>
            <w:pPr>
              <w:spacing w:after="0"/>
              <w:rPr>
                <w:sz w:val="17"/>
                <w:szCs w:val="17"/>
                <w:color w:val="auto"/>
              </w:rPr>
            </w:pPr>
          </w:p>
        </w:tc>
        <w:tc>
          <w:tcPr>
            <w:tcW w:w="3360" w:type="dxa"/>
            <w:vAlign w:val="bottom"/>
            <w:gridSpan w:val="3"/>
          </w:tcPr>
          <w:p>
            <w:pPr>
              <w:ind w:left="740"/>
              <w:spacing w:after="0" w:line="203" w:lineRule="exact"/>
              <w:rPr>
                <w:sz w:val="20"/>
                <w:szCs w:val="20"/>
                <w:color w:val="auto"/>
              </w:rPr>
            </w:pPr>
            <w:r>
              <w:rPr>
                <w:rFonts w:ascii="Courier New" w:cs="Courier New" w:eastAsia="Courier New" w:hAnsi="Courier New"/>
                <w:sz w:val="18"/>
                <w:szCs w:val="18"/>
                <w:color w:val="auto"/>
              </w:rPr>
              <w:t>1Q02 Net Adds: 92,000</w:t>
            </w:r>
          </w:p>
        </w:tc>
        <w:tc>
          <w:tcPr>
            <w:tcW w:w="1280" w:type="dxa"/>
            <w:vAlign w:val="bottom"/>
          </w:tcPr>
          <w:p>
            <w:pPr>
              <w:spacing w:after="0"/>
              <w:rPr>
                <w:sz w:val="17"/>
                <w:szCs w:val="17"/>
                <w:color w:val="auto"/>
              </w:rPr>
            </w:pP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1.4MM*+</w:t>
            </w:r>
          </w:p>
        </w:tc>
      </w:tr>
      <w:tr>
        <w:trPr>
          <w:trHeight w:val="203"/>
        </w:trPr>
        <w:tc>
          <w:tcPr>
            <w:tcW w:w="180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w w:val="96"/>
              </w:rPr>
              <w:t>1,400</w:t>
            </w:r>
          </w:p>
        </w:tc>
        <w:tc>
          <w:tcPr>
            <w:tcW w:w="1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w:t>
            </w:r>
          </w:p>
        </w:tc>
      </w:tr>
      <w:tr>
        <w:trPr>
          <w:trHeight w:val="405"/>
        </w:trPr>
        <w:tc>
          <w:tcPr>
            <w:tcW w:w="1800" w:type="dxa"/>
            <w:vAlign w:val="bottom"/>
          </w:tcPr>
          <w:p>
            <w:pPr>
              <w:jc w:val="right"/>
              <w:ind w:right="1172"/>
              <w:spacing w:after="0"/>
              <w:rPr>
                <w:sz w:val="20"/>
                <w:szCs w:val="20"/>
                <w:color w:val="auto"/>
              </w:rPr>
            </w:pPr>
            <w:r>
              <w:rPr>
                <w:rFonts w:ascii="Courier New" w:cs="Courier New" w:eastAsia="Courier New" w:hAnsi="Courier New"/>
                <w:sz w:val="18"/>
                <w:szCs w:val="18"/>
                <w:color w:val="auto"/>
                <w:w w:val="96"/>
              </w:rPr>
              <w:t>1,200</w:t>
            </w:r>
          </w:p>
        </w:tc>
        <w:tc>
          <w:tcPr>
            <w:tcW w:w="1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03"/>
        </w:trPr>
        <w:tc>
          <w:tcPr>
            <w:tcW w:w="1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948K</w:t>
            </w:r>
          </w:p>
        </w:tc>
        <w:tc>
          <w:tcPr>
            <w:tcW w:w="12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1.04MM</w:t>
            </w:r>
          </w:p>
        </w:tc>
        <w:tc>
          <w:tcPr>
            <w:tcW w:w="2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180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w w:val="96"/>
              </w:rPr>
              <w:t>1,000</w:t>
            </w:r>
          </w:p>
        </w:tc>
        <w:tc>
          <w:tcPr>
            <w:tcW w:w="1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180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800</w:t>
            </w:r>
          </w:p>
        </w:tc>
        <w:tc>
          <w:tcPr>
            <w:tcW w:w="1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180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600</w:t>
            </w:r>
          </w:p>
        </w:tc>
        <w:tc>
          <w:tcPr>
            <w:tcW w:w="1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180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400</w:t>
            </w:r>
          </w:p>
        </w:tc>
        <w:tc>
          <w:tcPr>
            <w:tcW w:w="1580" w:type="dxa"/>
            <w:vAlign w:val="bottom"/>
          </w:tcPr>
          <w:p>
            <w:pPr>
              <w:spacing w:after="0"/>
              <w:rPr>
                <w:sz w:val="17"/>
                <w:szCs w:val="17"/>
                <w:color w:val="auto"/>
              </w:rPr>
            </w:pPr>
          </w:p>
        </w:tc>
        <w:tc>
          <w:tcPr>
            <w:tcW w:w="9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400K</w:t>
            </w:r>
          </w:p>
        </w:tc>
        <w:tc>
          <w:tcPr>
            <w:tcW w:w="8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405"/>
        </w:trPr>
        <w:tc>
          <w:tcPr>
            <w:tcW w:w="180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200</w:t>
            </w:r>
          </w:p>
        </w:tc>
        <w:tc>
          <w:tcPr>
            <w:tcW w:w="1580" w:type="dxa"/>
            <w:vAlign w:val="bottom"/>
          </w:tcPr>
          <w:p>
            <w:pPr>
              <w:ind w:left="840"/>
              <w:spacing w:after="0"/>
              <w:rPr>
                <w:sz w:val="20"/>
                <w:szCs w:val="20"/>
                <w:color w:val="auto"/>
              </w:rPr>
            </w:pPr>
            <w:r>
              <w:rPr>
                <w:rFonts w:ascii="Courier New" w:cs="Courier New" w:eastAsia="Courier New" w:hAnsi="Courier New"/>
                <w:sz w:val="18"/>
                <w:szCs w:val="18"/>
                <w:color w:val="auto"/>
              </w:rPr>
              <w:t>142K</w:t>
            </w: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w:t>
            </w:r>
          </w:p>
        </w:tc>
      </w:tr>
      <w:tr>
        <w:trPr>
          <w:trHeight w:val="203"/>
        </w:trPr>
        <w:tc>
          <w:tcPr>
            <w:tcW w:w="180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51K</w:t>
            </w:r>
          </w:p>
        </w:tc>
        <w:tc>
          <w:tcPr>
            <w:tcW w:w="1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3"/>
        </w:trPr>
        <w:tc>
          <w:tcPr>
            <w:tcW w:w="1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0</w:t>
            </w:r>
          </w:p>
        </w:tc>
        <w:tc>
          <w:tcPr>
            <w:tcW w:w="1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800" w:type="dxa"/>
            <w:vAlign w:val="bottom"/>
          </w:tcPr>
          <w:p>
            <w:pPr>
              <w:ind w:left="1280"/>
              <w:spacing w:after="0"/>
              <w:rPr>
                <w:sz w:val="20"/>
                <w:szCs w:val="20"/>
                <w:color w:val="auto"/>
              </w:rPr>
            </w:pPr>
            <w:r>
              <w:rPr>
                <w:rFonts w:ascii="Courier New" w:cs="Courier New" w:eastAsia="Courier New" w:hAnsi="Courier New"/>
                <w:sz w:val="18"/>
                <w:szCs w:val="18"/>
                <w:color w:val="auto"/>
              </w:rPr>
              <w:t>YE98</w:t>
            </w:r>
          </w:p>
        </w:tc>
        <w:tc>
          <w:tcPr>
            <w:tcW w:w="1580" w:type="dxa"/>
            <w:vAlign w:val="bottom"/>
          </w:tcPr>
          <w:p>
            <w:pPr>
              <w:ind w:left="840"/>
              <w:spacing w:after="0"/>
              <w:rPr>
                <w:sz w:val="20"/>
                <w:szCs w:val="20"/>
                <w:color w:val="auto"/>
              </w:rPr>
            </w:pPr>
            <w:r>
              <w:rPr>
                <w:rFonts w:ascii="Courier New" w:cs="Courier New" w:eastAsia="Courier New" w:hAnsi="Courier New"/>
                <w:sz w:val="18"/>
                <w:szCs w:val="18"/>
                <w:color w:val="auto"/>
              </w:rPr>
              <w:t>YE99</w:t>
            </w:r>
          </w:p>
        </w:tc>
        <w:tc>
          <w:tcPr>
            <w:tcW w:w="940" w:type="dxa"/>
            <w:vAlign w:val="bottom"/>
          </w:tcPr>
          <w:p>
            <w:pPr>
              <w:ind w:left="320"/>
              <w:spacing w:after="0"/>
              <w:rPr>
                <w:sz w:val="20"/>
                <w:szCs w:val="20"/>
                <w:color w:val="auto"/>
              </w:rPr>
            </w:pPr>
            <w:r>
              <w:rPr>
                <w:rFonts w:ascii="Courier New" w:cs="Courier New" w:eastAsia="Courier New" w:hAnsi="Courier New"/>
                <w:sz w:val="18"/>
                <w:szCs w:val="18"/>
                <w:color w:val="auto"/>
              </w:rPr>
              <w:t>YE00</w:t>
            </w:r>
          </w:p>
        </w:tc>
        <w:tc>
          <w:tcPr>
            <w:tcW w:w="840" w:type="dxa"/>
            <w:vAlign w:val="bottom"/>
          </w:tcPr>
          <w:p>
            <w:pPr>
              <w:ind w:left="220"/>
              <w:spacing w:after="0"/>
              <w:rPr>
                <w:sz w:val="20"/>
                <w:szCs w:val="20"/>
                <w:color w:val="auto"/>
              </w:rPr>
            </w:pPr>
            <w:r>
              <w:rPr>
                <w:rFonts w:ascii="Courier New" w:cs="Courier New" w:eastAsia="Courier New" w:hAnsi="Courier New"/>
                <w:sz w:val="18"/>
                <w:szCs w:val="18"/>
                <w:color w:val="auto"/>
              </w:rPr>
              <w:t>YE01</w:t>
            </w:r>
          </w:p>
        </w:tc>
        <w:tc>
          <w:tcPr>
            <w:tcW w:w="1280" w:type="dxa"/>
            <w:vAlign w:val="bottom"/>
          </w:tcPr>
          <w:p>
            <w:pPr>
              <w:jc w:val="center"/>
              <w:ind w:right="132"/>
              <w:spacing w:after="0"/>
              <w:rPr>
                <w:sz w:val="20"/>
                <w:szCs w:val="20"/>
                <w:color w:val="auto"/>
              </w:rPr>
            </w:pPr>
            <w:r>
              <w:rPr>
                <w:rFonts w:ascii="Courier New" w:cs="Courier New" w:eastAsia="Courier New" w:hAnsi="Courier New"/>
                <w:sz w:val="18"/>
                <w:szCs w:val="18"/>
                <w:color w:val="auto"/>
                <w:w w:val="97"/>
              </w:rPr>
              <w:t>1Q02</w:t>
            </w:r>
          </w:p>
        </w:tc>
        <w:tc>
          <w:tcPr>
            <w:tcW w:w="2000" w:type="dxa"/>
            <w:vAlign w:val="bottom"/>
          </w:tcPr>
          <w:p>
            <w:pPr>
              <w:spacing w:after="0"/>
              <w:rPr>
                <w:sz w:val="20"/>
                <w:szCs w:val="20"/>
                <w:color w:val="auto"/>
              </w:rPr>
            </w:pPr>
            <w:r>
              <w:rPr>
                <w:rFonts w:ascii="Courier New" w:cs="Courier New" w:eastAsia="Courier New" w:hAnsi="Courier New"/>
                <w:sz w:val="18"/>
                <w:szCs w:val="18"/>
                <w:color w:val="auto"/>
              </w:rPr>
              <w:t>YE02E</w:t>
            </w:r>
          </w:p>
        </w:tc>
      </w:tr>
      <w:tr>
        <w:trPr>
          <w:trHeight w:val="608"/>
        </w:trPr>
        <w:tc>
          <w:tcPr>
            <w:tcW w:w="1800" w:type="dxa"/>
            <w:vAlign w:val="bottom"/>
          </w:tcPr>
          <w:p>
            <w:pPr>
              <w:spacing w:after="0"/>
              <w:rPr>
                <w:sz w:val="24"/>
                <w:szCs w:val="24"/>
                <w:color w:val="auto"/>
              </w:rPr>
            </w:pPr>
          </w:p>
        </w:tc>
        <w:tc>
          <w:tcPr>
            <w:tcW w:w="4640" w:type="dxa"/>
            <w:vAlign w:val="bottom"/>
            <w:gridSpan w:val="4"/>
          </w:tcPr>
          <w:p>
            <w:pPr>
              <w:ind w:left="100"/>
              <w:spacing w:after="0"/>
              <w:rPr>
                <w:sz w:val="20"/>
                <w:szCs w:val="20"/>
                <w:color w:val="auto"/>
              </w:rPr>
            </w:pPr>
            <w:r>
              <w:rPr>
                <w:rFonts w:ascii="Courier New" w:cs="Courier New" w:eastAsia="Courier New" w:hAnsi="Courier New"/>
                <w:sz w:val="18"/>
                <w:szCs w:val="18"/>
                <w:color w:val="auto"/>
                <w:w w:val="97"/>
              </w:rPr>
              <w:t>* 2002 Guidance: 400-500,000 net additions.</w:t>
            </w:r>
          </w:p>
        </w:tc>
        <w:tc>
          <w:tcPr>
            <w:tcW w:w="2000" w:type="dxa"/>
            <w:vAlign w:val="bottom"/>
          </w:tcPr>
          <w:p>
            <w:pPr>
              <w:spacing w:after="0"/>
              <w:rPr>
                <w:sz w:val="24"/>
                <w:szCs w:val="24"/>
                <w:color w:val="auto"/>
              </w:rPr>
            </w:pPr>
          </w:p>
        </w:tc>
      </w:tr>
      <w:tr>
        <w:trPr>
          <w:trHeight w:val="608"/>
        </w:trPr>
        <w:tc>
          <w:tcPr>
            <w:tcW w:w="1800" w:type="dxa"/>
            <w:vAlign w:val="bottom"/>
          </w:tcPr>
          <w:p>
            <w:pPr>
              <w:spacing w:after="0"/>
              <w:rPr>
                <w:sz w:val="20"/>
                <w:szCs w:val="20"/>
                <w:color w:val="auto"/>
              </w:rPr>
            </w:pPr>
            <w:r>
              <w:rPr>
                <w:rFonts w:ascii="Courier New" w:cs="Courier New" w:eastAsia="Courier New" w:hAnsi="Courier New"/>
                <w:sz w:val="18"/>
                <w:szCs w:val="18"/>
                <w:color w:val="auto"/>
              </w:rPr>
              <w:t>Deutsche Bank</w:t>
            </w:r>
          </w:p>
        </w:tc>
        <w:tc>
          <w:tcPr>
            <w:tcW w:w="1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COMCAST LOGO</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June 4, 2002</w:t>
            </w:r>
          </w:p>
        </w:tc>
        <w:tc>
          <w:tcPr>
            <w:tcW w:w="1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0" w:type="dxa"/>
            <w:vAlign w:val="bottom"/>
          </w:tcPr>
          <w:p>
            <w:pPr>
              <w:spacing w:after="0"/>
              <w:rPr>
                <w:sz w:val="17"/>
                <w:szCs w:val="17"/>
                <w:color w:val="auto"/>
              </w:rPr>
            </w:pPr>
          </w:p>
        </w:tc>
      </w:tr>
    </w:tbl>
    <w:p>
      <w:pPr>
        <w:sectPr>
          <w:pgSz w:w="11900" w:h="16838" w:orient="portrait"/>
          <w:cols w:equalWidth="0" w:num="1">
            <w:col w:w="10219"/>
          </w:cols>
          <w:pgMar w:left="240" w:top="919" w:right="1440" w:bottom="1440" w:gutter="0" w:footer="0" w:header="0"/>
        </w:sectPr>
      </w:pPr>
    </w:p>
    <w:bookmarkStart w:id="11" w:name="page12"/>
    <w:bookmarkEnd w:id="11"/>
    <w:p>
      <w:pPr>
        <w:ind w:left="2440"/>
        <w:spacing w:after="0"/>
        <w:rPr>
          <w:sz w:val="20"/>
          <w:szCs w:val="20"/>
          <w:color w:val="auto"/>
        </w:rPr>
      </w:pPr>
      <w:r>
        <w:rPr>
          <w:rFonts w:ascii="Courier New" w:cs="Courier New" w:eastAsia="Courier New" w:hAnsi="Courier New"/>
          <w:sz w:val="16"/>
          <w:szCs w:val="16"/>
          <w:color w:val="auto"/>
        </w:rPr>
        <w:t>COMCAST LOGO High-Speed Internet</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 1Q02 ARPU: $40, up from $35 in 4Q01</w:t>
      </w:r>
    </w:p>
    <w:p>
      <w:pPr>
        <w:sectPr>
          <w:pgSz w:w="11900" w:h="16838" w:orient="portrait"/>
          <w:cols w:equalWidth="0" w:num="1">
            <w:col w:w="10219"/>
          </w:cols>
          <w:pgMar w:left="240" w:top="925"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 Significant Cash Flow Improvement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[GRAPHIC OMITTED]</w:t>
      </w:r>
    </w:p>
    <w:p>
      <w:pPr>
        <w:spacing w:after="0" w:line="200" w:lineRule="exact"/>
        <w:rPr>
          <w:sz w:val="20"/>
          <w:szCs w:val="20"/>
          <w:color w:val="auto"/>
        </w:rPr>
      </w:pPr>
    </w:p>
    <w:p>
      <w:pPr>
        <w:sectPr>
          <w:pgSz w:w="11900" w:h="16838" w:orient="portrait"/>
          <w:cols w:equalWidth="0" w:num="2">
            <w:col w:w="5600" w:space="720"/>
            <w:col w:w="3899"/>
          </w:cols>
          <w:pgMar w:left="240" w:top="925"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 Designed to Support Multiple ISPs</w:t>
      </w:r>
    </w:p>
    <w:p>
      <w:pPr>
        <w:spacing w:after="0" w:line="207"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o First ISP Deal: Juno and NetZero</w:t>
      </w:r>
    </w:p>
    <w:p>
      <w:pPr>
        <w:sectPr>
          <w:pgSz w:w="11900" w:h="16838" w:orient="portrait"/>
          <w:cols w:equalWidth="0" w:num="1">
            <w:col w:w="10219"/>
          </w:cols>
          <w:pgMar w:left="240" w:top="925" w:right="1440" w:bottom="1440" w:gutter="0" w:footer="0" w:header="0"/>
          <w:type w:val="continuous"/>
        </w:sectPr>
      </w:pPr>
    </w:p>
    <w:p>
      <w:pPr>
        <w:spacing w:after="0" w:line="224" w:lineRule="exact"/>
        <w:rPr>
          <w:sz w:val="20"/>
          <w:szCs w:val="20"/>
          <w:color w:val="auto"/>
        </w:rPr>
      </w:pPr>
    </w:p>
    <w:p>
      <w:pPr>
        <w:ind w:left="640" w:right="740" w:hanging="210"/>
        <w:spacing w:after="0" w:line="235" w:lineRule="auto"/>
        <w:rPr>
          <w:sz w:val="20"/>
          <w:szCs w:val="20"/>
          <w:color w:val="auto"/>
        </w:rPr>
      </w:pPr>
      <w:r>
        <w:rPr>
          <w:rFonts w:ascii="Courier New" w:cs="Courier New" w:eastAsia="Courier New" w:hAnsi="Courier New"/>
          <w:sz w:val="18"/>
          <w:szCs w:val="18"/>
          <w:color w:val="auto"/>
        </w:rPr>
        <w:t>o Juno Broadband Launched in Nashville and Indianapolis on May 30,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[GRAPHIC OMITTED]</w:t>
      </w:r>
    </w:p>
    <w:p>
      <w:pPr>
        <w:spacing w:after="0" w:line="215" w:lineRule="exact"/>
        <w:rPr>
          <w:sz w:val="20"/>
          <w:szCs w:val="20"/>
          <w:color w:val="auto"/>
        </w:rPr>
      </w:pPr>
    </w:p>
    <w:p>
      <w:pPr>
        <w:sectPr>
          <w:pgSz w:w="11900" w:h="16838" w:orient="portrait"/>
          <w:cols w:equalWidth="0" w:num="2">
            <w:col w:w="5600" w:space="720"/>
            <w:col w:w="3899"/>
          </w:cols>
          <w:pgMar w:left="240" w:top="925" w:right="1440" w:bottom="1440" w:gutter="0" w:footer="0" w:header="0"/>
          <w:type w:val="continuous"/>
        </w:sect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Deutsche Bank</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June 4, 2002</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LOGO</w:t>
      </w:r>
    </w:p>
    <w:p>
      <w:pPr>
        <w:sectPr>
          <w:pgSz w:w="11900" w:h="16838" w:orient="portrait"/>
          <w:cols w:equalWidth="0" w:num="2">
            <w:col w:w="6340" w:space="720"/>
            <w:col w:w="3159"/>
          </w:cols>
          <w:pgMar w:left="240" w:top="925" w:right="1440" w:bottom="1440" w:gutter="0" w:footer="0" w:header="0"/>
          <w:type w:val="continuous"/>
        </w:sectPr>
      </w:pPr>
    </w:p>
    <w:bookmarkStart w:id="12" w:name="page13"/>
    <w:bookmarkEnd w:id="12"/>
    <w:p>
      <w:pPr>
        <w:jc w:val="right"/>
        <w:ind w:right="4199"/>
        <w:spacing w:after="0"/>
        <w:rPr>
          <w:sz w:val="20"/>
          <w:szCs w:val="20"/>
          <w:color w:val="auto"/>
        </w:rPr>
      </w:pPr>
      <w:r>
        <w:rPr>
          <w:rFonts w:ascii="Courier New" w:cs="Courier New" w:eastAsia="Courier New" w:hAnsi="Courier New"/>
          <w:sz w:val="18"/>
          <w:szCs w:val="18"/>
          <w:color w:val="auto"/>
        </w:rPr>
        <w:t>Building on the Cable Modem Platform</w:t>
      </w:r>
    </w:p>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Over the Next 12 - 24 Months:</w:t>
      </w:r>
    </w:p>
    <w:p>
      <w:pPr>
        <w:spacing w:after="0" w:line="201" w:lineRule="exact"/>
        <w:rPr>
          <w:sz w:val="20"/>
          <w:szCs w:val="20"/>
          <w:color w:val="auto"/>
        </w:rPr>
      </w:pPr>
    </w:p>
    <w:p>
      <w:pPr>
        <w:ind w:left="1480" w:hanging="208"/>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Music</w:t>
      </w:r>
    </w:p>
    <w:p>
      <w:pPr>
        <w:spacing w:after="0" w:line="201" w:lineRule="exact"/>
        <w:rPr>
          <w:rFonts w:ascii="Courier New" w:cs="Courier New" w:eastAsia="Courier New" w:hAnsi="Courier New"/>
          <w:sz w:val="18"/>
          <w:szCs w:val="18"/>
          <w:color w:val="auto"/>
        </w:rPr>
      </w:pPr>
    </w:p>
    <w:p>
      <w:pPr>
        <w:ind w:left="1480" w:hanging="208"/>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Photo Sharing</w:t>
      </w:r>
    </w:p>
    <w:p>
      <w:pPr>
        <w:spacing w:after="0" w:line="201" w:lineRule="exact"/>
        <w:rPr>
          <w:rFonts w:ascii="Courier New" w:cs="Courier New" w:eastAsia="Courier New" w:hAnsi="Courier New"/>
          <w:sz w:val="18"/>
          <w:szCs w:val="18"/>
          <w:color w:val="auto"/>
        </w:rPr>
      </w:pPr>
    </w:p>
    <w:p>
      <w:pPr>
        <w:ind w:left="1480" w:hanging="208"/>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Gaming</w:t>
      </w:r>
    </w:p>
    <w:p>
      <w:pPr>
        <w:spacing w:after="0" w:line="201" w:lineRule="exact"/>
        <w:rPr>
          <w:rFonts w:ascii="Courier New" w:cs="Courier New" w:eastAsia="Courier New" w:hAnsi="Courier New"/>
          <w:sz w:val="18"/>
          <w:szCs w:val="18"/>
          <w:color w:val="auto"/>
        </w:rPr>
      </w:pPr>
    </w:p>
    <w:p>
      <w:pPr>
        <w:ind w:left="1480" w:hanging="208"/>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Short-Form Video</w:t>
      </w:r>
    </w:p>
    <w:p>
      <w:pPr>
        <w:spacing w:after="0" w:line="201" w:lineRule="exact"/>
        <w:rPr>
          <w:rFonts w:ascii="Courier New" w:cs="Courier New" w:eastAsia="Courier New" w:hAnsi="Courier New"/>
          <w:sz w:val="18"/>
          <w:szCs w:val="18"/>
          <w:color w:val="auto"/>
        </w:rPr>
      </w:pPr>
    </w:p>
    <w:p>
      <w:pPr>
        <w:ind w:left="1480" w:hanging="208"/>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Video Chat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Deutsche Bank</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June 4, 2002</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LOGO</w:t>
      </w:r>
    </w:p>
    <w:p>
      <w:pPr>
        <w:sectPr>
          <w:pgSz w:w="11900" w:h="16838" w:orient="portrait"/>
          <w:cols w:equalWidth="0" w:num="2">
            <w:col w:w="6340" w:space="720"/>
            <w:col w:w="3159"/>
          </w:cols>
          <w:pgMar w:left="240" w:top="919" w:right="1440" w:bottom="1440" w:gutter="0" w:footer="0" w:header="0"/>
          <w:type w:val="continuous"/>
        </w:sectPr>
      </w:pPr>
    </w:p>
    <w:bookmarkStart w:id="13" w:name="page14"/>
    <w:bookmarkEnd w:id="13"/>
    <w:p>
      <w:pPr>
        <w:ind w:left="2080"/>
        <w:spacing w:after="0"/>
        <w:rPr>
          <w:sz w:val="20"/>
          <w:szCs w:val="20"/>
          <w:color w:val="auto"/>
        </w:rPr>
      </w:pPr>
      <w:r>
        <w:rPr>
          <w:rFonts w:ascii="Courier New" w:cs="Courier New" w:eastAsia="Courier New" w:hAnsi="Courier New"/>
          <w:sz w:val="18"/>
          <w:szCs w:val="18"/>
          <w:color w:val="auto"/>
        </w:rPr>
        <w:t>[GRAPHIC OMITTED]</w:t>
      </w:r>
    </w:p>
    <w:p>
      <w:pPr>
        <w:spacing w:after="0" w:line="200" w:lineRule="exact"/>
        <w:rPr>
          <w:sz w:val="20"/>
          <w:szCs w:val="20"/>
          <w:color w:val="auto"/>
        </w:rPr>
      </w:pPr>
    </w:p>
    <w:p>
      <w:pPr>
        <w:spacing w:after="0" w:line="204"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COMMERCE LOGO</w:t>
      </w:r>
    </w:p>
    <w:p>
      <w:pPr>
        <w:sectPr>
          <w:pgSz w:w="11900" w:h="16838" w:orient="portrait"/>
          <w:cols w:equalWidth="0" w:num="1">
            <w:col w:w="9019"/>
          </w:cols>
          <w:pgMar w:left="1440" w:top="919"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Revenue Growth</w:t>
      </w:r>
    </w:p>
    <w:p>
      <w:pPr>
        <w:spacing w:after="0" w:line="200" w:lineRule="exact"/>
        <w:rPr>
          <w:sz w:val="20"/>
          <w:szCs w:val="20"/>
          <w:color w:val="auto"/>
        </w:rPr>
      </w:pPr>
    </w:p>
    <w:p>
      <w:pPr>
        <w:spacing w:after="0" w:line="209"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[Chart depicting revenue growth of Base+iQVC, UK, German and Other, resulting in an increase in CAGR by 15% from 1990-2001.]</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Deutsche Bank</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June 4, 2002</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QVC LOGO</w:t>
      </w:r>
    </w:p>
    <w:p>
      <w:pPr>
        <w:sectPr>
          <w:pgSz w:w="11900" w:h="16838" w:orient="portrait"/>
          <w:cols w:equalWidth="0" w:num="2">
            <w:col w:w="6880" w:space="720"/>
            <w:col w:w="2619"/>
          </w:cols>
          <w:pgMar w:left="240" w:top="919" w:right="1440" w:bottom="1440" w:gutter="0" w:footer="0" w:header="0"/>
          <w:type w:val="continuous"/>
        </w:sectPr>
      </w:pPr>
    </w:p>
    <w:bookmarkStart w:id="15" w:name="page16"/>
    <w:bookmarkEnd w:id="15"/>
    <w:p>
      <w:pPr>
        <w:spacing w:after="0"/>
        <w:rPr>
          <w:sz w:val="20"/>
          <w:szCs w:val="20"/>
          <w:color w:val="auto"/>
        </w:rPr>
      </w:pPr>
      <w:r>
        <w:rPr>
          <w:rFonts w:ascii="Courier New" w:cs="Courier New" w:eastAsia="Courier New" w:hAnsi="Courier New"/>
          <w:sz w:val="18"/>
          <w:szCs w:val="18"/>
          <w:color w:val="auto"/>
        </w:rPr>
        <w:t>Operating Cash Flow Growth</w:t>
      </w:r>
    </w:p>
    <w:p>
      <w:pPr>
        <w:spacing w:after="0" w:line="200" w:lineRule="exact"/>
        <w:rPr>
          <w:sz w:val="20"/>
          <w:szCs w:val="20"/>
          <w:color w:val="auto"/>
        </w:rPr>
      </w:pPr>
    </w:p>
    <w:p>
      <w:pPr>
        <w:spacing w:after="0" w:line="209"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[Chart depicting Operating Cash Flow Growth of Base+iQVC, UK, German and Other, resulting in an increase in CAGR by 38% from 1990-2001.]</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Deutsche Bank</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June 4,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QVC LOGO</w:t>
      </w:r>
    </w:p>
    <w:p>
      <w:pPr>
        <w:sectPr>
          <w:pgSz w:w="11900" w:h="16838" w:orient="portrait"/>
          <w:cols w:equalWidth="0" w:num="2">
            <w:col w:w="6880" w:space="720"/>
            <w:col w:w="2619"/>
          </w:cols>
          <w:pgMar w:left="240" w:top="919" w:right="1440" w:bottom="1440" w:gutter="0" w:footer="0" w:header="0"/>
          <w:type w:val="continuous"/>
        </w:sectPr>
      </w:pPr>
    </w:p>
    <w:bookmarkStart w:id="16" w:name="page17"/>
    <w:bookmarkEnd w:id="16"/>
    <w:p>
      <w:pPr>
        <w:spacing w:after="0"/>
        <w:rPr>
          <w:sz w:val="20"/>
          <w:szCs w:val="20"/>
          <w:color w:val="auto"/>
        </w:rPr>
      </w:pPr>
      <w:r>
        <w:rPr>
          <w:rFonts w:ascii="Courier New" w:cs="Courier New" w:eastAsia="Courier New" w:hAnsi="Courier New"/>
          <w:sz w:val="18"/>
          <w:szCs w:val="18"/>
          <w:color w:val="auto"/>
        </w:rPr>
        <w:t>QVC Delivers...In One Day!</w:t>
      </w:r>
    </w:p>
    <w:p>
      <w:pPr>
        <w:spacing w:after="0" w:line="207"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1/19/02: $18MM in Computers</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[GRAPHIC OMITTED]</w:t>
      </w:r>
    </w:p>
    <w:p>
      <w:pPr>
        <w:spacing w:after="0" w:line="200" w:lineRule="exact"/>
        <w:rPr>
          <w:sz w:val="20"/>
          <w:szCs w:val="20"/>
          <w:color w:val="auto"/>
        </w:rPr>
      </w:pPr>
    </w:p>
    <w:p>
      <w:pPr>
        <w:sectPr>
          <w:pgSz w:w="11900" w:h="16838" w:orient="portrait"/>
          <w:cols w:equalWidth="0" w:num="2">
            <w:col w:w="5600" w:space="720"/>
            <w:col w:w="389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5260" w:val="left"/>
        </w:tabs>
        <w:rPr>
          <w:sz w:val="20"/>
          <w:szCs w:val="20"/>
          <w:color w:val="auto"/>
        </w:rPr>
      </w:pPr>
      <w:r>
        <w:rPr>
          <w:rFonts w:ascii="Courier New" w:cs="Courier New" w:eastAsia="Courier New" w:hAnsi="Courier New"/>
          <w:sz w:val="18"/>
          <w:szCs w:val="18"/>
          <w:color w:val="auto"/>
        </w:rPr>
        <w:t>[GRAPHIC OMITTED]</w:t>
      </w:r>
      <w:r>
        <w:rPr>
          <w:sz w:val="20"/>
          <w:szCs w:val="20"/>
          <w:color w:val="auto"/>
        </w:rPr>
        <w:tab/>
      </w:r>
      <w:r>
        <w:rPr>
          <w:rFonts w:ascii="Courier New" w:cs="Courier New" w:eastAsia="Courier New" w:hAnsi="Courier New"/>
          <w:sz w:val="16"/>
          <w:szCs w:val="16"/>
          <w:color w:val="auto"/>
        </w:rPr>
        <w:t>4/30/02: $18MM on Cooking Day</w:t>
      </w:r>
    </w:p>
    <w:p>
      <w:pPr>
        <w:sectPr>
          <w:pgSz w:w="11900" w:h="16838" w:orient="portrait"/>
          <w:cols w:equalWidth="0" w:num="1">
            <w:col w:w="10219"/>
          </w:cols>
          <w:pgMar w:left="240" w:top="91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5/11/02: $23MM on Fashion Day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[GRAPHIC OMITTED]</w:t>
      </w:r>
    </w:p>
    <w:p>
      <w:pPr>
        <w:spacing w:after="0" w:line="200" w:lineRule="exact"/>
        <w:rPr>
          <w:sz w:val="20"/>
          <w:szCs w:val="20"/>
          <w:color w:val="auto"/>
        </w:rPr>
      </w:pPr>
    </w:p>
    <w:p>
      <w:pPr>
        <w:sectPr>
          <w:pgSz w:w="11900" w:h="16838" w:orient="portrait"/>
          <w:cols w:equalWidth="0" w:num="2">
            <w:col w:w="5600" w:space="720"/>
            <w:col w:w="3899"/>
          </w:cols>
          <w:pgMar w:left="240" w:top="919" w:right="1440" w:bottom="1440" w:gutter="0" w:footer="0" w:header="0"/>
          <w:type w:val="continuous"/>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Deutsche Bank</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June 4, 2002</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QVC LOGO</w:t>
      </w:r>
    </w:p>
    <w:p>
      <w:pPr>
        <w:sectPr>
          <w:pgSz w:w="11900" w:h="16838" w:orient="portrait"/>
          <w:cols w:equalWidth="0" w:num="2">
            <w:col w:w="6880" w:space="720"/>
            <w:col w:w="2619"/>
          </w:cols>
          <w:pgMar w:left="240" w:top="919" w:right="1440" w:bottom="1440" w:gutter="0" w:footer="0" w:header="0"/>
          <w:type w:val="continuous"/>
        </w:sectPr>
      </w:pPr>
    </w:p>
    <w:bookmarkStart w:id="17" w:name="page18"/>
    <w:bookmarkEnd w:id="17"/>
    <w:p>
      <w:pPr>
        <w:ind w:left="2080"/>
        <w:spacing w:after="0"/>
        <w:rPr>
          <w:sz w:val="20"/>
          <w:szCs w:val="20"/>
          <w:color w:val="auto"/>
        </w:rPr>
      </w:pPr>
      <w:r>
        <w:rPr>
          <w:rFonts w:ascii="Courier New" w:cs="Courier New" w:eastAsia="Courier New" w:hAnsi="Courier New"/>
          <w:sz w:val="18"/>
          <w:szCs w:val="18"/>
          <w:color w:val="auto"/>
        </w:rPr>
        <w:t>[GRAPHIC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CONTENT</w:t>
      </w:r>
    </w:p>
    <w:p>
      <w:pPr>
        <w:sectPr>
          <w:pgSz w:w="11900" w:h="16838" w:orient="portrait"/>
          <w:cols w:equalWidth="0" w:num="1">
            <w:col w:w="9019"/>
          </w:cols>
          <w:pgMar w:left="1440" w:top="919" w:right="1440" w:bottom="1440" w:gutter="0" w:footer="0" w:header="0"/>
        </w:sectPr>
      </w:pPr>
    </w:p>
    <w:bookmarkStart w:id="18" w:name="page19"/>
    <w:bookmarkEnd w:id="18"/>
    <w:p>
      <w:pPr>
        <w:ind w:left="2540" w:hanging="425"/>
        <w:spacing w:after="0"/>
        <w:tabs>
          <w:tab w:leader="none" w:pos="2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Four Years:</w:t>
      </w:r>
    </w:p>
    <w:p>
      <w:pPr>
        <w:spacing w:after="0" w:line="201" w:lineRule="exact"/>
        <w:rPr>
          <w:sz w:val="20"/>
          <w:szCs w:val="20"/>
          <w:color w:val="auto"/>
        </w:rPr>
      </w:pPr>
    </w:p>
    <w:p>
      <w:pPr>
        <w:ind w:left="2440"/>
        <w:spacing w:after="0"/>
        <w:tabs>
          <w:tab w:leader="none" w:pos="2840" w:val="left"/>
        </w:tabs>
        <w:rPr>
          <w:sz w:val="20"/>
          <w:szCs w:val="20"/>
          <w:color w:val="auto"/>
        </w:rPr>
      </w:pPr>
      <w:r>
        <w:rPr>
          <w:rFonts w:ascii="Courier New" w:cs="Courier New" w:eastAsia="Courier New" w:hAnsi="Courier New"/>
          <w:sz w:val="18"/>
          <w:szCs w:val="18"/>
          <w:color w:val="auto"/>
        </w:rPr>
        <w:t>o</w:t>
      </w:r>
      <w:r>
        <w:rPr>
          <w:sz w:val="20"/>
          <w:szCs w:val="20"/>
          <w:color w:val="auto"/>
        </w:rPr>
        <w:tab/>
      </w:r>
      <w:r>
        <w:rPr>
          <w:rFonts w:ascii="Courier New" w:cs="Courier New" w:eastAsia="Courier New" w:hAnsi="Courier New"/>
          <w:sz w:val="18"/>
          <w:szCs w:val="18"/>
          <w:color w:val="auto"/>
        </w:rPr>
        <w:t>Subscribers Up 50%</w:t>
      </w:r>
    </w:p>
    <w:p>
      <w:pPr>
        <w:ind w:left="120"/>
        <w:spacing w:after="0" w:line="238" w:lineRule="auto"/>
        <w:rPr>
          <w:sz w:val="20"/>
          <w:szCs w:val="20"/>
          <w:color w:val="auto"/>
        </w:rPr>
      </w:pPr>
      <w:r>
        <w:rPr>
          <w:rFonts w:ascii="Courier New" w:cs="Courier New" w:eastAsia="Courier New" w:hAnsi="Courier New"/>
          <w:sz w:val="18"/>
          <w:szCs w:val="18"/>
          <w:color w:val="auto"/>
        </w:rPr>
        <w:t>[GRAPHICS OMITTED]</w:t>
      </w:r>
    </w:p>
    <w:p>
      <w:pPr>
        <w:ind w:left="2860" w:hanging="429"/>
        <w:spacing w:after="0"/>
        <w:tabs>
          <w:tab w:leader="none" w:pos="2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71 Million Subscribers</w:t>
      </w:r>
    </w:p>
    <w:p>
      <w:pPr>
        <w:spacing w:after="0" w:line="200" w:lineRule="exact"/>
        <w:rPr>
          <w:sz w:val="20"/>
          <w:szCs w:val="20"/>
          <w:color w:val="auto"/>
        </w:rPr>
      </w:pPr>
    </w:p>
    <w:p>
      <w:pPr>
        <w:spacing w:after="0" w:line="203" w:lineRule="exact"/>
        <w:rPr>
          <w:sz w:val="20"/>
          <w:szCs w:val="20"/>
          <w:color w:val="auto"/>
        </w:rPr>
      </w:pPr>
    </w:p>
    <w:p>
      <w:pPr>
        <w:ind w:left="2540" w:hanging="425"/>
        <w:spacing w:after="0"/>
        <w:tabs>
          <w:tab w:leader="none" w:pos="2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 2002 Academy Awards Show</w:t>
      </w:r>
    </w:p>
    <w:p>
      <w:pPr>
        <w:spacing w:after="0" w:line="201" w:lineRule="exact"/>
        <w:rPr>
          <w:rFonts w:ascii="Courier New" w:cs="Courier New" w:eastAsia="Courier New" w:hAnsi="Courier New"/>
          <w:sz w:val="18"/>
          <w:szCs w:val="18"/>
          <w:color w:val="auto"/>
        </w:rPr>
      </w:pPr>
    </w:p>
    <w:p>
      <w:pPr>
        <w:ind w:left="2540" w:hanging="425"/>
        <w:spacing w:after="0"/>
        <w:tabs>
          <w:tab w:leader="none" w:pos="2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Most Watched Day in Networks History style.</w:t>
      </w:r>
    </w:p>
    <w:p>
      <w:pPr>
        <w:spacing w:after="0" w:line="206" w:lineRule="exact"/>
        <w:rPr>
          <w:rFonts w:ascii="Courier New" w:cs="Courier New" w:eastAsia="Courier New" w:hAnsi="Courier New"/>
          <w:sz w:val="18"/>
          <w:szCs w:val="18"/>
          <w:color w:val="auto"/>
        </w:rPr>
      </w:pPr>
    </w:p>
    <w:p>
      <w:pPr>
        <w:ind w:left="2540" w:hanging="425"/>
        <w:spacing w:after="0"/>
        <w:tabs>
          <w:tab w:leader="none" w:pos="254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Scheduled to Reach 40 Million Subscribers by YE04</w:t>
      </w:r>
    </w:p>
    <w:p>
      <w:pPr>
        <w:spacing w:after="0" w:line="200" w:lineRule="exact"/>
        <w:rPr>
          <w:sz w:val="20"/>
          <w:szCs w:val="20"/>
          <w:color w:val="auto"/>
        </w:rPr>
      </w:pPr>
    </w:p>
    <w:p>
      <w:pPr>
        <w:spacing w:after="0" w:line="22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[GRAPHICS OMITTED]</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Deutsche Bank</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June 4,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LOGO</w:t>
      </w:r>
    </w:p>
    <w:p>
      <w:pPr>
        <w:sectPr>
          <w:pgSz w:w="11900" w:h="16838" w:orient="portrait"/>
          <w:cols w:equalWidth="0" w:num="2">
            <w:col w:w="6340" w:space="720"/>
            <w:col w:w="3159"/>
          </w:cols>
          <w:pgMar w:left="240" w:top="717" w:right="1440" w:bottom="1440" w:gutter="0" w:footer="0" w:header="0"/>
          <w:type w:val="continuous"/>
        </w:sectPr>
      </w:pPr>
    </w:p>
    <w:bookmarkStart w:id="19" w:name="page20"/>
    <w:bookmarkEnd w:id="19"/>
    <w:p>
      <w:pPr>
        <w:spacing w:after="0"/>
        <w:rPr>
          <w:sz w:val="20"/>
          <w:szCs w:val="20"/>
          <w:color w:val="auto"/>
        </w:rPr>
      </w:pPr>
      <w:r>
        <w:rPr>
          <w:rFonts w:ascii="Courier New" w:cs="Courier New" w:eastAsia="Courier New" w:hAnsi="Courier New"/>
          <w:sz w:val="18"/>
          <w:szCs w:val="18"/>
          <w:color w:val="auto"/>
        </w:rPr>
        <w:t>[GRAPHIC OMITTED]</w:t>
      </w:r>
    </w:p>
    <w:p>
      <w:pPr>
        <w:spacing w:after="0" w:line="238" w:lineRule="auto"/>
        <w:rPr>
          <w:sz w:val="20"/>
          <w:szCs w:val="20"/>
          <w:color w:val="auto"/>
        </w:rPr>
      </w:pPr>
      <w:r>
        <w:rPr>
          <w:rFonts w:ascii="Courier New" w:cs="Courier New" w:eastAsia="Courier New" w:hAnsi="Courier New"/>
          <w:sz w:val="18"/>
          <w:szCs w:val="18"/>
          <w:color w:val="auto"/>
        </w:rPr>
        <w:t>THE GOLF CHANNEL (R)</w:t>
      </w:r>
    </w:p>
    <w:p>
      <w:pPr>
        <w:spacing w:after="0" w:line="202" w:lineRule="exact"/>
        <w:rPr>
          <w:sz w:val="20"/>
          <w:szCs w:val="20"/>
          <w:color w:val="auto"/>
        </w:rPr>
      </w:pPr>
    </w:p>
    <w:p>
      <w:pPr>
        <w:ind w:left="2540" w:hanging="425"/>
        <w:spacing w:after="0"/>
        <w:tabs>
          <w:tab w:leader="none" w:pos="2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46 Million Subscribers</w:t>
      </w:r>
    </w:p>
    <w:p>
      <w:pPr>
        <w:spacing w:after="0" w:line="201" w:lineRule="exact"/>
        <w:rPr>
          <w:rFonts w:ascii="Courier New" w:cs="Courier New" w:eastAsia="Courier New" w:hAnsi="Courier New"/>
          <w:sz w:val="18"/>
          <w:szCs w:val="18"/>
          <w:color w:val="auto"/>
        </w:rPr>
      </w:pPr>
    </w:p>
    <w:p>
      <w:pPr>
        <w:ind w:left="2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   Subscribers Up 25% In One Year</w:t>
      </w:r>
    </w:p>
    <w:p>
      <w:pPr>
        <w:spacing w:after="0" w:line="206" w:lineRule="exact"/>
        <w:rPr>
          <w:rFonts w:ascii="Courier New" w:cs="Courier New" w:eastAsia="Courier New" w:hAnsi="Courier New"/>
          <w:sz w:val="18"/>
          <w:szCs w:val="18"/>
          <w:color w:val="auto"/>
        </w:rPr>
      </w:pPr>
    </w:p>
    <w:p>
      <w:pPr>
        <w:ind w:left="2640" w:right="2619" w:hanging="525"/>
        <w:spacing w:after="0" w:line="235" w:lineRule="auto"/>
        <w:tabs>
          <w:tab w:leader="none" w:pos="2535"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More Tournament Coverage Than All Other Networks Combined</w:t>
      </w:r>
    </w:p>
    <w:p>
      <w:pPr>
        <w:spacing w:after="0" w:line="202" w:lineRule="exact"/>
        <w:rPr>
          <w:rFonts w:ascii="Courier New" w:cs="Courier New" w:eastAsia="Courier New" w:hAnsi="Courier New"/>
          <w:sz w:val="18"/>
          <w:szCs w:val="18"/>
          <w:color w:val="auto"/>
        </w:rPr>
      </w:pPr>
    </w:p>
    <w:p>
      <w:pPr>
        <w:ind w:left="2540" w:hanging="425"/>
        <w:spacing w:after="0"/>
        <w:tabs>
          <w:tab w:leader="none" w:pos="2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Upscale, Highly Targeted Demographic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[GRAPHICS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Deutsche Bank</w:t>
      </w:r>
    </w:p>
    <w:p>
      <w:pPr>
        <w:spacing w:after="0" w:line="238" w:lineRule="auto"/>
        <w:rPr>
          <w:sz w:val="20"/>
          <w:szCs w:val="20"/>
          <w:color w:val="auto"/>
        </w:rPr>
      </w:pPr>
      <w:r>
        <w:rPr>
          <w:rFonts w:ascii="Courier New" w:cs="Courier New" w:eastAsia="Courier New" w:hAnsi="Courier New"/>
          <w:sz w:val="18"/>
          <w:szCs w:val="18"/>
          <w:color w:val="auto"/>
        </w:rPr>
        <w:t>June 4, 2002</w:t>
      </w:r>
    </w:p>
    <w:p>
      <w:pPr>
        <w:sectPr>
          <w:pgSz w:w="11900" w:h="16838" w:orient="portrait"/>
          <w:cols w:equalWidth="0" w:num="1">
            <w:col w:w="10219"/>
          </w:cols>
          <w:pgMar w:left="240" w:top="514"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8"/>
          <w:szCs w:val="18"/>
          <w:color w:val="auto"/>
        </w:rPr>
        <w:t>[GRAPHIC OMITTED]</w:t>
      </w:r>
    </w:p>
    <w:p>
      <w:pPr>
        <w:spacing w:after="0" w:line="201" w:lineRule="exact"/>
        <w:rPr>
          <w:sz w:val="20"/>
          <w:szCs w:val="20"/>
          <w:color w:val="auto"/>
        </w:rPr>
      </w:pPr>
    </w:p>
    <w:p>
      <w:pPr>
        <w:ind w:left="2440" w:hanging="325"/>
        <w:spacing w:after="0"/>
        <w:tabs>
          <w:tab w:leader="none" w:pos="24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Launched in April 2002</w:t>
      </w:r>
    </w:p>
    <w:p>
      <w:pPr>
        <w:spacing w:after="0" w:line="206" w:lineRule="exact"/>
        <w:rPr>
          <w:rFonts w:ascii="Courier New" w:cs="Courier New" w:eastAsia="Courier New" w:hAnsi="Courier New"/>
          <w:sz w:val="18"/>
          <w:szCs w:val="18"/>
          <w:color w:val="auto"/>
        </w:rPr>
      </w:pPr>
    </w:p>
    <w:p>
      <w:pPr>
        <w:ind w:left="2440" w:right="2839" w:hanging="325"/>
        <w:spacing w:after="0" w:line="536" w:lineRule="auto"/>
        <w:tabs>
          <w:tab w:leader="none" w:pos="244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24x7 Network Targeted to Video Game Enthusiasts o 145MM Americans Play Video Games</w:t>
      </w:r>
    </w:p>
    <w:p>
      <w:pPr>
        <w:ind w:left="24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o  $9Bn in Domestic Revenue in 2001</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[GRAPHICS OMITTED]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Deutsche Bank</w:t>
      </w:r>
    </w:p>
    <w:p>
      <w:pPr>
        <w:spacing w:after="0" w:line="238" w:lineRule="auto"/>
        <w:rPr>
          <w:sz w:val="20"/>
          <w:szCs w:val="20"/>
          <w:color w:val="auto"/>
        </w:rPr>
      </w:pPr>
      <w:r>
        <w:rPr>
          <w:rFonts w:ascii="Courier New" w:cs="Courier New" w:eastAsia="Courier New" w:hAnsi="Courier New"/>
          <w:sz w:val="18"/>
          <w:szCs w:val="18"/>
          <w:color w:val="auto"/>
        </w:rPr>
        <w:t>June 4, 2002</w:t>
      </w:r>
    </w:p>
    <w:p>
      <w:pPr>
        <w:ind w:left="5600"/>
        <w:spacing w:after="0"/>
        <w:rPr>
          <w:sz w:val="20"/>
          <w:szCs w:val="20"/>
          <w:color w:val="auto"/>
        </w:rPr>
      </w:pPr>
      <w:r>
        <w:rPr>
          <w:rFonts w:ascii="Courier New" w:cs="Courier New" w:eastAsia="Courier New" w:hAnsi="Courier New"/>
          <w:sz w:val="18"/>
          <w:szCs w:val="18"/>
          <w:color w:val="auto"/>
        </w:rPr>
        <w:t>COMCAST LOGO</w:t>
      </w:r>
    </w:p>
    <w:p>
      <w:pPr>
        <w:sectPr>
          <w:pgSz w:w="11900" w:h="16838" w:orient="portrait"/>
          <w:cols w:equalWidth="0" w:num="1">
            <w:col w:w="10219"/>
          </w:cols>
          <w:pgMar w:left="240" w:top="717" w:right="1440" w:bottom="1440" w:gutter="0" w:footer="0" w:header="0"/>
        </w:sectPr>
      </w:pPr>
    </w:p>
    <w:bookmarkStart w:id="21" w:name="page22"/>
    <w:bookmarkEnd w:id="21"/>
    <w:p>
      <w:pPr>
        <w:jc w:val="right"/>
        <w:ind w:right="8519"/>
        <w:spacing w:after="0"/>
        <w:rPr>
          <w:sz w:val="20"/>
          <w:szCs w:val="20"/>
          <w:color w:val="auto"/>
        </w:rPr>
      </w:pPr>
      <w:r>
        <w:rPr>
          <w:rFonts w:ascii="Courier New" w:cs="Courier New" w:eastAsia="Courier New" w:hAnsi="Courier New"/>
          <w:sz w:val="16"/>
          <w:szCs w:val="16"/>
          <w:color w:val="auto"/>
        </w:rPr>
        <w:t>AT&amp;T COMCAST (R)</w:t>
      </w:r>
    </w:p>
    <w:p>
      <w:pPr>
        <w:spacing w:after="0" w:line="16" w:lineRule="exact"/>
        <w:rPr>
          <w:sz w:val="20"/>
          <w:szCs w:val="20"/>
          <w:color w:val="auto"/>
        </w:rPr>
      </w:pPr>
    </w:p>
    <w:p>
      <w:pPr>
        <w:jc w:val="right"/>
        <w:ind w:right="8519"/>
        <w:spacing w:after="0"/>
        <w:rPr>
          <w:sz w:val="20"/>
          <w:szCs w:val="20"/>
          <w:color w:val="auto"/>
        </w:rPr>
      </w:pPr>
      <w:r>
        <w:rPr>
          <w:rFonts w:ascii="Courier New" w:cs="Courier New" w:eastAsia="Courier New" w:hAnsi="Courier New"/>
          <w:sz w:val="18"/>
          <w:szCs w:val="18"/>
          <w:color w:val="auto"/>
        </w:rPr>
        <w:t>CORPORATION</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A Powerful Platform for Growth</w:t>
      </w:r>
    </w:p>
    <w:p>
      <w:pPr>
        <w:spacing w:after="0" w:line="207" w:lineRule="exact"/>
        <w:rPr>
          <w:sz w:val="20"/>
          <w:szCs w:val="20"/>
          <w:color w:val="auto"/>
        </w:rPr>
      </w:pPr>
    </w:p>
    <w:p>
      <w:pPr>
        <w:ind w:left="2640" w:hanging="525"/>
        <w:spacing w:after="0"/>
        <w:tabs>
          <w:tab w:leader="none" w:pos="264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Margin Improvement / Operating Efficiencies</w:t>
      </w:r>
    </w:p>
    <w:p>
      <w:pPr>
        <w:spacing w:after="0" w:line="218" w:lineRule="exact"/>
        <w:rPr>
          <w:rFonts w:ascii="Courier New" w:cs="Courier New" w:eastAsia="Courier New" w:hAnsi="Courier New"/>
          <w:sz w:val="16"/>
          <w:szCs w:val="16"/>
          <w:color w:val="auto"/>
        </w:rPr>
      </w:pPr>
    </w:p>
    <w:p>
      <w:pPr>
        <w:ind w:left="2640" w:hanging="525"/>
        <w:spacing w:after="0"/>
        <w:tabs>
          <w:tab w:leader="none" w:pos="26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Value Creation Opportunities</w:t>
      </w:r>
    </w:p>
    <w:p>
      <w:pPr>
        <w:spacing w:after="0" w:line="201" w:lineRule="exact"/>
        <w:rPr>
          <w:sz w:val="20"/>
          <w:szCs w:val="20"/>
          <w:color w:val="auto"/>
        </w:rPr>
      </w:pPr>
    </w:p>
    <w:p>
      <w:pPr>
        <w:ind w:left="3160" w:hanging="518"/>
        <w:spacing w:after="0"/>
        <w:tabs>
          <w:tab w:leader="none" w:pos="31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Content</w:t>
      </w:r>
    </w:p>
    <w:p>
      <w:pPr>
        <w:spacing w:after="0" w:line="201" w:lineRule="exact"/>
        <w:rPr>
          <w:rFonts w:ascii="Courier New" w:cs="Courier New" w:eastAsia="Courier New" w:hAnsi="Courier New"/>
          <w:sz w:val="18"/>
          <w:szCs w:val="18"/>
          <w:color w:val="auto"/>
        </w:rPr>
      </w:pPr>
    </w:p>
    <w:p>
      <w:pPr>
        <w:ind w:left="3160" w:hanging="518"/>
        <w:spacing w:after="0"/>
        <w:tabs>
          <w:tab w:leader="none" w:pos="31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National Advertising</w:t>
      </w:r>
    </w:p>
    <w:p>
      <w:pPr>
        <w:spacing w:after="0" w:line="201" w:lineRule="exact"/>
        <w:rPr>
          <w:rFonts w:ascii="Courier New" w:cs="Courier New" w:eastAsia="Courier New" w:hAnsi="Courier New"/>
          <w:sz w:val="18"/>
          <w:szCs w:val="18"/>
          <w:color w:val="auto"/>
        </w:rPr>
      </w:pPr>
    </w:p>
    <w:p>
      <w:pPr>
        <w:ind w:left="3160" w:hanging="518"/>
        <w:spacing w:after="0"/>
        <w:tabs>
          <w:tab w:leader="none" w:pos="31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Technology</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Unlimited Opportunity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Deutsche Bank</w:t>
      </w:r>
    </w:p>
    <w:p>
      <w:pPr>
        <w:spacing w:after="0" w:line="238" w:lineRule="auto"/>
        <w:rPr>
          <w:sz w:val="20"/>
          <w:szCs w:val="20"/>
          <w:color w:val="auto"/>
        </w:rPr>
      </w:pPr>
      <w:r>
        <w:rPr>
          <w:rFonts w:ascii="Courier New" w:cs="Courier New" w:eastAsia="Courier New" w:hAnsi="Courier New"/>
          <w:sz w:val="18"/>
          <w:szCs w:val="18"/>
          <w:color w:val="auto"/>
        </w:rPr>
        <w:t>June 4, 2002</w:t>
      </w:r>
    </w:p>
    <w:p>
      <w:pPr>
        <w:ind w:left="5700"/>
        <w:spacing w:after="0"/>
        <w:rPr>
          <w:sz w:val="20"/>
          <w:szCs w:val="20"/>
          <w:color w:val="auto"/>
        </w:rPr>
      </w:pPr>
      <w:r>
        <w:rPr>
          <w:rFonts w:ascii="Courier New" w:cs="Courier New" w:eastAsia="Courier New" w:hAnsi="Courier New"/>
          <w:sz w:val="18"/>
          <w:szCs w:val="18"/>
          <w:color w:val="auto"/>
        </w:rPr>
        <w:t>COMCAST LOGO</w:t>
      </w:r>
    </w:p>
    <w:p>
      <w:pPr>
        <w:sectPr>
          <w:pgSz w:w="11900" w:h="16838" w:orient="portrait"/>
          <w:cols w:equalWidth="0" w:num="1">
            <w:col w:w="10219"/>
          </w:cols>
          <w:pgMar w:left="240" w:top="723"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8"/>
          <w:szCs w:val="18"/>
          <w:color w:val="auto"/>
        </w:rPr>
        <w:t>COMCAST (R)</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John R. Alchin</w:t>
      </w:r>
    </w:p>
    <w:p>
      <w:pPr>
        <w:jc w:val="right"/>
        <w:ind w:right="4099"/>
        <w:spacing w:after="0" w:line="238" w:lineRule="auto"/>
        <w:rPr>
          <w:sz w:val="20"/>
          <w:szCs w:val="20"/>
          <w:color w:val="auto"/>
        </w:rPr>
      </w:pPr>
      <w:r>
        <w:rPr>
          <w:rFonts w:ascii="Courier New" w:cs="Courier New" w:eastAsia="Courier New" w:hAnsi="Courier New"/>
          <w:sz w:val="18"/>
          <w:szCs w:val="18"/>
          <w:color w:val="auto"/>
        </w:rPr>
        <w:t>Executive Vice President and Treasurer</w:t>
      </w:r>
    </w:p>
    <w:p>
      <w:pPr>
        <w:sectPr>
          <w:pgSz w:w="11900" w:h="16838" w:orient="portrait"/>
          <w:cols w:equalWidth="0" w:num="1">
            <w:col w:w="10219"/>
          </w:cols>
          <w:pgMar w:left="240" w:top="717" w:right="1440" w:bottom="1440" w:gutter="0" w:footer="0" w:header="0"/>
        </w:sectPr>
      </w:pPr>
    </w:p>
    <w:bookmarkStart w:id="23" w:name="page24"/>
    <w:bookmarkEnd w:id="23"/>
    <w:p>
      <w:pPr>
        <w:jc w:val="right"/>
        <w:ind w:right="8519"/>
        <w:spacing w:after="0"/>
        <w:rPr>
          <w:sz w:val="20"/>
          <w:szCs w:val="20"/>
          <w:color w:val="auto"/>
        </w:rPr>
      </w:pPr>
      <w:r>
        <w:rPr>
          <w:rFonts w:ascii="Courier New" w:cs="Courier New" w:eastAsia="Courier New" w:hAnsi="Courier New"/>
          <w:sz w:val="16"/>
          <w:szCs w:val="16"/>
          <w:color w:val="auto"/>
        </w:rPr>
        <w:t>AT&amp;T COMCAST (R)</w:t>
      </w:r>
    </w:p>
    <w:p>
      <w:pPr>
        <w:spacing w:after="0" w:line="16" w:lineRule="exact"/>
        <w:rPr>
          <w:sz w:val="20"/>
          <w:szCs w:val="20"/>
          <w:color w:val="auto"/>
        </w:rPr>
      </w:pPr>
    </w:p>
    <w:p>
      <w:pPr>
        <w:jc w:val="right"/>
        <w:ind w:right="8519"/>
        <w:spacing w:after="0"/>
        <w:rPr>
          <w:sz w:val="20"/>
          <w:szCs w:val="20"/>
          <w:color w:val="auto"/>
        </w:rPr>
      </w:pPr>
      <w:r>
        <w:rPr>
          <w:rFonts w:ascii="Courier New" w:cs="Courier New" w:eastAsia="Courier New" w:hAnsi="Courier New"/>
          <w:sz w:val="18"/>
          <w:szCs w:val="18"/>
          <w:color w:val="auto"/>
        </w:rPr>
        <w:t>CORPORATION</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Merger Funding In Place</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o $17 Billion of Bank Facilities</w:t>
      </w:r>
    </w:p>
    <w:p>
      <w:pPr>
        <w:spacing w:after="0" w:line="207"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o Funding Requirement at Closing: $11-$14 Billion</w:t>
      </w:r>
    </w:p>
    <w:p>
      <w:pPr>
        <w:spacing w:after="0" w:line="22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o Includes Repayment of AT&amp;T Intercompany Debt,</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Free Cash Flow Deficit and Other Near-Term</w:t>
      </w:r>
    </w:p>
    <w:p>
      <w:pPr>
        <w:ind w:left="1160"/>
        <w:spacing w:after="0" w:line="238" w:lineRule="auto"/>
        <w:rPr>
          <w:sz w:val="20"/>
          <w:szCs w:val="20"/>
          <w:color w:val="auto"/>
        </w:rPr>
      </w:pPr>
      <w:r>
        <w:rPr>
          <w:rFonts w:ascii="Courier New" w:cs="Courier New" w:eastAsia="Courier New" w:hAnsi="Courier New"/>
          <w:sz w:val="18"/>
          <w:szCs w:val="18"/>
          <w:color w:val="auto"/>
        </w:rPr>
        <w:t>Liquidity Needs for AT&amp;T Comcast</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Deutsche Bank</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June 4,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LOGO</w:t>
      </w:r>
    </w:p>
    <w:p>
      <w:pPr>
        <w:sectPr>
          <w:pgSz w:w="11900" w:h="16838" w:orient="portrait"/>
          <w:cols w:equalWidth="0" w:num="2">
            <w:col w:w="6340" w:space="720"/>
            <w:col w:w="3159"/>
          </w:cols>
          <w:pgMar w:left="240" w:top="723" w:right="1440" w:bottom="1440" w:gutter="0" w:footer="0" w:header="0"/>
          <w:type w:val="continuous"/>
        </w:sectPr>
      </w:pPr>
    </w:p>
    <w:bookmarkStart w:id="24" w:name="page25"/>
    <w:bookmarkEnd w:id="24"/>
    <w:tbl>
      <w:tblPr>
        <w:tblLayout w:type="fixed"/>
        <w:tblInd w:w="0" w:type="dxa"/>
        <w:tblCellMar>
          <w:top w:w="0" w:type="dxa"/>
          <w:left w:w="0" w:type="dxa"/>
          <w:bottom w:w="0" w:type="dxa"/>
          <w:right w:w="0" w:type="dxa"/>
        </w:tblCellMar>
      </w:tblPr>
      <w:tr>
        <w:trPr>
          <w:trHeight w:val="204"/>
        </w:trPr>
        <w:tc>
          <w:tcPr>
            <w:tcW w:w="1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780" w:type="dxa"/>
            <w:vAlign w:val="bottom"/>
          </w:tcPr>
          <w:p>
            <w:pPr>
              <w:jc w:val="right"/>
              <w:spacing w:after="0"/>
              <w:rPr>
                <w:sz w:val="20"/>
                <w:szCs w:val="20"/>
                <w:color w:val="auto"/>
              </w:rPr>
            </w:pPr>
            <w:r>
              <w:rPr>
                <w:rFonts w:ascii="Courier New" w:cs="Courier New" w:eastAsia="Courier New" w:hAnsi="Courier New"/>
                <w:sz w:val="18"/>
                <w:szCs w:val="18"/>
                <w:color w:val="auto"/>
                <w:w w:val="98"/>
              </w:rPr>
              <w:t>Commitment to Deleveraging</w:t>
            </w:r>
          </w:p>
        </w:tc>
        <w:tc>
          <w:tcPr>
            <w:tcW w:w="5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810"/>
        </w:trPr>
        <w:tc>
          <w:tcPr>
            <w:tcW w:w="1700" w:type="dxa"/>
            <w:vAlign w:val="bottom"/>
          </w:tcPr>
          <w:p>
            <w:pPr>
              <w:spacing w:after="0"/>
              <w:rPr>
                <w:sz w:val="24"/>
                <w:szCs w:val="24"/>
                <w:color w:val="auto"/>
              </w:rPr>
            </w:pPr>
          </w:p>
        </w:tc>
        <w:tc>
          <w:tcPr>
            <w:tcW w:w="3780" w:type="dxa"/>
            <w:vAlign w:val="bottom"/>
            <w:gridSpan w:val="2"/>
          </w:tcPr>
          <w:p>
            <w:pPr>
              <w:jc w:val="right"/>
              <w:ind w:right="1172"/>
              <w:spacing w:after="0"/>
              <w:rPr>
                <w:sz w:val="20"/>
                <w:szCs w:val="20"/>
                <w:color w:val="auto"/>
              </w:rPr>
            </w:pPr>
            <w:r>
              <w:rPr>
                <w:rFonts w:ascii="Courier New" w:cs="Courier New" w:eastAsia="Courier New" w:hAnsi="Courier New"/>
                <w:sz w:val="18"/>
                <w:szCs w:val="18"/>
                <w:color w:val="auto"/>
              </w:rPr>
              <w:t>AT&amp;T Comcast debt(1)</w:t>
            </w:r>
          </w:p>
        </w:tc>
        <w:tc>
          <w:tcPr>
            <w:tcW w:w="5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03"/>
        </w:trPr>
        <w:tc>
          <w:tcPr>
            <w:tcW w:w="1700" w:type="dxa"/>
            <w:vAlign w:val="bottom"/>
          </w:tcPr>
          <w:p>
            <w:pPr>
              <w:spacing w:after="0"/>
              <w:rPr>
                <w:sz w:val="17"/>
                <w:szCs w:val="17"/>
                <w:color w:val="auto"/>
              </w:rPr>
            </w:pPr>
          </w:p>
        </w:tc>
        <w:tc>
          <w:tcPr>
            <w:tcW w:w="3780" w:type="dxa"/>
            <w:vAlign w:val="bottom"/>
            <w:gridSpan w:val="2"/>
          </w:tcPr>
          <w:p>
            <w:pPr>
              <w:jc w:val="right"/>
              <w:ind w:right="1492"/>
              <w:spacing w:after="0" w:line="203" w:lineRule="exact"/>
              <w:rPr>
                <w:sz w:val="20"/>
                <w:szCs w:val="20"/>
                <w:color w:val="auto"/>
              </w:rPr>
            </w:pPr>
            <w:r>
              <w:rPr>
                <w:rFonts w:ascii="Courier New" w:cs="Courier New" w:eastAsia="Courier New" w:hAnsi="Courier New"/>
                <w:sz w:val="18"/>
                <w:szCs w:val="18"/>
                <w:color w:val="auto"/>
              </w:rPr>
              <w:t>($ in Billions)</w:t>
            </w:r>
          </w:p>
        </w:tc>
        <w:tc>
          <w:tcPr>
            <w:tcW w:w="5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405"/>
        </w:trPr>
        <w:tc>
          <w:tcPr>
            <w:tcW w:w="1700" w:type="dxa"/>
            <w:vAlign w:val="bottom"/>
          </w:tcPr>
          <w:p>
            <w:pPr>
              <w:spacing w:after="0"/>
              <w:rPr>
                <w:sz w:val="20"/>
                <w:szCs w:val="20"/>
                <w:color w:val="auto"/>
              </w:rPr>
            </w:pPr>
            <w:r>
              <w:rPr>
                <w:rFonts w:ascii="Courier New" w:cs="Courier New" w:eastAsia="Courier New" w:hAnsi="Courier New"/>
                <w:sz w:val="18"/>
                <w:szCs w:val="18"/>
                <w:color w:val="auto"/>
              </w:rPr>
              <w:t>QUIPS</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$5.0</w:t>
            </w:r>
          </w:p>
        </w:tc>
        <w:tc>
          <w:tcPr>
            <w:tcW w:w="278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$5.0----</w:t>
            </w:r>
          </w:p>
        </w:tc>
        <w:tc>
          <w:tcPr>
            <w:tcW w:w="5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03"/>
        </w:trPr>
        <w:tc>
          <w:tcPr>
            <w:tcW w:w="1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7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$1.1</w:t>
            </w:r>
          </w:p>
        </w:tc>
        <w:tc>
          <w:tcPr>
            <w:tcW w:w="5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320" w:type="dxa"/>
            <w:vAlign w:val="bottom"/>
          </w:tcPr>
          <w:p>
            <w:pPr>
              <w:jc w:val="right"/>
              <w:ind w:right="151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New</w:t>
            </w:r>
          </w:p>
        </w:tc>
        <w:tc>
          <w:tcPr>
            <w:tcW w:w="1000" w:type="dxa"/>
            <w:vAlign w:val="bottom"/>
          </w:tcPr>
          <w:p>
            <w:pPr>
              <w:spacing w:after="0"/>
              <w:rPr>
                <w:sz w:val="17"/>
                <w:szCs w:val="17"/>
                <w:color w:val="auto"/>
              </w:rPr>
            </w:pPr>
          </w:p>
        </w:tc>
        <w:tc>
          <w:tcPr>
            <w:tcW w:w="27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$0.5</w:t>
            </w:r>
          </w:p>
        </w:tc>
        <w:tc>
          <w:tcPr>
            <w:tcW w:w="5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AT&amp;T Comcast</w:t>
            </w:r>
          </w:p>
        </w:tc>
        <w:tc>
          <w:tcPr>
            <w:tcW w:w="10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32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$6.5</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Borrowings</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$12.5</w:t>
            </w:r>
          </w:p>
        </w:tc>
        <w:tc>
          <w:tcPr>
            <w:tcW w:w="278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$10.7</w:t>
            </w:r>
          </w:p>
        </w:tc>
        <w:tc>
          <w:tcPr>
            <w:tcW w:w="23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w:t>
            </w:r>
          </w:p>
        </w:tc>
      </w:tr>
      <w:tr>
        <w:trPr>
          <w:trHeight w:val="405"/>
        </w:trPr>
        <w:tc>
          <w:tcPr>
            <w:tcW w:w="1700" w:type="dxa"/>
            <w:vAlign w:val="bottom"/>
          </w:tcPr>
          <w:p>
            <w:pPr>
              <w:spacing w:after="0"/>
              <w:rPr>
                <w:sz w:val="20"/>
                <w:szCs w:val="20"/>
                <w:color w:val="auto"/>
              </w:rPr>
            </w:pPr>
            <w:r>
              <w:rPr>
                <w:rFonts w:ascii="Courier New" w:cs="Courier New" w:eastAsia="Courier New" w:hAnsi="Courier New"/>
                <w:sz w:val="18"/>
                <w:szCs w:val="18"/>
                <w:color w:val="auto"/>
              </w:rPr>
              <w:t>Existing</w:t>
            </w:r>
          </w:p>
        </w:tc>
        <w:tc>
          <w:tcPr>
            <w:tcW w:w="10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AT&amp;T Bonds</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w:t>
            </w:r>
          </w:p>
        </w:tc>
        <w:tc>
          <w:tcPr>
            <w:tcW w:w="278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w:t>
            </w: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w:t>
            </w:r>
          </w:p>
        </w:tc>
      </w:tr>
      <w:tr>
        <w:trPr>
          <w:trHeight w:val="405"/>
        </w:trPr>
        <w:tc>
          <w:tcPr>
            <w:tcW w:w="1700" w:type="dxa"/>
            <w:vAlign w:val="bottom"/>
          </w:tcPr>
          <w:p>
            <w:pPr>
              <w:spacing w:after="0"/>
              <w:rPr>
                <w:sz w:val="20"/>
                <w:szCs w:val="20"/>
                <w:color w:val="auto"/>
              </w:rPr>
            </w:pPr>
            <w:r>
              <w:rPr>
                <w:rFonts w:ascii="Courier New" w:cs="Courier New" w:eastAsia="Courier New" w:hAnsi="Courier New"/>
                <w:sz w:val="18"/>
                <w:szCs w:val="18"/>
                <w:color w:val="auto"/>
              </w:rPr>
              <w:t>Existing</w:t>
            </w:r>
          </w:p>
        </w:tc>
        <w:tc>
          <w:tcPr>
            <w:tcW w:w="10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Comcast Debt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w:t>
            </w:r>
          </w:p>
        </w:tc>
        <w:tc>
          <w:tcPr>
            <w:tcW w:w="278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w:t>
            </w: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2100" w:type="dxa"/>
            <w:vAlign w:val="bottom"/>
          </w:tcPr>
          <w:p>
            <w:pPr>
              <w:spacing w:after="0"/>
              <w:rPr>
                <w:sz w:val="20"/>
                <w:szCs w:val="20"/>
                <w:color w:val="auto"/>
              </w:rPr>
            </w:pPr>
            <w:r>
              <w:rPr>
                <w:rFonts w:ascii="Courier New" w:cs="Courier New" w:eastAsia="Courier New" w:hAnsi="Courier New"/>
                <w:sz w:val="18"/>
                <w:szCs w:val="18"/>
                <w:color w:val="auto"/>
              </w:rPr>
              <w:t>Total Debt</w:t>
            </w:r>
          </w:p>
        </w:tc>
        <w:tc>
          <w:tcPr>
            <w:tcW w:w="242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$30.8</w:t>
            </w:r>
          </w:p>
        </w:tc>
        <w:tc>
          <w:tcPr>
            <w:tcW w:w="232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$28.5</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$22.0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4020"/>
        <w:spacing w:after="0"/>
        <w:tabs>
          <w:tab w:leader="none" w:pos="6420" w:val="left"/>
        </w:tabs>
        <w:rPr>
          <w:sz w:val="20"/>
          <w:szCs w:val="20"/>
          <w:color w:val="auto"/>
        </w:rPr>
      </w:pPr>
      <w:r>
        <w:rPr>
          <w:rFonts w:ascii="Courier New" w:cs="Courier New" w:eastAsia="Courier New" w:hAnsi="Courier New"/>
          <w:sz w:val="18"/>
          <w:szCs w:val="18"/>
          <w:color w:val="auto"/>
        </w:rPr>
        <w:t>Rural Cable</w:t>
      </w:r>
      <w:r>
        <w:rPr>
          <w:sz w:val="20"/>
          <w:szCs w:val="20"/>
          <w:color w:val="auto"/>
        </w:rPr>
        <w:tab/>
      </w:r>
      <w:r>
        <w:rPr>
          <w:rFonts w:ascii="Courier New" w:cs="Courier New" w:eastAsia="Courier New" w:hAnsi="Courier New"/>
          <w:sz w:val="16"/>
          <w:szCs w:val="16"/>
          <w:color w:val="auto"/>
        </w:rPr>
        <w:t>Estimated</w:t>
      </w:r>
    </w:p>
    <w:p>
      <w:pPr>
        <w:ind w:left="4220"/>
        <w:spacing w:after="0" w:line="238" w:lineRule="auto"/>
        <w:tabs>
          <w:tab w:leader="none" w:pos="6420" w:val="left"/>
        </w:tabs>
        <w:rPr>
          <w:sz w:val="20"/>
          <w:szCs w:val="20"/>
          <w:color w:val="auto"/>
        </w:rPr>
      </w:pPr>
      <w:r>
        <w:rPr>
          <w:rFonts w:ascii="Courier New" w:cs="Courier New" w:eastAsia="Courier New" w:hAnsi="Courier New"/>
          <w:sz w:val="18"/>
          <w:szCs w:val="18"/>
          <w:color w:val="auto"/>
        </w:rPr>
        <w:t>System</w:t>
      </w:r>
      <w:r>
        <w:rPr>
          <w:sz w:val="20"/>
          <w:szCs w:val="20"/>
          <w:color w:val="auto"/>
        </w:rPr>
        <w:tab/>
      </w:r>
      <w:r>
        <w:rPr>
          <w:rFonts w:ascii="Courier New" w:cs="Courier New" w:eastAsia="Courier New" w:hAnsi="Courier New"/>
          <w:sz w:val="18"/>
          <w:szCs w:val="18"/>
          <w:color w:val="auto"/>
        </w:rPr>
        <w:t>TWE value</w:t>
      </w:r>
    </w:p>
    <w:p>
      <w:pPr>
        <w:ind w:left="4220"/>
        <w:spacing w:after="0"/>
        <w:tabs>
          <w:tab w:leader="none" w:pos="6420" w:val="left"/>
        </w:tabs>
        <w:rPr>
          <w:sz w:val="20"/>
          <w:szCs w:val="20"/>
          <w:color w:val="auto"/>
        </w:rPr>
      </w:pPr>
      <w:r>
        <w:rPr>
          <w:rFonts w:ascii="Courier New" w:cs="Courier New" w:eastAsia="Courier New" w:hAnsi="Courier New"/>
          <w:sz w:val="18"/>
          <w:szCs w:val="18"/>
          <w:color w:val="auto"/>
        </w:rPr>
        <w:t>Sales/</w:t>
      </w:r>
      <w:r>
        <w:rPr>
          <w:sz w:val="20"/>
          <w:szCs w:val="20"/>
          <w:color w:val="auto"/>
        </w:rPr>
        <w:tab/>
      </w:r>
      <w:r>
        <w:rPr>
          <w:rFonts w:ascii="Courier New" w:cs="Courier New" w:eastAsia="Courier New" w:hAnsi="Courier New"/>
          <w:sz w:val="18"/>
          <w:szCs w:val="18"/>
          <w:color w:val="auto"/>
        </w:rPr>
        <w:t>(after-tax)</w:t>
      </w:r>
    </w:p>
    <w:p>
      <w:pPr>
        <w:ind w:left="4020"/>
        <w:spacing w:after="0" w:line="237" w:lineRule="auto"/>
        <w:rPr>
          <w:sz w:val="20"/>
          <w:szCs w:val="20"/>
          <w:color w:val="auto"/>
        </w:rPr>
      </w:pPr>
      <w:r>
        <w:rPr>
          <w:rFonts w:ascii="Courier New" w:cs="Courier New" w:eastAsia="Courier New" w:hAnsi="Courier New"/>
          <w:sz w:val="18"/>
          <w:szCs w:val="18"/>
          <w:color w:val="auto"/>
        </w:rPr>
        <w:t>Liquid Share</w:t>
      </w:r>
    </w:p>
    <w:p>
      <w:pPr>
        <w:ind w:left="4020"/>
        <w:spacing w:after="0" w:line="238" w:lineRule="auto"/>
        <w:rPr>
          <w:sz w:val="20"/>
          <w:szCs w:val="20"/>
          <w:color w:val="auto"/>
        </w:rPr>
      </w:pPr>
      <w:r>
        <w:rPr>
          <w:rFonts w:ascii="Courier New" w:cs="Courier New" w:eastAsia="Courier New" w:hAnsi="Courier New"/>
          <w:sz w:val="18"/>
          <w:szCs w:val="18"/>
          <w:color w:val="auto"/>
        </w:rPr>
        <w:t>Monetization</w:t>
      </w:r>
    </w:p>
    <w:p>
      <w:pPr>
        <w:spacing w:after="0" w:line="208" w:lineRule="exact"/>
        <w:rPr>
          <w:sz w:val="20"/>
          <w:szCs w:val="20"/>
          <w:color w:val="auto"/>
        </w:rPr>
      </w:pPr>
    </w:p>
    <w:p>
      <w:pPr>
        <w:ind w:left="1580" w:right="2419" w:hanging="308"/>
        <w:spacing w:after="0" w:line="235" w:lineRule="auto"/>
        <w:tabs>
          <w:tab w:leader="none" w:pos="15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QUIPS conversion to equity represents a $5.0BN (face value) reduction in total debt and preferred</w:t>
      </w:r>
    </w:p>
    <w:p>
      <w:pPr>
        <w:spacing w:after="0" w:line="208" w:lineRule="exact"/>
        <w:rPr>
          <w:rFonts w:ascii="Courier New" w:cs="Courier New" w:eastAsia="Courier New" w:hAnsi="Courier New"/>
          <w:sz w:val="18"/>
          <w:szCs w:val="18"/>
          <w:color w:val="auto"/>
        </w:rPr>
      </w:pPr>
    </w:p>
    <w:p>
      <w:pPr>
        <w:jc w:val="both"/>
        <w:ind w:left="1580" w:right="2099" w:hanging="308"/>
        <w:spacing w:after="0" w:line="236" w:lineRule="auto"/>
        <w:tabs>
          <w:tab w:leader="none" w:pos="15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April 5th, AT&amp;T Broadband reached an agreement with Bresnan Communications to sell 320,000 subscribers in Montana, Wyoming and Colorado for $735MM in cash</w:t>
      </w:r>
    </w:p>
    <w:p>
      <w:pPr>
        <w:spacing w:after="0" w:line="208" w:lineRule="exact"/>
        <w:rPr>
          <w:rFonts w:ascii="Courier New" w:cs="Courier New" w:eastAsia="Courier New" w:hAnsi="Courier New"/>
          <w:sz w:val="18"/>
          <w:szCs w:val="18"/>
          <w:color w:val="auto"/>
        </w:rPr>
      </w:pPr>
    </w:p>
    <w:p>
      <w:pPr>
        <w:ind w:left="1580" w:right="2099" w:hanging="308"/>
        <w:spacing w:after="0" w:line="237" w:lineRule="auto"/>
        <w:tabs>
          <w:tab w:leader="none" w:pos="15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May 21st, Comcast sold 42MM shares of AT&amp;T stock for $540MM in cash - Reducing opening debt balance o An additional after-tax value of $1.1BN in highly liquid assets will also be monetized in the next year</w:t>
      </w:r>
    </w:p>
    <w:p>
      <w:pPr>
        <w:spacing w:after="0" w:line="207" w:lineRule="exact"/>
        <w:rPr>
          <w:rFonts w:ascii="Courier New" w:cs="Courier New" w:eastAsia="Courier New" w:hAnsi="Courier New"/>
          <w:sz w:val="18"/>
          <w:szCs w:val="18"/>
          <w:color w:val="auto"/>
        </w:rPr>
      </w:pPr>
    </w:p>
    <w:p>
      <w:pPr>
        <w:ind w:left="1580" w:right="1879" w:hanging="308"/>
        <w:spacing w:after="0" w:line="235" w:lineRule="auto"/>
        <w:tabs>
          <w:tab w:leader="none" w:pos="15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two years, AT&amp;T Comcast expects to monetize TWE ($6.5BN+, after-tax(2))</w:t>
      </w:r>
    </w:p>
    <w:p>
      <w:pPr>
        <w:spacing w:after="0" w:line="200" w:lineRule="exact"/>
        <w:rPr>
          <w:sz w:val="20"/>
          <w:szCs w:val="20"/>
          <w:color w:val="auto"/>
        </w:rPr>
      </w:pPr>
    </w:p>
    <w:p>
      <w:pPr>
        <w:spacing w:after="0" w:line="205" w:lineRule="exact"/>
        <w:rPr>
          <w:sz w:val="20"/>
          <w:szCs w:val="20"/>
          <w:color w:val="auto"/>
        </w:rPr>
      </w:pPr>
    </w:p>
    <w:p>
      <w:pPr>
        <w:ind w:left="640" w:hanging="316"/>
        <w:spacing w:after="0"/>
        <w:tabs>
          <w:tab w:leader="none" w:pos="6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 of AT&amp;T Broadband Exchangeables and Comcast ZONES</w:t>
      </w:r>
    </w:p>
    <w:p>
      <w:pPr>
        <w:spacing w:after="0" w:line="207" w:lineRule="exact"/>
        <w:rPr>
          <w:sz w:val="20"/>
          <w:szCs w:val="20"/>
          <w:color w:val="auto"/>
        </w:rPr>
      </w:pPr>
    </w:p>
    <w:p>
      <w:pPr>
        <w:ind w:left="640" w:right="2419" w:hanging="316"/>
        <w:spacing w:after="0" w:line="235" w:lineRule="auto"/>
        <w:tabs>
          <w:tab w:leader="none" w:pos="6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Preliminary valuation for illustrative purposes based on Wall Street estimates</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Deutsche Bank</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June 4,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LOGO</w:t>
      </w:r>
    </w:p>
    <w:p>
      <w:pPr>
        <w:sectPr>
          <w:pgSz w:w="11900" w:h="16838" w:orient="portrait"/>
          <w:cols w:equalWidth="0" w:num="2">
            <w:col w:w="6340" w:space="720"/>
            <w:col w:w="3159"/>
          </w:cols>
          <w:pgMar w:left="240" w:top="514" w:right="1440" w:bottom="1440"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204"/>
        </w:trPr>
        <w:tc>
          <w:tcPr>
            <w:tcW w:w="4020" w:type="dxa"/>
            <w:vAlign w:val="bottom"/>
          </w:tcPr>
          <w:p>
            <w:pPr>
              <w:spacing w:after="0"/>
              <w:rPr>
                <w:sz w:val="20"/>
                <w:szCs w:val="20"/>
                <w:color w:val="auto"/>
              </w:rPr>
            </w:pPr>
            <w:r>
              <w:rPr>
                <w:rFonts w:ascii="Courier New" w:cs="Courier New" w:eastAsia="Courier New" w:hAnsi="Courier New"/>
                <w:sz w:val="18"/>
                <w:szCs w:val="18"/>
                <w:color w:val="auto"/>
              </w:rPr>
              <w:t>AT&amp;T COMCAST (R)</w:t>
            </w:r>
          </w:p>
        </w:tc>
        <w:tc>
          <w:tcPr>
            <w:tcW w:w="1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4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CORPORATION</w:t>
            </w:r>
          </w:p>
        </w:tc>
        <w:tc>
          <w:tcPr>
            <w:tcW w:w="1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405"/>
        </w:trPr>
        <w:tc>
          <w:tcPr>
            <w:tcW w:w="4020" w:type="dxa"/>
            <w:vAlign w:val="bottom"/>
          </w:tcPr>
          <w:p>
            <w:pPr>
              <w:spacing w:after="0"/>
              <w:rPr>
                <w:sz w:val="24"/>
                <w:szCs w:val="24"/>
                <w:color w:val="auto"/>
              </w:rPr>
            </w:pPr>
          </w:p>
        </w:tc>
        <w:tc>
          <w:tcPr>
            <w:tcW w:w="11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2003</w:t>
            </w:r>
          </w:p>
        </w:tc>
        <w:tc>
          <w:tcPr>
            <w:tcW w:w="14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2004</w:t>
            </w:r>
          </w:p>
        </w:tc>
        <w:tc>
          <w:tcPr>
            <w:tcW w:w="1740" w:type="dxa"/>
            <w:vAlign w:val="bottom"/>
          </w:tcPr>
          <w:p>
            <w:pPr>
              <w:jc w:val="right"/>
              <w:ind w:right="1072"/>
              <w:spacing w:after="0"/>
              <w:rPr>
                <w:sz w:val="20"/>
                <w:szCs w:val="20"/>
                <w:color w:val="auto"/>
              </w:rPr>
            </w:pPr>
            <w:r>
              <w:rPr>
                <w:rFonts w:ascii="Courier New" w:cs="Courier New" w:eastAsia="Courier New" w:hAnsi="Courier New"/>
                <w:sz w:val="18"/>
                <w:szCs w:val="18"/>
                <w:color w:val="auto"/>
              </w:rPr>
              <w:t>2005</w:t>
            </w:r>
          </w:p>
        </w:tc>
      </w:tr>
      <w:tr>
        <w:trPr>
          <w:trHeight w:val="203"/>
        </w:trPr>
        <w:tc>
          <w:tcPr>
            <w:tcW w:w="4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AT&amp;T Broadband OCF</w:t>
            </w:r>
          </w:p>
        </w:tc>
        <w:tc>
          <w:tcPr>
            <w:tcW w:w="1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Margin Improvement(1)</w:t>
            </w: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-----------&gt;</w:t>
            </w:r>
          </w:p>
        </w:tc>
        <w:tc>
          <w:tcPr>
            <w:tcW w:w="174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36%</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Synergies(1) (Millions)</w:t>
            </w: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$300</w:t>
            </w:r>
          </w:p>
        </w:tc>
        <w:tc>
          <w:tcPr>
            <w:tcW w:w="14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$400</w:t>
            </w:r>
          </w:p>
        </w:tc>
        <w:tc>
          <w:tcPr>
            <w:tcW w:w="1740" w:type="dxa"/>
            <w:vAlign w:val="bottom"/>
          </w:tcPr>
          <w:p>
            <w:pPr>
              <w:jc w:val="right"/>
              <w:ind w:right="1192"/>
              <w:spacing w:after="0" w:line="203" w:lineRule="exact"/>
              <w:rPr>
                <w:sz w:val="20"/>
                <w:szCs w:val="20"/>
                <w:color w:val="auto"/>
              </w:rPr>
            </w:pPr>
            <w:r>
              <w:rPr>
                <w:rFonts w:ascii="Courier New" w:cs="Courier New" w:eastAsia="Courier New" w:hAnsi="Courier New"/>
                <w:sz w:val="18"/>
                <w:szCs w:val="18"/>
                <w:color w:val="auto"/>
              </w:rPr>
              <w:t>$500</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Comcast Cable OCF Growth(1)</w:t>
            </w: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-----------&gt;</w:t>
            </w:r>
          </w:p>
        </w:tc>
        <w:tc>
          <w:tcPr>
            <w:tcW w:w="174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11%</w:t>
            </w:r>
          </w:p>
        </w:tc>
      </w:tr>
      <w:tr>
        <w:trPr>
          <w:trHeight w:val="405"/>
        </w:trPr>
        <w:tc>
          <w:tcPr>
            <w:tcW w:w="6600" w:type="dxa"/>
            <w:vAlign w:val="bottom"/>
            <w:gridSpan w:val="3"/>
          </w:tcPr>
          <w:p>
            <w:pPr>
              <w:ind w:left="2960"/>
              <w:spacing w:after="0"/>
              <w:rPr>
                <w:sz w:val="20"/>
                <w:szCs w:val="20"/>
                <w:color w:val="auto"/>
              </w:rPr>
            </w:pPr>
            <w:r>
              <w:rPr>
                <w:rFonts w:ascii="Courier New" w:cs="Courier New" w:eastAsia="Courier New" w:hAnsi="Courier New"/>
                <w:sz w:val="18"/>
                <w:szCs w:val="18"/>
                <w:color w:val="auto"/>
              </w:rPr>
              <w:t>OCF Growth Exceeding 20%</w:t>
            </w:r>
          </w:p>
        </w:tc>
        <w:tc>
          <w:tcPr>
            <w:tcW w:w="1740" w:type="dxa"/>
            <w:vAlign w:val="bottom"/>
          </w:tcPr>
          <w:p>
            <w:pPr>
              <w:spacing w:after="0"/>
              <w:rPr>
                <w:sz w:val="24"/>
                <w:szCs w:val="24"/>
                <w:color w:val="auto"/>
              </w:rPr>
            </w:pPr>
          </w:p>
        </w:tc>
      </w:tr>
      <w:tr>
        <w:trPr>
          <w:trHeight w:val="810"/>
        </w:trPr>
        <w:tc>
          <w:tcPr>
            <w:tcW w:w="4020" w:type="dxa"/>
            <w:vAlign w:val="bottom"/>
          </w:tcPr>
          <w:p>
            <w:pPr>
              <w:spacing w:after="0"/>
              <w:rPr>
                <w:sz w:val="20"/>
                <w:szCs w:val="20"/>
                <w:color w:val="auto"/>
              </w:rPr>
            </w:pPr>
            <w:r>
              <w:rPr>
                <w:rFonts w:ascii="Courier New" w:cs="Courier New" w:eastAsia="Courier New" w:hAnsi="Courier New"/>
                <w:sz w:val="18"/>
                <w:szCs w:val="18"/>
                <w:color w:val="auto"/>
              </w:rPr>
              <w:t>Deutsche Bank</w:t>
            </w:r>
          </w:p>
        </w:tc>
        <w:tc>
          <w:tcPr>
            <w:tcW w:w="1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June 4, 2002</w:t>
            </w:r>
          </w:p>
        </w:tc>
        <w:tc>
          <w:tcPr>
            <w:tcW w:w="1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COMCAST LOGO</w:t>
            </w:r>
          </w:p>
        </w:tc>
      </w:tr>
    </w:tbl>
    <w:p>
      <w:pPr>
        <w:sectPr>
          <w:pgSz w:w="11900" w:h="16838" w:orient="portrait"/>
          <w:cols w:equalWidth="0" w:num="1">
            <w:col w:w="10219"/>
          </w:cols>
          <w:pgMar w:left="240" w:top="717"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8"/>
          <w:szCs w:val="18"/>
          <w:color w:val="auto"/>
        </w:rPr>
        <w:t>Free Cash Flow Generation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Decrease in cable capital expenditures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(Billions)</w:t>
      </w: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$2.5</w:t>
            </w: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spacing w:after="0"/>
              <w:rPr>
                <w:sz w:val="17"/>
                <w:szCs w:val="17"/>
                <w:color w:val="auto"/>
              </w:rPr>
            </w:pPr>
          </w:p>
        </w:tc>
      </w:tr>
      <w:tr>
        <w:trPr>
          <w:trHeight w:val="203"/>
        </w:trPr>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w:t>
            </w: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spacing w:after="0"/>
              <w:rPr>
                <w:sz w:val="17"/>
                <w:szCs w:val="17"/>
                <w:color w:val="auto"/>
              </w:rPr>
            </w:pPr>
          </w:p>
        </w:tc>
      </w:tr>
      <w:tr>
        <w:trPr>
          <w:trHeight w:val="203"/>
        </w:trPr>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w:t>
            </w: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2"/>
              </w:rPr>
              <w:t>====</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2"/>
              </w:rPr>
              <w:t>====</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2"/>
              </w:rPr>
              <w:t>====</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960" w:type="dxa"/>
            <w:vAlign w:val="bottom"/>
          </w:tcPr>
          <w:p>
            <w:pPr>
              <w:spacing w:after="0"/>
              <w:rPr>
                <w:sz w:val="17"/>
                <w:szCs w:val="17"/>
                <w:color w:val="auto"/>
              </w:rPr>
            </w:pPr>
          </w:p>
        </w:tc>
        <w:tc>
          <w:tcPr>
            <w:tcW w:w="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2"/>
              </w:rPr>
              <w:t>////</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$0.5</w:t>
            </w:r>
          </w:p>
        </w:tc>
        <w:tc>
          <w:tcPr>
            <w:tcW w:w="480" w:type="dxa"/>
            <w:vAlign w:val="bottom"/>
          </w:tcPr>
          <w:p>
            <w:pPr>
              <w:spacing w:after="0"/>
              <w:rPr>
                <w:sz w:val="17"/>
                <w:szCs w:val="17"/>
                <w:color w:val="auto"/>
              </w:rPr>
            </w:pPr>
          </w:p>
        </w:tc>
        <w:tc>
          <w:tcPr>
            <w:tcW w:w="1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960" w:type="dxa"/>
            <w:vAlign w:val="bottom"/>
          </w:tcPr>
          <w:p>
            <w:pPr>
              <w:spacing w:after="0"/>
              <w:rPr>
                <w:sz w:val="17"/>
                <w:szCs w:val="17"/>
                <w:color w:val="auto"/>
              </w:rPr>
            </w:pPr>
          </w:p>
        </w:tc>
        <w:tc>
          <w:tcPr>
            <w:tcW w:w="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2"/>
              </w:rPr>
              <w:t>////</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960" w:type="dxa"/>
            <w:vAlign w:val="bottom"/>
          </w:tcPr>
          <w:p>
            <w:pPr>
              <w:spacing w:after="0"/>
              <w:rPr>
                <w:sz w:val="17"/>
                <w:szCs w:val="17"/>
                <w:color w:val="auto"/>
              </w:rPr>
            </w:pPr>
          </w:p>
        </w:tc>
        <w:tc>
          <w:tcPr>
            <w:tcW w:w="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2"/>
              </w:rPr>
              <w:t>////</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w:t>
            </w:r>
          </w:p>
        </w:tc>
        <w:tc>
          <w:tcPr>
            <w:tcW w:w="480" w:type="dxa"/>
            <w:vAlign w:val="bottom"/>
          </w:tcPr>
          <w:p>
            <w:pPr>
              <w:spacing w:after="0"/>
              <w:rPr>
                <w:sz w:val="17"/>
                <w:szCs w:val="17"/>
                <w:color w:val="auto"/>
              </w:rPr>
            </w:pPr>
          </w:p>
        </w:tc>
        <w:tc>
          <w:tcPr>
            <w:tcW w:w="1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960" w:type="dxa"/>
            <w:vAlign w:val="bottom"/>
          </w:tcPr>
          <w:p>
            <w:pPr>
              <w:spacing w:after="0"/>
              <w:rPr>
                <w:sz w:val="17"/>
                <w:szCs w:val="17"/>
                <w:color w:val="auto"/>
              </w:rPr>
            </w:pPr>
          </w:p>
        </w:tc>
        <w:tc>
          <w:tcPr>
            <w:tcW w:w="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2"/>
              </w:rPr>
              <w:t>////</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1998</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1999</w:t>
            </w:r>
          </w:p>
        </w:tc>
        <w:tc>
          <w:tcPr>
            <w:tcW w:w="960" w:type="dxa"/>
            <w:vAlign w:val="bottom"/>
          </w:tcPr>
          <w:p>
            <w:pPr>
              <w:spacing w:after="0"/>
              <w:rPr>
                <w:sz w:val="17"/>
                <w:szCs w:val="17"/>
                <w:color w:val="auto"/>
              </w:rPr>
            </w:pPr>
          </w:p>
        </w:tc>
        <w:tc>
          <w:tcPr>
            <w:tcW w:w="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2"/>
              </w:rPr>
              <w:t>2000</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2001</w:t>
            </w:r>
          </w:p>
        </w:tc>
        <w:tc>
          <w:tcPr>
            <w:tcW w:w="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2002E</w:t>
            </w:r>
          </w:p>
        </w:tc>
      </w:tr>
      <w:tr>
        <w:trPr>
          <w:trHeight w:val="405"/>
        </w:trPr>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Cable</w:t>
            </w: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08"/>
        </w:trPr>
        <w:tc>
          <w:tcPr>
            <w:tcW w:w="5260" w:type="dxa"/>
            <w:vAlign w:val="bottom"/>
            <w:gridSpan w:val="8"/>
          </w:tcPr>
          <w:p>
            <w:pPr>
              <w:jc w:val="right"/>
              <w:ind w:right="652"/>
              <w:spacing w:after="0"/>
              <w:rPr>
                <w:sz w:val="20"/>
                <w:szCs w:val="20"/>
                <w:color w:val="auto"/>
              </w:rPr>
            </w:pPr>
            <w:r>
              <w:rPr>
                <w:rFonts w:ascii="Courier New" w:cs="Courier New" w:eastAsia="Courier New" w:hAnsi="Courier New"/>
                <w:sz w:val="18"/>
                <w:szCs w:val="18"/>
                <w:color w:val="auto"/>
              </w:rPr>
              <w:t>...leads to significant FCF generation</w:t>
            </w: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05"/>
        </w:trPr>
        <w:tc>
          <w:tcPr>
            <w:tcW w:w="12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(Millions)</w:t>
            </w: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 $800</w:t>
            </w: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$700</w:t>
            </w: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$600</w:t>
            </w: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$500</w:t>
            </w: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$400</w:t>
            </w:r>
          </w:p>
        </w:tc>
        <w:tc>
          <w:tcPr>
            <w:tcW w:w="480" w:type="dxa"/>
            <w:vAlign w:val="bottom"/>
          </w:tcPr>
          <w:p>
            <w:pPr>
              <w:spacing w:after="0"/>
              <w:rPr>
                <w:sz w:val="17"/>
                <w:szCs w:val="17"/>
                <w:color w:val="auto"/>
              </w:rPr>
            </w:pPr>
          </w:p>
        </w:tc>
        <w:tc>
          <w:tcPr>
            <w:tcW w:w="1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$300</w:t>
            </w:r>
          </w:p>
        </w:tc>
        <w:tc>
          <w:tcPr>
            <w:tcW w:w="480" w:type="dxa"/>
            <w:vAlign w:val="bottom"/>
          </w:tcPr>
          <w:p>
            <w:pPr>
              <w:spacing w:after="0"/>
              <w:rPr>
                <w:sz w:val="17"/>
                <w:szCs w:val="17"/>
                <w:color w:val="auto"/>
              </w:rPr>
            </w:pPr>
          </w:p>
        </w:tc>
        <w:tc>
          <w:tcPr>
            <w:tcW w:w="1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w:t>
            </w:r>
          </w:p>
        </w:tc>
        <w:tc>
          <w:tcPr>
            <w:tcW w:w="420" w:type="dxa"/>
            <w:vAlign w:val="bottom"/>
          </w:tcPr>
          <w:p>
            <w:pPr>
              <w:spacing w:after="0"/>
              <w:rPr>
                <w:sz w:val="17"/>
                <w:szCs w:val="17"/>
                <w:color w:val="auto"/>
              </w:rPr>
            </w:pPr>
          </w:p>
        </w:tc>
        <w:tc>
          <w:tcPr>
            <w:tcW w:w="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w:t>
            </w:r>
          </w:p>
        </w:tc>
        <w:tc>
          <w:tcPr>
            <w:tcW w:w="480" w:type="dxa"/>
            <w:vAlign w:val="bottom"/>
          </w:tcPr>
          <w:p>
            <w:pPr>
              <w:spacing w:after="0"/>
              <w:rPr>
                <w:sz w:val="17"/>
                <w:szCs w:val="17"/>
                <w:color w:val="auto"/>
              </w:rPr>
            </w:pPr>
          </w:p>
        </w:tc>
        <w:tc>
          <w:tcPr>
            <w:tcW w:w="1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w:t>
            </w:r>
          </w:p>
        </w:tc>
        <w:tc>
          <w:tcPr>
            <w:tcW w:w="480" w:type="dxa"/>
            <w:vAlign w:val="bottom"/>
          </w:tcPr>
          <w:p>
            <w:pPr>
              <w:spacing w:after="0"/>
              <w:rPr>
                <w:sz w:val="17"/>
                <w:szCs w:val="17"/>
                <w:color w:val="auto"/>
              </w:rPr>
            </w:pPr>
          </w:p>
        </w:tc>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w w:val="73"/>
              </w:rPr>
              <w:t>/</w:t>
            </w: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78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78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1998</w:t>
            </w:r>
          </w:p>
        </w:tc>
        <w:tc>
          <w:tcPr>
            <w:tcW w:w="1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1999</w:t>
            </w:r>
          </w:p>
        </w:tc>
        <w:tc>
          <w:tcPr>
            <w:tcW w:w="26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2000</w:t>
            </w:r>
          </w:p>
        </w:tc>
        <w:tc>
          <w:tcPr>
            <w:tcW w:w="138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2001</w:t>
            </w:r>
          </w:p>
        </w:tc>
        <w:tc>
          <w:tcPr>
            <w:tcW w:w="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2002E</w:t>
            </w: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jc w:val="both"/>
        <w:ind w:right="2419"/>
        <w:spacing w:after="0" w:line="236" w:lineRule="auto"/>
        <w:rPr>
          <w:sz w:val="20"/>
          <w:szCs w:val="20"/>
          <w:color w:val="auto"/>
        </w:rPr>
      </w:pPr>
      <w:r>
        <w:rPr>
          <w:rFonts w:ascii="Courier New" w:cs="Courier New" w:eastAsia="Courier New" w:hAnsi="Courier New"/>
          <w:sz w:val="18"/>
          <w:szCs w:val="18"/>
          <w:color w:val="auto"/>
        </w:rPr>
        <w:t>Free Cash Flow = EBITDA - Cap Ex - Interest Expense - Cash Taxes. Excludes One-Time Tax Payments, OCF losses from Business Telephony Initiatives and High-Speed Internet Transition Costs</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Deutsche Bank</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June 4,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LOGO</w:t>
      </w:r>
    </w:p>
    <w:p>
      <w:pPr>
        <w:sectPr>
          <w:pgSz w:w="11900" w:h="16838" w:orient="portrait"/>
          <w:cols w:equalWidth="0" w:num="2">
            <w:col w:w="6340" w:space="720"/>
            <w:col w:w="3159"/>
          </w:cols>
          <w:pgMar w:left="240" w:top="717" w:right="1440" w:bottom="1440" w:gutter="0" w:footer="0" w:header="0"/>
          <w:type w:val="continuous"/>
        </w:sectPr>
      </w:pPr>
    </w:p>
    <w:bookmarkStart w:id="27" w:name="page28"/>
    <w:bookmarkEnd w:id="27"/>
    <w:p>
      <w:pPr>
        <w:jc w:val="right"/>
        <w:ind w:right="8519"/>
        <w:spacing w:after="0"/>
        <w:rPr>
          <w:sz w:val="20"/>
          <w:szCs w:val="20"/>
          <w:color w:val="auto"/>
        </w:rPr>
      </w:pPr>
      <w:r>
        <w:rPr>
          <w:rFonts w:ascii="Courier New" w:cs="Courier New" w:eastAsia="Courier New" w:hAnsi="Courier New"/>
          <w:sz w:val="16"/>
          <w:szCs w:val="16"/>
          <w:color w:val="auto"/>
        </w:rPr>
        <w:t>AT&amp;T COMCAST (R)</w:t>
      </w:r>
    </w:p>
    <w:p>
      <w:pPr>
        <w:spacing w:after="0" w:line="16" w:lineRule="exact"/>
        <w:rPr>
          <w:sz w:val="20"/>
          <w:szCs w:val="20"/>
          <w:color w:val="auto"/>
        </w:rPr>
      </w:pPr>
    </w:p>
    <w:p>
      <w:pPr>
        <w:jc w:val="right"/>
        <w:ind w:right="8519"/>
        <w:spacing w:after="0"/>
        <w:rPr>
          <w:sz w:val="20"/>
          <w:szCs w:val="20"/>
          <w:color w:val="auto"/>
        </w:rPr>
      </w:pPr>
      <w:r>
        <w:rPr>
          <w:rFonts w:ascii="Courier New" w:cs="Courier New" w:eastAsia="Courier New" w:hAnsi="Courier New"/>
          <w:sz w:val="18"/>
          <w:szCs w:val="18"/>
          <w:color w:val="auto"/>
        </w:rPr>
        <w:t>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Financially Strong and</w:t>
      </w:r>
    </w:p>
    <w:p>
      <w:pPr>
        <w:ind w:left="740"/>
        <w:spacing w:after="0" w:line="238" w:lineRule="auto"/>
        <w:rPr>
          <w:sz w:val="20"/>
          <w:szCs w:val="20"/>
          <w:color w:val="auto"/>
        </w:rPr>
      </w:pPr>
      <w:r>
        <w:rPr>
          <w:rFonts w:ascii="Courier New" w:cs="Courier New" w:eastAsia="Courier New" w:hAnsi="Courier New"/>
          <w:sz w:val="18"/>
          <w:szCs w:val="18"/>
          <w:color w:val="auto"/>
        </w:rPr>
        <w:t>Positioned for Growth</w:t>
      </w:r>
    </w:p>
    <w:p>
      <w:pPr>
        <w:spacing w:after="0" w:line="202" w:lineRule="exact"/>
        <w:rPr>
          <w:sz w:val="20"/>
          <w:szCs w:val="20"/>
          <w:color w:val="auto"/>
        </w:rPr>
      </w:pPr>
    </w:p>
    <w:p>
      <w:pPr>
        <w:ind w:left="640" w:hanging="316"/>
        <w:spacing w:after="0"/>
        <w:tabs>
          <w:tab w:leader="none" w:pos="6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Free Cash Flow Generation</w:t>
      </w:r>
    </w:p>
    <w:p>
      <w:pPr>
        <w:spacing w:after="0" w:line="201" w:lineRule="exact"/>
        <w:rPr>
          <w:rFonts w:ascii="Courier New" w:cs="Courier New" w:eastAsia="Courier New" w:hAnsi="Courier New"/>
          <w:sz w:val="18"/>
          <w:szCs w:val="18"/>
          <w:color w:val="auto"/>
        </w:rPr>
      </w:pPr>
    </w:p>
    <w:p>
      <w:pPr>
        <w:ind w:left="640" w:hanging="316"/>
        <w:spacing w:after="0"/>
        <w:tabs>
          <w:tab w:leader="none" w:pos="6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Grade Rating</w:t>
      </w:r>
    </w:p>
    <w:p>
      <w:pPr>
        <w:spacing w:after="0" w:line="206" w:lineRule="exact"/>
        <w:rPr>
          <w:rFonts w:ascii="Courier New" w:cs="Courier New" w:eastAsia="Courier New" w:hAnsi="Courier New"/>
          <w:sz w:val="18"/>
          <w:szCs w:val="18"/>
          <w:color w:val="auto"/>
        </w:rPr>
      </w:pPr>
    </w:p>
    <w:p>
      <w:pPr>
        <w:ind w:left="3060" w:right="4939" w:hanging="2736"/>
        <w:spacing w:after="0" w:line="558" w:lineRule="auto"/>
        <w:tabs>
          <w:tab w:leader="none" w:pos="637"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Building Long Term Shareholder Value Unlimited Opportunity</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Deutsche Bank</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June 4,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LOGO</w:t>
      </w:r>
    </w:p>
    <w:p>
      <w:pPr>
        <w:sectPr>
          <w:pgSz w:w="11900" w:h="16838" w:orient="portrait"/>
          <w:cols w:equalWidth="0" w:num="2">
            <w:col w:w="6340" w:space="720"/>
            <w:col w:w="3159"/>
          </w:cols>
          <w:pgMar w:left="240" w:top="723" w:right="1440" w:bottom="1440" w:gutter="0" w:footer="0" w:header="0"/>
          <w:type w:val="continuous"/>
        </w:sectPr>
      </w:pPr>
    </w:p>
    <w:bookmarkStart w:id="28" w:name="page29"/>
    <w:bookmarkEnd w:id="28"/>
    <w:p>
      <w:pPr>
        <w:ind w:left="2380"/>
        <w:spacing w:after="0"/>
        <w:rPr>
          <w:sz w:val="20"/>
          <w:szCs w:val="20"/>
          <w:color w:val="auto"/>
        </w:rPr>
      </w:pPr>
      <w:r>
        <w:rPr>
          <w:rFonts w:ascii="Courier New" w:cs="Courier New" w:eastAsia="Courier New" w:hAnsi="Courier New"/>
          <w:sz w:val="16"/>
          <w:szCs w:val="16"/>
          <w:color w:val="auto"/>
        </w:rPr>
        <w:t>Comcast (R)</w:t>
      </w:r>
    </w:p>
    <w:p>
      <w:pPr>
        <w:sectPr>
          <w:pgSz w:w="11900" w:h="16838" w:orient="portrait"/>
          <w:cols w:equalWidth="0" w:num="1">
            <w:col w:w="9019"/>
          </w:cols>
          <w:pgMar w:left="1440" w:top="925" w:right="1440" w:bottom="1440" w:gutter="0" w:footer="0" w:header="0"/>
        </w:sectPr>
      </w:pPr>
    </w:p>
    <w:bookmarkStart w:id="29" w:name="page30"/>
    <w:bookmarkEnd w:id="29"/>
    <w:p>
      <w:pPr>
        <w:ind w:left="320"/>
        <w:spacing w:after="0"/>
        <w:rPr>
          <w:sz w:val="20"/>
          <w:szCs w:val="20"/>
          <w:color w:val="auto"/>
        </w:rPr>
      </w:pPr>
      <w:r>
        <w:rPr>
          <w:rFonts w:ascii="Courier New" w:cs="Courier New" w:eastAsia="Courier New" w:hAnsi="Courier New"/>
          <w:sz w:val="18"/>
          <w:szCs w:val="18"/>
          <w:color w:val="auto"/>
        </w:rPr>
        <w:t>Note: The following notice is included to meet certain legal requirements:</w:t>
      </w:r>
    </w:p>
    <w:p>
      <w:pPr>
        <w:spacing w:after="0" w:line="200" w:lineRule="exact"/>
        <w:rPr>
          <w:sz w:val="20"/>
          <w:szCs w:val="20"/>
          <w:color w:val="auto"/>
        </w:rPr>
      </w:pPr>
    </w:p>
    <w:p>
      <w:pPr>
        <w:spacing w:after="0" w:line="204"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FORWARD-LOOKING STATEMENTS</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The enclosed information contains forward-looking statements within the meaning of the "safe harbor" provisions of the United States Private Securities Litigation Reform Act of 1995. Investors are cautioned that such forward-looking statements with respect to revenues, earnings, performance, strategies, prospects and other aspects of the businesses of AT&amp;T Corp. ("AT&amp;T"), Comcast Corporation ("Comcast") and, after the completion of the proposed transaction between AT&amp;T and Comcast, AT&amp;T Comcast Corporation ("AT&amp;T Comcast") are based on current expectations that are subject to risks and uncertainties. A number of factors could cause actual results or outcomes to differ materially from those indicated by such forward-looking statements. These factors include, but are not limited to, risks and uncertainties set forth in AT&amp;T's, Comcast's and AT&amp;T Comcast's filings with the Securities and Exchange Commission ("SEC"), including risks and uncertainties relating to: failure to obtain and retain expected synergies from the proposed transaction, delays in obtaining, or adverse conditions contained in, any required regulatory approvals, changes in laws or regulations, availability and cost of capital and other similar factors. Readers are referred to AT&amp;T's and Comcast's most recent reports filed with the SEC. AT&amp;T, Comcast and AT&amp;T Comcast are under no obligation to (and expressly disclaim any such obligation to) update or alter their forward-looking statements whether as a result of new information, future events or otherwise.</w:t>
      </w:r>
    </w:p>
    <w:p>
      <w:pPr>
        <w:spacing w:after="0" w:line="200" w:lineRule="exact"/>
        <w:rPr>
          <w:sz w:val="20"/>
          <w:szCs w:val="20"/>
          <w:color w:val="auto"/>
        </w:rPr>
      </w:pPr>
    </w:p>
    <w:p>
      <w:pPr>
        <w:spacing w:after="0" w:line="207"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ADDITIONAL INFORMATION</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In connection with the proposed transaction, AT&amp;T, Comcast and AT&amp;T Comcast have filed a joint proxy statement/prospectus with the SEC. INVESTORS AND SECURITY HOLDERS ARE URGED TO CAREFULLY READ THE JOINT PROXY STATEMENT/PROSPECTUS REGARDING THE PROPOSED TRANSACTION BECAUSE IT CONTAINS IMPORTANT INFORMATION. Investors and security holders may obtain a free copy of the joint proxy statement/prospectus and other documents containing information about AT&amp;T, Comcast and AT&amp;T Comcast, without charge, at the SEC's web site at http://www.sec.gov. Free copies of AT&amp;T's filings may be obtained by directing a request to AT&amp;T Corp., 295 North Maple Avenue, Basking Ridge, N.J. 07920, Attention: Investor Relations. Free copies of Comcast's and AT&amp;T Comcast's filings may be obtained by directing a request to Comcast Corporation, 1500 Market Street, Philadelphia, Pennsylvania 19102-2148, Attention: General Counsel.</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Comcast and their respective directors, executive officers and other members of their management and employees may be soliciting proxies from their respective stockholders in connection with the proposed transaction. Information concerning Comcast's participants in the solicitation is contained in a filing made by Comcast with the Commission pursuant to Rule 14a-12 on July 9, 2001.</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decimal"/>
      <w:start w:val="1"/>
    </w:lvl>
  </w:abstractNum>
  <w:abstractNum w:abstractNumId="1">
    <w:nsid w:val="66EF438D"/>
    <w:multiLevelType w:val="hybridMultilevel"/>
    <w:lvl w:ilvl="0">
      <w:lvlJc w:val="left"/>
      <w:lvlText w:val="(%1)"/>
      <w:numFmt w:val="decimal"/>
      <w:start w:val="8"/>
    </w:lvl>
  </w:abstractNum>
  <w:abstractNum w:abstractNumId="2">
    <w:nsid w:val="140E0F76"/>
    <w:multiLevelType w:val="hybridMultilevel"/>
    <w:lvl w:ilvl="0">
      <w:lvlJc w:val="left"/>
      <w:lvlText w:val="(%1)"/>
      <w:numFmt w:val="decimal"/>
      <w:start w:val="1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o"/>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o"/>
      <w:numFmt w:val="bullet"/>
      <w:start w:val="1"/>
    </w:lvl>
  </w:abstractNum>
  <w:abstractNum w:abstractNumId="8">
    <w:nsid w:val="41A7C4C9"/>
    <w:multiLevelType w:val="hybridMultilevel"/>
    <w:lvl w:ilvl="0">
      <w:lvlJc w:val="left"/>
      <w:lvlText w:val="o"/>
      <w:numFmt w:val="bullet"/>
      <w:start w:val="1"/>
    </w:lvl>
  </w:abstractNum>
  <w:abstractNum w:abstractNumId="9">
    <w:nsid w:val="6B68079A"/>
    <w:multiLevelType w:val="hybridMultilevel"/>
    <w:lvl w:ilvl="0">
      <w:lvlJc w:val="left"/>
      <w:lvlText w:val="o"/>
      <w:numFmt w:val="bullet"/>
      <w:start w:val="1"/>
    </w:lvl>
  </w:abstractNum>
  <w:abstractNum w:abstractNumId="10">
    <w:nsid w:val="4E6AFB66"/>
    <w:multiLevelType w:val="hybridMultilevel"/>
    <w:lvl w:ilvl="0">
      <w:lvlJc w:val="left"/>
      <w:lvlText w:val="o"/>
      <w:numFmt w:val="bullet"/>
      <w:start w:val="1"/>
    </w:lvl>
  </w:abstractNum>
  <w:abstractNum w:abstractNumId="11">
    <w:nsid w:val="25E45D32"/>
    <w:multiLevelType w:val="hybridMultilevel"/>
    <w:lvl w:ilvl="0">
      <w:lvlJc w:val="left"/>
      <w:lvlText w:val="o"/>
      <w:numFmt w:val="bullet"/>
      <w:start w:val="1"/>
    </w:lvl>
  </w:abstractNum>
  <w:abstractNum w:abstractNumId="12">
    <w:nsid w:val="519B500D"/>
    <w:multiLevelType w:val="hybridMultilevel"/>
    <w:lvl w:ilvl="0">
      <w:lvlJc w:val="left"/>
      <w:lvlText w:val="o"/>
      <w:numFmt w:val="bullet"/>
      <w:start w:val="1"/>
    </w:lvl>
  </w:abstractNum>
  <w:abstractNum w:abstractNumId="13">
    <w:nsid w:val="431BD7B7"/>
    <w:multiLevelType w:val="hybridMultilevel"/>
    <w:lvl w:ilvl="0">
      <w:lvlJc w:val="left"/>
      <w:lvlText w:val="o"/>
      <w:numFmt w:val="bullet"/>
      <w:start w:val="1"/>
    </w:lvl>
  </w:abstractNum>
  <w:abstractNum w:abstractNumId="14">
    <w:nsid w:val="3F2DBA31"/>
    <w:multiLevelType w:val="hybridMultilevel"/>
    <w:lvl w:ilvl="0">
      <w:lvlJc w:val="left"/>
      <w:lvlText w:val="o"/>
      <w:numFmt w:val="bullet"/>
      <w:start w:val="1"/>
    </w:lvl>
  </w:abstractNum>
  <w:abstractNum w:abstractNumId="15">
    <w:nsid w:val="7C83E458"/>
    <w:multiLevelType w:val="hybridMultilevel"/>
    <w:lvl w:ilvl="0">
      <w:lvlJc w:val="left"/>
      <w:lvlText w:val="o"/>
      <w:numFmt w:val="bullet"/>
      <w:start w:val="1"/>
    </w:lvl>
  </w:abstractNum>
  <w:abstractNum w:abstractNumId="16">
    <w:nsid w:val="257130A3"/>
    <w:multiLevelType w:val="hybridMultilevel"/>
    <w:lvl w:ilvl="0">
      <w:lvlJc w:val="left"/>
      <w:lvlText w:val="o"/>
      <w:numFmt w:val="bullet"/>
      <w:start w:val="1"/>
    </w:lvl>
  </w:abstractNum>
  <w:abstractNum w:abstractNumId="17">
    <w:nsid w:val="62BBD95A"/>
    <w:multiLevelType w:val="hybridMultilevel"/>
    <w:lvl w:ilvl="0">
      <w:lvlJc w:val="left"/>
      <w:lvlText w:val="o"/>
      <w:numFmt w:val="bullet"/>
      <w:start w:val="1"/>
    </w:lvl>
  </w:abstractNum>
  <w:abstractNum w:abstractNumId="18">
    <w:nsid w:val="436C6125"/>
    <w:multiLevelType w:val="hybridMultilevel"/>
    <w:lvl w:ilvl="0">
      <w:lvlJc w:val="left"/>
      <w:lvlText w:val="o"/>
      <w:numFmt w:val="bullet"/>
      <w:start w:val="1"/>
    </w:lvl>
  </w:abstractNum>
  <w:abstractNum w:abstractNumId="19">
    <w:nsid w:val="628C895D"/>
    <w:multiLevelType w:val="hybridMultilevel"/>
    <w:lvl w:ilvl="0">
      <w:lvlJc w:val="left"/>
      <w:lvlText w:val="1"/>
      <w:numFmt w:val="bullet"/>
      <w:start w:val="1"/>
    </w:lvl>
  </w:abstractNum>
  <w:abstractNum w:abstractNumId="20">
    <w:nsid w:val="333AB105"/>
    <w:multiLevelType w:val="hybridMultilevel"/>
    <w:lvl w:ilvl="0">
      <w:lvlJc w:val="left"/>
      <w:lvlText w:val="2"/>
      <w:numFmt w:val="bullet"/>
      <w:start w:val="1"/>
    </w:lvl>
  </w:abstractNum>
  <w:abstractNum w:abstractNumId="21">
    <w:nsid w:val="721DA317"/>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2019-12-15T07:06:31Z</dcterms:created>
  <dcterms:modified xsi:type="dcterms:W3CDTF">2019-12-15T07:06:31Z</dcterms:modified>
</cp:coreProperties>
</file>