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350"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63" w:lineRule="exact"/>
        <w:rPr>
          <w:sz w:val="24"/>
          <w:szCs w:val="24"/>
          <w:color w:val="auto"/>
        </w:rPr>
      </w:pPr>
    </w:p>
    <w:p>
      <w:pPr>
        <w:ind w:left="35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186690</wp:posOffset>
            </wp:positionV>
            <wp:extent cx="1397635" cy="488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ind w:left="6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Registrant; State of</w:t>
      </w:r>
    </w:p>
    <w:p>
      <w:pPr>
        <w:spacing w:after="0" w:line="15" w:lineRule="exact"/>
        <w:rPr>
          <w:sz w:val="24"/>
          <w:szCs w:val="24"/>
          <w:color w:val="auto"/>
        </w:rPr>
      </w:pPr>
    </w:p>
    <w:p>
      <w:pPr>
        <w:jc w:val="center"/>
        <w:ind w:right="860"/>
        <w:spacing w:after="0"/>
        <w:rPr>
          <w:sz w:val="20"/>
          <w:szCs w:val="20"/>
          <w:color w:val="auto"/>
        </w:rPr>
      </w:pPr>
      <w:r>
        <w:rPr>
          <w:rFonts w:ascii="Arial" w:cs="Arial" w:eastAsia="Arial" w:hAnsi="Arial"/>
          <w:sz w:val="15"/>
          <w:szCs w:val="15"/>
          <w:color w:val="auto"/>
        </w:rPr>
        <w:t>Incorporation; Address and Telephone</w:t>
      </w:r>
    </w:p>
    <w:p>
      <w:pPr>
        <w:spacing w:after="0" w:line="44"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spacing w:after="0"/>
        <w:rPr>
          <w:sz w:val="20"/>
          <w:szCs w:val="20"/>
          <w:color w:val="auto"/>
        </w:rPr>
      </w:pPr>
      <w:r>
        <w:rPr>
          <w:rFonts w:ascii="Arial" w:cs="Arial" w:eastAsia="Arial" w:hAnsi="Arial"/>
          <w:sz w:val="16"/>
          <w:szCs w:val="16"/>
          <w:color w:val="auto"/>
        </w:rPr>
        <w:t>I.R.S. Employer Identification No.</w:t>
      </w:r>
    </w:p>
    <w:p>
      <w:pPr>
        <w:spacing w:after="0" w:line="38" w:lineRule="exact"/>
        <w:rPr>
          <w:sz w:val="24"/>
          <w:szCs w:val="24"/>
          <w:color w:val="auto"/>
        </w:rPr>
      </w:pPr>
    </w:p>
    <w:p>
      <w:pPr>
        <w:sectPr>
          <w:pgSz w:w="11900" w:h="16838" w:orient="portrait"/>
          <w:cols w:equalWidth="0" w:num="3">
            <w:col w:w="3660" w:space="720"/>
            <w:col w:w="3560" w:space="720"/>
            <w:col w:w="2760"/>
          </w:cols>
          <w:pgMar w:left="240" w:top="230" w:right="239" w:bottom="1440" w:gutter="0" w:footer="0" w:header="0"/>
          <w:type w:val="continuous"/>
        </w:sectPr>
      </w:pPr>
    </w:p>
    <w:tbl>
      <w:tblPr>
        <w:tblLayout w:type="fixed"/>
        <w:tblInd w:w="0" w:type="dxa"/>
        <w:tblCellMar>
          <w:top w:w="0" w:type="dxa"/>
          <w:left w:w="0" w:type="dxa"/>
          <w:bottom w:w="0" w:type="dxa"/>
          <w:right w:w="0" w:type="dxa"/>
        </w:tblCellMar>
      </w:tblPr>
      <w:tr>
        <w:trPr>
          <w:trHeight w:val="158"/>
        </w:trPr>
        <w:tc>
          <w:tcPr>
            <w:tcW w:w="2680" w:type="dxa"/>
            <w:vAlign w:val="bottom"/>
            <w:tcBorders>
              <w:top w:val="single" w:sz="8" w:color="auto"/>
            </w:tcBorders>
            <w:vMerge w:val="restart"/>
          </w:tcPr>
          <w:p>
            <w:pPr>
              <w:jc w:val="right"/>
              <w:ind w:right="652"/>
              <w:spacing w:after="0"/>
              <w:rPr>
                <w:sz w:val="20"/>
                <w:szCs w:val="20"/>
                <w:color w:val="auto"/>
              </w:rPr>
            </w:pPr>
            <w:r>
              <w:rPr>
                <w:rFonts w:ascii="Arial" w:cs="Arial" w:eastAsia="Arial" w:hAnsi="Arial"/>
                <w:sz w:val="18"/>
                <w:szCs w:val="18"/>
                <w:b w:val="1"/>
                <w:bCs w:val="1"/>
                <w:color w:val="auto"/>
              </w:rPr>
              <w:t>001-32871</w:t>
            </w:r>
          </w:p>
        </w:tc>
        <w:tc>
          <w:tcPr>
            <w:tcW w:w="606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8"/>
                <w:szCs w:val="18"/>
                <w:b w:val="1"/>
                <w:bCs w:val="1"/>
                <w:color w:val="auto"/>
              </w:rPr>
              <w:t>COMCAST CORPORATION</w:t>
            </w:r>
          </w:p>
        </w:tc>
        <w:tc>
          <w:tcPr>
            <w:tcW w:w="2680" w:type="dxa"/>
            <w:vAlign w:val="bottom"/>
            <w:tcBorders>
              <w:top w:val="single" w:sz="8" w:color="auto"/>
            </w:tcBorders>
            <w:vMerge w:val="restart"/>
          </w:tcPr>
          <w:p>
            <w:pPr>
              <w:jc w:val="right"/>
              <w:ind w:right="1032"/>
              <w:spacing w:after="0"/>
              <w:rPr>
                <w:sz w:val="20"/>
                <w:szCs w:val="20"/>
                <w:color w:val="auto"/>
              </w:rPr>
            </w:pPr>
            <w:r>
              <w:rPr>
                <w:rFonts w:ascii="Arial" w:cs="Arial" w:eastAsia="Arial" w:hAnsi="Arial"/>
                <w:sz w:val="18"/>
                <w:szCs w:val="18"/>
                <w:b w:val="1"/>
                <w:bCs w:val="1"/>
                <w:color w:val="auto"/>
              </w:rPr>
              <w:t>27-0000798</w:t>
            </w:r>
          </w:p>
        </w:tc>
        <w:tc>
          <w:tcPr>
            <w:tcW w:w="0" w:type="dxa"/>
            <w:vAlign w:val="bottom"/>
          </w:tcPr>
          <w:p>
            <w:pPr>
              <w:spacing w:after="0"/>
              <w:rPr>
                <w:sz w:val="1"/>
                <w:szCs w:val="1"/>
                <w:color w:val="auto"/>
              </w:rPr>
            </w:pPr>
          </w:p>
        </w:tc>
      </w:tr>
      <w:tr>
        <w:trPr>
          <w:trHeight w:val="71"/>
        </w:trPr>
        <w:tc>
          <w:tcPr>
            <w:tcW w:w="2680" w:type="dxa"/>
            <w:vAlign w:val="bottom"/>
            <w:vMerge w:val="continue"/>
          </w:tcPr>
          <w:p>
            <w:pPr>
              <w:spacing w:after="0"/>
              <w:rPr>
                <w:sz w:val="6"/>
                <w:szCs w:val="6"/>
                <w:color w:val="auto"/>
              </w:rPr>
            </w:pPr>
          </w:p>
        </w:tc>
        <w:tc>
          <w:tcPr>
            <w:tcW w:w="6060" w:type="dxa"/>
            <w:vAlign w:val="bottom"/>
          </w:tcPr>
          <w:p>
            <w:pPr>
              <w:spacing w:after="0"/>
              <w:rPr>
                <w:sz w:val="6"/>
                <w:szCs w:val="6"/>
                <w:color w:val="auto"/>
              </w:rPr>
            </w:pPr>
          </w:p>
        </w:tc>
        <w:tc>
          <w:tcPr>
            <w:tcW w:w="2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3"/>
        </w:trPr>
        <w:tc>
          <w:tcPr>
            <w:tcW w:w="268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Arial" w:cs="Arial" w:eastAsia="Arial" w:hAnsi="Arial"/>
                <w:sz w:val="18"/>
                <w:szCs w:val="18"/>
                <w:b w:val="1"/>
                <w:bCs w:val="1"/>
                <w:color w:val="auto"/>
                <w:w w:val="96"/>
              </w:rPr>
              <w:t>PENNSYLVANIA</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6060" w:type="dxa"/>
            <w:vAlign w:val="bottom"/>
          </w:tcPr>
          <w:p>
            <w:pPr>
              <w:jc w:val="center"/>
              <w:spacing w:after="0"/>
              <w:rPr>
                <w:sz w:val="20"/>
                <w:szCs w:val="20"/>
                <w:color w:val="auto"/>
              </w:rPr>
            </w:pPr>
            <w:r>
              <w:rPr>
                <w:rFonts w:ascii="Arial" w:cs="Arial" w:eastAsia="Arial" w:hAnsi="Arial"/>
                <w:sz w:val="18"/>
                <w:szCs w:val="18"/>
                <w:b w:val="1"/>
                <w:bCs w:val="1"/>
                <w:color w:val="auto"/>
                <w:w w:val="88"/>
              </w:rPr>
              <w:t>One Comcast Center</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6060" w:type="dxa"/>
            <w:vAlign w:val="bottom"/>
          </w:tcPr>
          <w:p>
            <w:pPr>
              <w:jc w:val="center"/>
              <w:spacing w:after="0"/>
              <w:rPr>
                <w:sz w:val="20"/>
                <w:szCs w:val="20"/>
                <w:color w:val="auto"/>
              </w:rPr>
            </w:pPr>
            <w:r>
              <w:rPr>
                <w:rFonts w:ascii="Arial" w:cs="Arial" w:eastAsia="Arial" w:hAnsi="Arial"/>
                <w:sz w:val="18"/>
                <w:szCs w:val="18"/>
                <w:b w:val="1"/>
                <w:bCs w:val="1"/>
                <w:color w:val="auto"/>
                <w:w w:val="88"/>
              </w:rPr>
              <w:t>Philadelphia, PA 19103-2838</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680" w:type="dxa"/>
            <w:vAlign w:val="bottom"/>
          </w:tcPr>
          <w:p>
            <w:pPr>
              <w:spacing w:after="0"/>
              <w:rPr>
                <w:sz w:val="19"/>
                <w:szCs w:val="19"/>
                <w:color w:val="auto"/>
              </w:rPr>
            </w:pPr>
          </w:p>
        </w:tc>
        <w:tc>
          <w:tcPr>
            <w:tcW w:w="6060" w:type="dxa"/>
            <w:vAlign w:val="bottom"/>
          </w:tcPr>
          <w:p>
            <w:pPr>
              <w:jc w:val="center"/>
              <w:spacing w:after="0"/>
              <w:rPr>
                <w:sz w:val="20"/>
                <w:szCs w:val="20"/>
                <w:color w:val="auto"/>
              </w:rPr>
            </w:pPr>
            <w:r>
              <w:rPr>
                <w:rFonts w:ascii="Arial" w:cs="Arial" w:eastAsia="Arial" w:hAnsi="Arial"/>
                <w:sz w:val="18"/>
                <w:szCs w:val="18"/>
                <w:b w:val="1"/>
                <w:bCs w:val="1"/>
                <w:color w:val="auto"/>
                <w:w w:val="89"/>
              </w:rPr>
              <w:t>(215) 286-1700</w:t>
            </w: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680" w:type="dxa"/>
            <w:vAlign w:val="bottom"/>
            <w:vMerge w:val="restart"/>
          </w:tcPr>
          <w:p>
            <w:pPr>
              <w:jc w:val="right"/>
              <w:ind w:right="652"/>
              <w:spacing w:after="0"/>
              <w:rPr>
                <w:sz w:val="20"/>
                <w:szCs w:val="20"/>
                <w:color w:val="auto"/>
              </w:rPr>
            </w:pPr>
            <w:r>
              <w:rPr>
                <w:rFonts w:ascii="Arial" w:cs="Arial" w:eastAsia="Arial" w:hAnsi="Arial"/>
                <w:sz w:val="18"/>
                <w:szCs w:val="18"/>
                <w:b w:val="1"/>
                <w:bCs w:val="1"/>
                <w:color w:val="auto"/>
              </w:rPr>
              <w:t>001-36438</w:t>
            </w:r>
          </w:p>
        </w:tc>
        <w:tc>
          <w:tcPr>
            <w:tcW w:w="6060" w:type="dxa"/>
            <w:vAlign w:val="bottom"/>
          </w:tcPr>
          <w:p>
            <w:pPr>
              <w:jc w:val="center"/>
              <w:spacing w:after="0" w:line="286" w:lineRule="exact"/>
              <w:rPr>
                <w:sz w:val="20"/>
                <w:szCs w:val="20"/>
                <w:color w:val="auto"/>
              </w:rPr>
            </w:pPr>
            <w:r>
              <w:rPr>
                <w:rFonts w:ascii="Arial" w:cs="Arial" w:eastAsia="Arial" w:hAnsi="Arial"/>
                <w:sz w:val="32"/>
                <w:szCs w:val="32"/>
                <w:b w:val="1"/>
                <w:bCs w:val="1"/>
                <w:color w:val="auto"/>
              </w:rPr>
              <w:t>NBCUNIVERSAL MEDIA, LLC</w:t>
            </w:r>
          </w:p>
        </w:tc>
        <w:tc>
          <w:tcPr>
            <w:tcW w:w="2680" w:type="dxa"/>
            <w:vAlign w:val="bottom"/>
            <w:vMerge w:val="restart"/>
          </w:tcPr>
          <w:p>
            <w:pPr>
              <w:jc w:val="right"/>
              <w:ind w:right="1032"/>
              <w:spacing w:after="0"/>
              <w:rPr>
                <w:sz w:val="20"/>
                <w:szCs w:val="20"/>
                <w:color w:val="auto"/>
              </w:rPr>
            </w:pPr>
            <w:r>
              <w:rPr>
                <w:rFonts w:ascii="Arial" w:cs="Arial" w:eastAsia="Arial" w:hAnsi="Arial"/>
                <w:sz w:val="18"/>
                <w:szCs w:val="18"/>
                <w:b w:val="1"/>
                <w:bCs w:val="1"/>
                <w:color w:val="auto"/>
              </w:rPr>
              <w:t>14-1682529</w:t>
            </w:r>
          </w:p>
        </w:tc>
        <w:tc>
          <w:tcPr>
            <w:tcW w:w="0" w:type="dxa"/>
            <w:vAlign w:val="bottom"/>
          </w:tcPr>
          <w:p>
            <w:pPr>
              <w:spacing w:after="0"/>
              <w:rPr>
                <w:sz w:val="1"/>
                <w:szCs w:val="1"/>
                <w:color w:val="auto"/>
              </w:rPr>
            </w:pPr>
          </w:p>
        </w:tc>
      </w:tr>
      <w:tr>
        <w:trPr>
          <w:trHeight w:val="52"/>
        </w:trPr>
        <w:tc>
          <w:tcPr>
            <w:tcW w:w="2680" w:type="dxa"/>
            <w:vAlign w:val="bottom"/>
            <w:vMerge w:val="continue"/>
          </w:tcPr>
          <w:p>
            <w:pPr>
              <w:spacing w:after="0"/>
              <w:rPr>
                <w:sz w:val="4"/>
                <w:szCs w:val="4"/>
                <w:color w:val="auto"/>
              </w:rPr>
            </w:pPr>
          </w:p>
        </w:tc>
        <w:tc>
          <w:tcPr>
            <w:tcW w:w="6060" w:type="dxa"/>
            <w:vAlign w:val="bottom"/>
          </w:tcPr>
          <w:p>
            <w:pPr>
              <w:spacing w:after="0"/>
              <w:rPr>
                <w:sz w:val="4"/>
                <w:szCs w:val="4"/>
                <w:color w:val="auto"/>
              </w:rPr>
            </w:pPr>
          </w:p>
        </w:tc>
        <w:tc>
          <w:tcPr>
            <w:tcW w:w="2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30 Rockefeller Plaza</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NY 10112-0015</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(212) 664-4444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w:t>
      </w:r>
    </w:p>
    <w:p>
      <w:pPr>
        <w:sectPr>
          <w:pgSz w:w="11900" w:h="16838" w:orient="portrait"/>
          <w:cols w:equalWidth="0" w:num="1">
            <w:col w:w="11420"/>
          </w:cols>
          <w:pgMar w:left="240" w:top="230" w:right="239" w:bottom="1440" w:gutter="0" w:footer="0" w:header="0"/>
          <w:type w:val="continuous"/>
        </w:sectPr>
      </w:pPr>
    </w:p>
    <w:p>
      <w:pPr>
        <w:spacing w:after="0" w:line="35" w:lineRule="exact"/>
        <w:rPr>
          <w:sz w:val="24"/>
          <w:szCs w:val="24"/>
          <w:color w:val="auto"/>
        </w:rPr>
      </w:pPr>
    </w:p>
    <w:p>
      <w:pPr>
        <w:ind w:left="3200"/>
        <w:spacing w:after="0"/>
        <w:rPr>
          <w:sz w:val="20"/>
          <w:szCs w:val="20"/>
          <w:color w:val="auto"/>
        </w:rPr>
      </w:pPr>
      <w:r>
        <w:rPr>
          <w:rFonts w:ascii="Arial" w:cs="Arial" w:eastAsia="Arial" w:hAnsi="Arial"/>
          <w:sz w:val="18"/>
          <w:szCs w:val="18"/>
          <w:color w:val="auto"/>
        </w:rPr>
        <w:t>Comcast Corporation</w:t>
      </w:r>
    </w:p>
    <w:p>
      <w:pPr>
        <w:spacing w:after="0" w:line="15" w:lineRule="exact"/>
        <w:rPr>
          <w:sz w:val="24"/>
          <w:szCs w:val="24"/>
          <w:color w:val="auto"/>
        </w:rPr>
      </w:pPr>
    </w:p>
    <w:p>
      <w:pPr>
        <w:ind w:left="3200"/>
        <w:spacing w:after="0"/>
        <w:rPr>
          <w:sz w:val="20"/>
          <w:szCs w:val="20"/>
          <w:color w:val="auto"/>
        </w:rPr>
      </w:pPr>
      <w:r>
        <w:rPr>
          <w:rFonts w:ascii="Arial" w:cs="Arial" w:eastAsia="Arial" w:hAnsi="Arial"/>
          <w:sz w:val="16"/>
          <w:szCs w:val="16"/>
          <w:color w:val="auto"/>
        </w:rPr>
        <w:t>NBCUniversal Media, LLC</w:t>
      </w:r>
    </w:p>
    <w:p>
      <w:pPr>
        <w:spacing w:after="0" w:line="20" w:lineRule="exact"/>
        <w:rPr>
          <w:sz w:val="24"/>
          <w:szCs w:val="24"/>
          <w:color w:val="auto"/>
        </w:rPr>
      </w:pPr>
      <w:r>
        <w:rPr>
          <w:sz w:val="24"/>
          <w:szCs w:val="24"/>
          <w:color w:val="auto"/>
        </w:rPr>
        <w:br w:type="column"/>
      </w:r>
    </w:p>
    <w:p>
      <w:pPr>
        <w:spacing w:after="0" w:line="189"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56" w:lineRule="exact"/>
        <w:rPr>
          <w:sz w:val="24"/>
          <w:szCs w:val="24"/>
          <w:color w:val="auto"/>
        </w:rPr>
      </w:pPr>
    </w:p>
    <w:p>
      <w:pPr>
        <w:spacing w:after="0" w:line="207"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49" w:lineRule="exact"/>
        <w:rPr>
          <w:sz w:val="24"/>
          <w:szCs w:val="24"/>
          <w:color w:val="auto"/>
        </w:rPr>
      </w:pPr>
    </w:p>
    <w:p>
      <w:pPr>
        <w:sectPr>
          <w:pgSz w:w="11900" w:h="16838" w:orient="portrait"/>
          <w:cols w:equalWidth="0" w:num="2">
            <w:col w:w="6360" w:space="720"/>
            <w:col w:w="4340"/>
          </w:cols>
          <w:pgMar w:left="240" w:top="230" w:right="239" w:bottom="1440" w:gutter="0" w:footer="0" w:header="0"/>
          <w:type w:val="continuous"/>
        </w:sectPr>
      </w:pPr>
    </w:p>
    <w:p>
      <w:pPr>
        <w:jc w:val="both"/>
        <w:spacing w:after="0" w:line="258"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period that the registrant was required to submit and post such files).</w:t>
      </w:r>
    </w:p>
    <w:p>
      <w:pPr>
        <w:sectPr>
          <w:pgSz w:w="11900" w:h="16838" w:orient="portrait"/>
          <w:cols w:equalWidth="0" w:num="1">
            <w:col w:w="11420"/>
          </w:cols>
          <w:pgMar w:left="240" w:top="230" w:right="239" w:bottom="1440" w:gutter="0" w:footer="0" w:header="0"/>
          <w:type w:val="continuous"/>
        </w:sectPr>
      </w:pPr>
    </w:p>
    <w:p>
      <w:pPr>
        <w:spacing w:after="0" w:line="35" w:lineRule="exact"/>
        <w:rPr>
          <w:sz w:val="24"/>
          <w:szCs w:val="24"/>
          <w:color w:val="auto"/>
        </w:rPr>
      </w:pPr>
    </w:p>
    <w:p>
      <w:pPr>
        <w:ind w:left="3200"/>
        <w:spacing w:after="0"/>
        <w:rPr>
          <w:sz w:val="20"/>
          <w:szCs w:val="20"/>
          <w:color w:val="auto"/>
        </w:rPr>
      </w:pPr>
      <w:r>
        <w:rPr>
          <w:rFonts w:ascii="Arial" w:cs="Arial" w:eastAsia="Arial" w:hAnsi="Arial"/>
          <w:sz w:val="18"/>
          <w:szCs w:val="18"/>
          <w:color w:val="auto"/>
        </w:rPr>
        <w:t>Comcast Corporation</w:t>
      </w:r>
    </w:p>
    <w:p>
      <w:pPr>
        <w:spacing w:after="0" w:line="15" w:lineRule="exact"/>
        <w:rPr>
          <w:sz w:val="24"/>
          <w:szCs w:val="24"/>
          <w:color w:val="auto"/>
        </w:rPr>
      </w:pPr>
    </w:p>
    <w:p>
      <w:pPr>
        <w:ind w:left="3200"/>
        <w:spacing w:after="0"/>
        <w:rPr>
          <w:sz w:val="20"/>
          <w:szCs w:val="20"/>
          <w:color w:val="auto"/>
        </w:rPr>
      </w:pPr>
      <w:r>
        <w:rPr>
          <w:rFonts w:ascii="Arial" w:cs="Arial" w:eastAsia="Arial" w:hAnsi="Arial"/>
          <w:sz w:val="16"/>
          <w:szCs w:val="16"/>
          <w:color w:val="auto"/>
        </w:rPr>
        <w:t>NBCUniversal Media, LLC</w:t>
      </w:r>
    </w:p>
    <w:p>
      <w:pPr>
        <w:spacing w:after="0" w:line="20" w:lineRule="exact"/>
        <w:rPr>
          <w:sz w:val="24"/>
          <w:szCs w:val="24"/>
          <w:color w:val="auto"/>
        </w:rPr>
      </w:pPr>
      <w:r>
        <w:rPr>
          <w:sz w:val="24"/>
          <w:szCs w:val="24"/>
          <w:color w:val="auto"/>
        </w:rPr>
        <w:br w:type="column"/>
      </w:r>
    </w:p>
    <w:p>
      <w:pPr>
        <w:spacing w:after="0" w:line="189"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56" w:lineRule="exact"/>
        <w:rPr>
          <w:sz w:val="24"/>
          <w:szCs w:val="24"/>
          <w:color w:val="auto"/>
        </w:rPr>
      </w:pPr>
    </w:p>
    <w:p>
      <w:pPr>
        <w:spacing w:after="0" w:line="207"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49" w:lineRule="exact"/>
        <w:rPr>
          <w:sz w:val="24"/>
          <w:szCs w:val="24"/>
          <w:color w:val="auto"/>
        </w:rPr>
      </w:pPr>
    </w:p>
    <w:p>
      <w:pPr>
        <w:sectPr>
          <w:pgSz w:w="11900" w:h="16838" w:orient="portrait"/>
          <w:cols w:equalWidth="0" w:num="2">
            <w:col w:w="6360" w:space="720"/>
            <w:col w:w="4340"/>
          </w:cols>
          <w:pgMar w:left="240" w:top="230" w:right="239" w:bottom="1440" w:gutter="0" w:footer="0" w:header="0"/>
          <w:type w:val="continuous"/>
        </w:sectPr>
      </w:pPr>
    </w:p>
    <w:p>
      <w:pPr>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33" w:lineRule="exact"/>
        <w:rPr>
          <w:sz w:val="24"/>
          <w:szCs w:val="24"/>
          <w:color w:val="auto"/>
        </w:rPr>
      </w:pPr>
    </w:p>
    <w:p>
      <w:pPr>
        <w:ind w:right="280"/>
        <w:spacing w:after="0" w:line="317" w:lineRule="auto"/>
        <w:rPr>
          <w:sz w:val="20"/>
          <w:szCs w:val="20"/>
          <w:color w:val="auto"/>
        </w:rPr>
      </w:pPr>
      <w:r>
        <w:rPr>
          <w:rFonts w:ascii="Arial" w:cs="Arial" w:eastAsia="Arial" w:hAnsi="Arial"/>
          <w:sz w:val="16"/>
          <w:szCs w:val="16"/>
          <w:color w:val="auto"/>
        </w:rPr>
        <w:t>Comcast Corporation NBCUniversal Media, LLC</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338" w:lineRule="auto"/>
        <w:rPr>
          <w:sz w:val="20"/>
          <w:szCs w:val="20"/>
          <w:color w:val="auto"/>
        </w:rPr>
      </w:pPr>
      <w:r>
        <w:rPr>
          <w:rFonts w:ascii="Arial" w:cs="Arial" w:eastAsia="Arial" w:hAnsi="Arial"/>
          <w:sz w:val="15"/>
          <w:szCs w:val="15"/>
          <w:color w:val="auto"/>
        </w:rPr>
        <w:t>Large accelerated filer Large accelerated filer</w:t>
      </w:r>
    </w:p>
    <w:p>
      <w:pPr>
        <w:spacing w:after="0" w:line="20" w:lineRule="exact"/>
        <w:rPr>
          <w:sz w:val="24"/>
          <w:szCs w:val="24"/>
          <w:color w:val="auto"/>
        </w:rPr>
      </w:pPr>
      <w:r>
        <w:rPr>
          <w:sz w:val="24"/>
          <w:szCs w:val="24"/>
          <w:color w:val="auto"/>
        </w:rPr>
        <w:br w:type="column"/>
      </w:r>
    </w:p>
    <w:p>
      <w:pPr>
        <w:jc w:val="both"/>
        <w:spacing w:after="0" w:line="226"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w:t>
      </w:r>
    </w:p>
    <w:p>
      <w:pPr>
        <w:spacing w:after="0" w:line="20" w:lineRule="exact"/>
        <w:rPr>
          <w:sz w:val="24"/>
          <w:szCs w:val="24"/>
          <w:color w:val="auto"/>
        </w:rPr>
      </w:pPr>
      <w:r>
        <w:rPr>
          <w:sz w:val="24"/>
          <w:szCs w:val="24"/>
          <w:color w:val="auto"/>
        </w:rPr>
        <w:br w:type="column"/>
      </w:r>
    </w:p>
    <w:p>
      <w:pPr>
        <w:jc w:val="both"/>
        <w:spacing w:after="0" w:line="226"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w:t>
      </w:r>
    </w:p>
    <w:p>
      <w:pPr>
        <w:spacing w:after="0" w:line="20" w:lineRule="exact"/>
        <w:rPr>
          <w:sz w:val="24"/>
          <w:szCs w:val="24"/>
          <w:color w:val="auto"/>
        </w:rPr>
      </w:pPr>
      <w:r>
        <w:rPr>
          <w:sz w:val="24"/>
          <w:szCs w:val="24"/>
          <w:color w:val="auto"/>
        </w:rPr>
        <w:br w:type="column"/>
      </w:r>
    </w:p>
    <w:p>
      <w:pPr>
        <w:jc w:val="both"/>
        <w:spacing w:after="0" w:line="226"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3" w:lineRule="exact"/>
        <w:rPr>
          <w:sz w:val="24"/>
          <w:szCs w:val="24"/>
          <w:color w:val="auto"/>
        </w:rPr>
      </w:pPr>
    </w:p>
    <w:p>
      <w:pPr>
        <w:sectPr>
          <w:pgSz w:w="11900" w:h="16838" w:orient="portrait"/>
          <w:cols w:equalWidth="0" w:num="6">
            <w:col w:w="2240" w:space="720"/>
            <w:col w:w="1580" w:space="300"/>
            <w:col w:w="1460" w:space="260"/>
            <w:col w:w="1760" w:space="320"/>
            <w:col w:w="2200" w:space="400"/>
            <w:col w:w="180"/>
          </w:cols>
          <w:pgMar w:left="240" w:top="230" w:right="239" w:bottom="1440" w:gutter="0" w:footer="0" w:header="0"/>
          <w:type w:val="continuous"/>
        </w:sect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Act).</w:t>
      </w:r>
    </w:p>
    <w:p>
      <w:pPr>
        <w:sectPr>
          <w:pgSz w:w="11900" w:h="16838" w:orient="portrait"/>
          <w:cols w:equalWidth="0" w:num="1">
            <w:col w:w="11420"/>
          </w:cols>
          <w:pgMar w:left="240" w:top="230" w:right="239" w:bottom="1440" w:gutter="0" w:footer="0" w:header="0"/>
          <w:type w:val="continuous"/>
        </w:sectPr>
      </w:pPr>
    </w:p>
    <w:p>
      <w:pPr>
        <w:spacing w:after="0" w:line="98" w:lineRule="exact"/>
        <w:rPr>
          <w:sz w:val="24"/>
          <w:szCs w:val="24"/>
          <w:color w:val="auto"/>
        </w:rPr>
      </w:pPr>
    </w:p>
    <w:p>
      <w:pPr>
        <w:ind w:left="3200"/>
        <w:spacing w:after="0"/>
        <w:rPr>
          <w:sz w:val="20"/>
          <w:szCs w:val="20"/>
          <w:color w:val="auto"/>
        </w:rPr>
      </w:pPr>
      <w:r>
        <w:rPr>
          <w:rFonts w:ascii="Arial" w:cs="Arial" w:eastAsia="Arial" w:hAnsi="Arial"/>
          <w:sz w:val="18"/>
          <w:szCs w:val="18"/>
          <w:color w:val="auto"/>
        </w:rPr>
        <w:t>Comcast Corporation</w:t>
      </w:r>
    </w:p>
    <w:p>
      <w:pPr>
        <w:spacing w:after="0" w:line="15" w:lineRule="exact"/>
        <w:rPr>
          <w:sz w:val="24"/>
          <w:szCs w:val="24"/>
          <w:color w:val="auto"/>
        </w:rPr>
      </w:pPr>
    </w:p>
    <w:p>
      <w:pPr>
        <w:ind w:left="3200"/>
        <w:spacing w:after="0"/>
        <w:rPr>
          <w:sz w:val="20"/>
          <w:szCs w:val="20"/>
          <w:color w:val="auto"/>
        </w:rPr>
      </w:pPr>
      <w:r>
        <w:rPr>
          <w:rFonts w:ascii="Arial" w:cs="Arial" w:eastAsia="Arial" w:hAnsi="Arial"/>
          <w:sz w:val="16"/>
          <w:szCs w:val="16"/>
          <w:color w:val="auto"/>
        </w:rPr>
        <w:t>NBCUniversal Media, LLC</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207"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56" w:lineRule="exact"/>
        <w:rPr>
          <w:sz w:val="24"/>
          <w:szCs w:val="24"/>
          <w:color w:val="auto"/>
        </w:rPr>
      </w:pPr>
    </w:p>
    <w:p>
      <w:pPr>
        <w:spacing w:after="0" w:line="207"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49" w:lineRule="exact"/>
        <w:rPr>
          <w:sz w:val="24"/>
          <w:szCs w:val="24"/>
          <w:color w:val="auto"/>
        </w:rPr>
      </w:pPr>
    </w:p>
    <w:p>
      <w:pPr>
        <w:sectPr>
          <w:pgSz w:w="11900" w:h="16838" w:orient="portrait"/>
          <w:cols w:equalWidth="0" w:num="2">
            <w:col w:w="6360" w:space="720"/>
            <w:col w:w="4340"/>
          </w:cols>
          <w:pgMar w:left="240" w:top="230"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stock, as of the latest practical date:</w:t>
      </w:r>
    </w:p>
    <w:p>
      <w:pPr>
        <w:spacing w:after="0" w:line="6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As of March 31, 2015, there were 2,122,916,309 shares of Comcast Corporation Class A common stock, 381,182,478 shares of Comcast Corporation Class A Special common stock and 9,444,375 shares of Comcast Corporation Class B common stock outstanding.</w:t>
      </w:r>
    </w:p>
    <w:p>
      <w:pPr>
        <w:spacing w:after="0" w:line="24" w:lineRule="exact"/>
        <w:rPr>
          <w:sz w:val="24"/>
          <w:szCs w:val="24"/>
          <w:color w:val="auto"/>
        </w:rPr>
      </w:pPr>
    </w:p>
    <w:p>
      <w:pPr>
        <w:spacing w:after="0"/>
        <w:rPr>
          <w:sz w:val="20"/>
          <w:szCs w:val="20"/>
          <w:color w:val="auto"/>
        </w:rPr>
      </w:pPr>
      <w:r>
        <w:rPr>
          <w:rFonts w:ascii="Arial" w:cs="Arial" w:eastAsia="Arial" w:hAnsi="Arial"/>
          <w:sz w:val="18"/>
          <w:szCs w:val="18"/>
          <w:color w:val="auto"/>
        </w:rPr>
        <w:t>Not applicable for NBCUniversal Media, LLC.</w:t>
      </w:r>
    </w:p>
    <w:p>
      <w:pPr>
        <w:spacing w:after="0" w:line="57" w:lineRule="exact"/>
        <w:rPr>
          <w:sz w:val="24"/>
          <w:szCs w:val="24"/>
          <w:color w:val="auto"/>
        </w:rPr>
      </w:pPr>
    </w:p>
    <w:p>
      <w:pPr>
        <w:spacing w:after="0" w:line="275" w:lineRule="auto"/>
        <w:rPr>
          <w:sz w:val="20"/>
          <w:szCs w:val="20"/>
          <w:color w:val="auto"/>
        </w:rPr>
      </w:pPr>
      <w:r>
        <w:rPr>
          <w:rFonts w:ascii="Arial" w:cs="Arial" w:eastAsia="Arial" w:hAnsi="Arial"/>
          <w:sz w:val="18"/>
          <w:szCs w:val="18"/>
          <w:b w:val="1"/>
          <w:bCs w:val="1"/>
          <w:color w:val="auto"/>
        </w:rPr>
        <w:t>NBCUniversal Media, LLC meets the conditions set forth in General Instruction H(1)(a) and (b) of Form 10-Q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540" w:type="dxa"/>
            <w:vAlign w:val="bottom"/>
          </w:tcPr>
          <w:p>
            <w:pPr>
              <w:jc w:val="right"/>
              <w:ind w:right="92"/>
              <w:spacing w:after="0" w:line="152" w:lineRule="exact"/>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860" w:type="dxa"/>
            <w:vAlign w:val="bottom"/>
            <w:gridSpan w:val="20"/>
          </w:tcPr>
          <w:p>
            <w:pPr>
              <w:spacing w:after="0" w:line="129" w:lineRule="exact"/>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PART I. FINANCIAL INFORMATION</w:t>
              </w:r>
            </w:hyperlink>
          </w:p>
        </w:tc>
        <w:tc>
          <w:tcPr>
            <w:tcW w:w="15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80" w:type="dxa"/>
            <w:vAlign w:val="bottom"/>
            <w:tcBorders>
              <w:top w:val="single" w:sz="8" w:color="0000EE"/>
            </w:tcBorders>
            <w:gridSpan w:val="2"/>
          </w:tcPr>
          <w:p>
            <w:pPr>
              <w:ind w:left="800"/>
              <w:spacing w:after="0" w:line="129" w:lineRule="exact"/>
              <w:rPr>
                <w:sz w:val="20"/>
                <w:szCs w:val="20"/>
                <w:color w:val="auto"/>
              </w:rPr>
            </w:pPr>
            <w:r>
              <w:rPr>
                <w:rFonts w:ascii="Arial" w:cs="Arial" w:eastAsia="Arial" w:hAnsi="Arial"/>
                <w:sz w:val="14"/>
                <w:szCs w:val="14"/>
                <w:b w:val="1"/>
                <w:bCs w:val="1"/>
                <w:color w:val="auto"/>
              </w:rPr>
              <w:t>Item 1.</w:t>
            </w:r>
          </w:p>
        </w:tc>
        <w:tc>
          <w:tcPr>
            <w:tcW w:w="500" w:type="dxa"/>
            <w:vAlign w:val="bottom"/>
            <w:tcBorders>
              <w:top w:val="single" w:sz="8" w:color="0000EE"/>
            </w:tcBorders>
            <w:gridSpan w:val="3"/>
          </w:tcPr>
          <w:p>
            <w:pPr>
              <w:spacing w:after="0" w:line="129" w:lineRule="exact"/>
              <w:rPr>
                <w:rFonts w:ascii="Arial" w:cs="Arial" w:eastAsia="Arial" w:hAnsi="Arial"/>
                <w:sz w:val="14"/>
                <w:szCs w:val="14"/>
                <w:color w:val="0000EE"/>
                <w:w w:val="86"/>
              </w:rPr>
            </w:pPr>
            <w:hyperlink w:anchor="page3">
              <w:r>
                <w:rPr>
                  <w:rFonts w:ascii="Arial" w:cs="Arial" w:eastAsia="Arial" w:hAnsi="Arial"/>
                  <w:sz w:val="14"/>
                  <w:szCs w:val="14"/>
                  <w:color w:val="0000EE"/>
                  <w:w w:val="86"/>
                </w:rPr>
                <w:t>Comcast</w:t>
              </w:r>
            </w:hyperlink>
          </w:p>
        </w:tc>
        <w:tc>
          <w:tcPr>
            <w:tcW w:w="7580" w:type="dxa"/>
            <w:vAlign w:val="bottom"/>
            <w:gridSpan w:val="15"/>
          </w:tcPr>
          <w:p>
            <w:pPr>
              <w:spacing w:after="0" w:line="129" w:lineRule="exact"/>
              <w:rPr>
                <w:rFonts w:ascii="Arial" w:cs="Arial" w:eastAsia="Arial" w:hAnsi="Arial"/>
                <w:sz w:val="14"/>
                <w:szCs w:val="14"/>
                <w:color w:val="0000EE"/>
              </w:rPr>
            </w:pPr>
            <w:hyperlink w:anchor="page3">
              <w:r>
                <w:rPr>
                  <w:rFonts w:ascii="Arial" w:cs="Arial" w:eastAsia="Arial" w:hAnsi="Arial"/>
                  <w:sz w:val="14"/>
                  <w:szCs w:val="14"/>
                  <w:color w:val="0000EE"/>
                </w:rPr>
                <w:t>Corporation Financial Statements</w:t>
              </w:r>
            </w:hyperlink>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320" w:type="dxa"/>
            <w:vAlign w:val="bottom"/>
            <w:tcBorders>
              <w:top w:val="single" w:sz="8" w:color="0000EE"/>
              <w:bottom w:val="single" w:sz="8" w:color="0000EE"/>
            </w:tcBorders>
            <w:gridSpan w:val="8"/>
          </w:tcPr>
          <w:p>
            <w:pPr>
              <w:spacing w:after="0" w:line="129" w:lineRule="exact"/>
              <w:rPr>
                <w:rFonts w:ascii="Arial" w:cs="Arial" w:eastAsia="Arial" w:hAnsi="Arial"/>
                <w:sz w:val="14"/>
                <w:szCs w:val="14"/>
                <w:color w:val="0000EE"/>
                <w:w w:val="84"/>
              </w:rPr>
            </w:pPr>
            <w:hyperlink w:anchor="page3">
              <w:r>
                <w:rPr>
                  <w:rFonts w:ascii="Arial" w:cs="Arial" w:eastAsia="Arial" w:hAnsi="Arial"/>
                  <w:sz w:val="14"/>
                  <w:szCs w:val="14"/>
                  <w:color w:val="0000EE"/>
                  <w:w w:val="84"/>
                </w:rPr>
                <w:t>Condensed Consolidated Balance Sheet as</w:t>
              </w:r>
            </w:hyperlink>
          </w:p>
        </w:tc>
        <w:tc>
          <w:tcPr>
            <w:tcW w:w="3020" w:type="dxa"/>
            <w:vAlign w:val="bottom"/>
            <w:tcBorders>
              <w:bottom w:val="single" w:sz="8" w:color="0000EE"/>
            </w:tcBorders>
            <w:gridSpan w:val="5"/>
          </w:tcPr>
          <w:p>
            <w:pPr>
              <w:spacing w:after="0" w:line="129" w:lineRule="exact"/>
              <w:rPr>
                <w:rFonts w:ascii="Arial" w:cs="Arial" w:eastAsia="Arial" w:hAnsi="Arial"/>
                <w:sz w:val="14"/>
                <w:szCs w:val="14"/>
                <w:color w:val="0000EE"/>
                <w:w w:val="87"/>
              </w:rPr>
            </w:pPr>
            <w:hyperlink w:anchor="page3">
              <w:r>
                <w:rPr>
                  <w:rFonts w:ascii="Arial" w:cs="Arial" w:eastAsia="Arial" w:hAnsi="Arial"/>
                  <w:sz w:val="14"/>
                  <w:szCs w:val="14"/>
                  <w:color w:val="0000EE"/>
                  <w:w w:val="87"/>
                </w:rPr>
                <w:t>of March 31, 2015 and December 31, 2014 (Unaudited)</w:t>
              </w:r>
            </w:hyperlink>
          </w:p>
        </w:tc>
        <w:tc>
          <w:tcPr>
            <w:tcW w:w="2740" w:type="dxa"/>
            <w:vAlign w:val="bottom"/>
            <w:gridSpan w:val="5"/>
          </w:tcPr>
          <w:p>
            <w:pPr>
              <w:spacing w:after="0"/>
              <w:rPr>
                <w:sz w:val="11"/>
                <w:szCs w:val="11"/>
                <w:color w:val="auto"/>
              </w:rPr>
            </w:pPr>
          </w:p>
        </w:tc>
        <w:tc>
          <w:tcPr>
            <w:tcW w:w="1540" w:type="dxa"/>
            <w:vAlign w:val="bottom"/>
          </w:tcPr>
          <w:p>
            <w:pPr>
              <w:jc w:val="right"/>
              <w:spacing w:after="0" w:line="12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180" w:type="dxa"/>
            <w:vAlign w:val="bottom"/>
            <w:tcBorders>
              <w:bottom w:val="single" w:sz="8" w:color="0000EE"/>
            </w:tcBorders>
            <w:gridSpan w:val="14"/>
          </w:tcPr>
          <w:p>
            <w:pPr>
              <w:spacing w:after="0" w:line="129" w:lineRule="exact"/>
              <w:rPr>
                <w:rFonts w:ascii="Arial" w:cs="Arial" w:eastAsia="Arial" w:hAnsi="Arial"/>
                <w:sz w:val="14"/>
                <w:szCs w:val="14"/>
                <w:color w:val="0000EE"/>
                <w:w w:val="86"/>
              </w:rPr>
            </w:pPr>
            <w:hyperlink w:anchor="page4">
              <w:r>
                <w:rPr>
                  <w:rFonts w:ascii="Arial" w:cs="Arial" w:eastAsia="Arial" w:hAnsi="Arial"/>
                  <w:sz w:val="14"/>
                  <w:szCs w:val="14"/>
                  <w:color w:val="0000EE"/>
                  <w:w w:val="86"/>
                </w:rPr>
                <w:t>Condensed Consolidated Statement of Income for the Three Months Ended March 31, 2015 and 2014 (Unaudited)</w:t>
              </w:r>
            </w:hyperlink>
          </w:p>
        </w:tc>
        <w:tc>
          <w:tcPr>
            <w:tcW w:w="1900" w:type="dxa"/>
            <w:vAlign w:val="bottom"/>
            <w:gridSpan w:val="4"/>
          </w:tcPr>
          <w:p>
            <w:pPr>
              <w:spacing w:after="0"/>
              <w:rPr>
                <w:sz w:val="11"/>
                <w:szCs w:val="11"/>
                <w:color w:val="auto"/>
              </w:rPr>
            </w:pPr>
          </w:p>
        </w:tc>
        <w:tc>
          <w:tcPr>
            <w:tcW w:w="154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80" w:type="dxa"/>
            <w:vAlign w:val="bottom"/>
            <w:gridSpan w:val="18"/>
          </w:tcPr>
          <w:p>
            <w:pPr>
              <w:spacing w:after="0" w:line="129" w:lineRule="exact"/>
              <w:rPr>
                <w:rFonts w:ascii="Arial" w:cs="Arial" w:eastAsia="Arial" w:hAnsi="Arial"/>
                <w:sz w:val="14"/>
                <w:szCs w:val="14"/>
                <w:color w:val="0000EE"/>
                <w:w w:val="99"/>
              </w:rPr>
            </w:pPr>
            <w:hyperlink w:anchor="page5">
              <w:r>
                <w:rPr>
                  <w:rFonts w:ascii="Arial" w:cs="Arial" w:eastAsia="Arial" w:hAnsi="Arial"/>
                  <w:sz w:val="14"/>
                  <w:szCs w:val="14"/>
                  <w:color w:val="0000EE"/>
                  <w:w w:val="99"/>
                </w:rPr>
                <w:t>Condensed Consolidated Statement of Comprehensive Income for the Three Months Ended March 31, 2015 and 2014 (Unaudited)</w:t>
              </w:r>
            </w:hyperlink>
          </w:p>
        </w:tc>
        <w:tc>
          <w:tcPr>
            <w:tcW w:w="154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60" w:type="dxa"/>
            <w:vAlign w:val="bottom"/>
            <w:tcBorders>
              <w:top w:val="single" w:sz="8" w:color="0000EE"/>
            </w:tcBorders>
            <w:gridSpan w:val="17"/>
          </w:tcPr>
          <w:p>
            <w:pPr>
              <w:spacing w:after="0" w:line="129" w:lineRule="exact"/>
              <w:rPr>
                <w:rFonts w:ascii="Arial" w:cs="Arial" w:eastAsia="Arial" w:hAnsi="Arial"/>
                <w:sz w:val="14"/>
                <w:szCs w:val="14"/>
                <w:color w:val="0000EE"/>
                <w:w w:val="95"/>
              </w:rPr>
            </w:pPr>
            <w:hyperlink w:anchor="page6">
              <w:r>
                <w:rPr>
                  <w:rFonts w:ascii="Arial" w:cs="Arial" w:eastAsia="Arial" w:hAnsi="Arial"/>
                  <w:sz w:val="14"/>
                  <w:szCs w:val="14"/>
                  <w:color w:val="0000EE"/>
                  <w:w w:val="95"/>
                </w:rPr>
                <w:t>Condensed Consolidated Statement of Cash Flows for the Three Months Ended March 31, 2015 and 2014 (Unaudited)</w:t>
              </w:r>
            </w:hyperlink>
          </w:p>
        </w:tc>
        <w:tc>
          <w:tcPr>
            <w:tcW w:w="1020" w:type="dxa"/>
            <w:vAlign w:val="bottom"/>
          </w:tcPr>
          <w:p>
            <w:pPr>
              <w:spacing w:after="0"/>
              <w:rPr>
                <w:sz w:val="11"/>
                <w:szCs w:val="11"/>
                <w:color w:val="auto"/>
              </w:rPr>
            </w:pPr>
          </w:p>
        </w:tc>
        <w:tc>
          <w:tcPr>
            <w:tcW w:w="1540" w:type="dxa"/>
            <w:vAlign w:val="bottom"/>
          </w:tcPr>
          <w:p>
            <w:pPr>
              <w:jc w:val="right"/>
              <w:spacing w:after="0" w:line="12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54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80" w:type="dxa"/>
            <w:vAlign w:val="bottom"/>
            <w:gridSpan w:val="18"/>
          </w:tcPr>
          <w:p>
            <w:pPr>
              <w:spacing w:after="0" w:line="129" w:lineRule="exact"/>
              <w:rPr>
                <w:rFonts w:ascii="Arial" w:cs="Arial" w:eastAsia="Arial" w:hAnsi="Arial"/>
                <w:sz w:val="14"/>
                <w:szCs w:val="14"/>
                <w:color w:val="0000EE"/>
              </w:rPr>
            </w:pPr>
            <w:hyperlink w:anchor="page7">
              <w:r>
                <w:rPr>
                  <w:rFonts w:ascii="Arial" w:cs="Arial" w:eastAsia="Arial" w:hAnsi="Arial"/>
                  <w:sz w:val="14"/>
                  <w:szCs w:val="14"/>
                  <w:color w:val="0000EE"/>
                </w:rPr>
                <w:t>Condensed Consolidated Statement of Changes in Equity for the Three Months Ended March 31, 2015 and 2014 (Unaudited)</w:t>
              </w:r>
            </w:hyperlink>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8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Item 2.</w:t>
            </w:r>
          </w:p>
        </w:tc>
        <w:tc>
          <w:tcPr>
            <w:tcW w:w="6760" w:type="dxa"/>
            <w:vAlign w:val="bottom"/>
            <w:tcBorders>
              <w:top w:val="single" w:sz="8" w:color="0000EE"/>
            </w:tcBorders>
            <w:gridSpan w:val="16"/>
          </w:tcPr>
          <w:p>
            <w:pPr>
              <w:spacing w:after="0" w:line="129" w:lineRule="exact"/>
              <w:rPr>
                <w:rFonts w:ascii="Arial" w:cs="Arial" w:eastAsia="Arial" w:hAnsi="Arial"/>
                <w:sz w:val="14"/>
                <w:szCs w:val="14"/>
                <w:color w:val="0000EE"/>
              </w:rPr>
            </w:pPr>
            <w:hyperlink w:anchor="page8">
              <w:r>
                <w:rPr>
                  <w:rFonts w:ascii="Arial" w:cs="Arial" w:eastAsia="Arial" w:hAnsi="Arial"/>
                  <w:sz w:val="14"/>
                  <w:szCs w:val="14"/>
                  <w:color w:val="0000EE"/>
                </w:rPr>
                <w:t>Notes to Condensed Consolidated Financial Statements (Unaudited)</w:t>
              </w:r>
            </w:hyperlink>
          </w:p>
        </w:tc>
        <w:tc>
          <w:tcPr>
            <w:tcW w:w="1320" w:type="dxa"/>
            <w:vAlign w:val="bottom"/>
            <w:gridSpan w:val="2"/>
          </w:tcPr>
          <w:p>
            <w:pPr>
              <w:spacing w:after="0"/>
              <w:rPr>
                <w:sz w:val="11"/>
                <w:szCs w:val="11"/>
                <w:color w:val="auto"/>
              </w:rPr>
            </w:pPr>
          </w:p>
        </w:tc>
        <w:tc>
          <w:tcPr>
            <w:tcW w:w="1540" w:type="dxa"/>
            <w:vAlign w:val="bottom"/>
          </w:tcPr>
          <w:p>
            <w:pPr>
              <w:jc w:val="right"/>
              <w:spacing w:after="0" w:line="12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80" w:type="dxa"/>
            <w:vAlign w:val="bottom"/>
            <w:gridSpan w:val="2"/>
            <w:vMerge w:val="continue"/>
          </w:tcPr>
          <w:p>
            <w:pPr>
              <w:spacing w:after="0"/>
              <w:rPr>
                <w:sz w:val="11"/>
                <w:szCs w:val="11"/>
                <w:color w:val="auto"/>
              </w:rPr>
            </w:pPr>
          </w:p>
        </w:tc>
        <w:tc>
          <w:tcPr>
            <w:tcW w:w="3680" w:type="dxa"/>
            <w:vAlign w:val="bottom"/>
            <w:tcBorders>
              <w:top w:val="single" w:sz="8" w:color="0000EE"/>
            </w:tcBorders>
            <w:gridSpan w:val="11"/>
          </w:tcPr>
          <w:p>
            <w:pPr>
              <w:spacing w:after="0" w:line="129" w:lineRule="exact"/>
              <w:rPr>
                <w:rFonts w:ascii="Arial" w:cs="Arial" w:eastAsia="Arial" w:hAnsi="Arial"/>
                <w:sz w:val="14"/>
                <w:szCs w:val="14"/>
                <w:color w:val="0000EE"/>
                <w:w w:val="88"/>
              </w:rPr>
            </w:pPr>
            <w:hyperlink w:anchor="page24">
              <w:r>
                <w:rPr>
                  <w:rFonts w:ascii="Arial" w:cs="Arial" w:eastAsia="Arial" w:hAnsi="Arial"/>
                  <w:sz w:val="14"/>
                  <w:szCs w:val="14"/>
                  <w:color w:val="0000EE"/>
                  <w:w w:val="88"/>
                </w:rPr>
                <w:t>Management’s Discussion and Analysis of Financial Condition and</w:t>
              </w:r>
            </w:hyperlink>
          </w:p>
        </w:tc>
        <w:tc>
          <w:tcPr>
            <w:tcW w:w="4400" w:type="dxa"/>
            <w:vAlign w:val="bottom"/>
            <w:gridSpan w:val="7"/>
          </w:tcPr>
          <w:p>
            <w:pPr>
              <w:spacing w:after="0" w:line="129" w:lineRule="exact"/>
              <w:rPr>
                <w:rFonts w:ascii="Arial" w:cs="Arial" w:eastAsia="Arial" w:hAnsi="Arial"/>
                <w:sz w:val="14"/>
                <w:szCs w:val="14"/>
                <w:color w:val="0000EE"/>
              </w:rPr>
            </w:pPr>
            <w:hyperlink w:anchor="page24">
              <w:r>
                <w:rPr>
                  <w:rFonts w:ascii="Arial" w:cs="Arial" w:eastAsia="Arial" w:hAnsi="Arial"/>
                  <w:sz w:val="14"/>
                  <w:szCs w:val="14"/>
                  <w:color w:val="0000EE"/>
                </w:rPr>
                <w:t>Results of Operations</w:t>
              </w:r>
            </w:hyperlink>
          </w:p>
        </w:tc>
        <w:tc>
          <w:tcPr>
            <w:tcW w:w="1540" w:type="dxa"/>
            <w:vAlign w:val="bottom"/>
          </w:tcPr>
          <w:p>
            <w:pPr>
              <w:jc w:val="right"/>
              <w:spacing w:after="0" w:line="12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3.</w:t>
            </w:r>
          </w:p>
        </w:tc>
        <w:tc>
          <w:tcPr>
            <w:tcW w:w="4840" w:type="dxa"/>
            <w:vAlign w:val="bottom"/>
            <w:tcBorders>
              <w:top w:val="single" w:sz="8" w:color="0000EE"/>
            </w:tcBorders>
            <w:gridSpan w:val="12"/>
          </w:tcPr>
          <w:p>
            <w:pPr>
              <w:spacing w:after="0" w:line="129" w:lineRule="exact"/>
              <w:rPr>
                <w:rFonts w:ascii="Arial" w:cs="Arial" w:eastAsia="Arial" w:hAnsi="Arial"/>
                <w:sz w:val="14"/>
                <w:szCs w:val="14"/>
                <w:color w:val="0000EE"/>
              </w:rPr>
            </w:pPr>
            <w:hyperlink w:anchor="page36">
              <w:r>
                <w:rPr>
                  <w:rFonts w:ascii="Arial" w:cs="Arial" w:eastAsia="Arial" w:hAnsi="Arial"/>
                  <w:sz w:val="14"/>
                  <w:szCs w:val="14"/>
                  <w:color w:val="0000EE"/>
                </w:rPr>
                <w:t>Quantitative and Qualitative Disclosures About Market Risk</w:t>
              </w:r>
            </w:hyperlink>
          </w:p>
        </w:tc>
        <w:tc>
          <w:tcPr>
            <w:tcW w:w="3240" w:type="dxa"/>
            <w:vAlign w:val="bottom"/>
            <w:gridSpan w:val="6"/>
          </w:tcPr>
          <w:p>
            <w:pPr>
              <w:spacing w:after="0"/>
              <w:rPr>
                <w:sz w:val="11"/>
                <w:szCs w:val="11"/>
                <w:color w:val="auto"/>
              </w:rPr>
            </w:pPr>
          </w:p>
        </w:tc>
        <w:tc>
          <w:tcPr>
            <w:tcW w:w="1540" w:type="dxa"/>
            <w:vAlign w:val="bottom"/>
          </w:tcPr>
          <w:p>
            <w:pPr>
              <w:jc w:val="right"/>
              <w:spacing w:after="0" w:line="12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4.</w:t>
            </w:r>
          </w:p>
        </w:tc>
        <w:tc>
          <w:tcPr>
            <w:tcW w:w="1320" w:type="dxa"/>
            <w:vAlign w:val="bottom"/>
            <w:tcBorders>
              <w:top w:val="single" w:sz="8" w:color="0000EE"/>
              <w:bottom w:val="single" w:sz="8" w:color="0000EE"/>
            </w:tcBorders>
            <w:gridSpan w:val="7"/>
          </w:tcPr>
          <w:p>
            <w:pPr>
              <w:spacing w:after="0" w:line="129" w:lineRule="exact"/>
              <w:rPr>
                <w:rFonts w:ascii="Arial" w:cs="Arial" w:eastAsia="Arial" w:hAnsi="Arial"/>
                <w:sz w:val="14"/>
                <w:szCs w:val="14"/>
                <w:color w:val="0000EE"/>
                <w:w w:val="83"/>
              </w:rPr>
            </w:pPr>
            <w:hyperlink w:anchor="page36">
              <w:r>
                <w:rPr>
                  <w:rFonts w:ascii="Arial" w:cs="Arial" w:eastAsia="Arial" w:hAnsi="Arial"/>
                  <w:sz w:val="14"/>
                  <w:szCs w:val="14"/>
                  <w:color w:val="0000EE"/>
                  <w:w w:val="83"/>
                </w:rPr>
                <w:t>Controls and Procedures</w:t>
              </w:r>
            </w:hyperlink>
          </w:p>
        </w:tc>
        <w:tc>
          <w:tcPr>
            <w:tcW w:w="1960" w:type="dxa"/>
            <w:vAlign w:val="bottom"/>
            <w:tcBorders>
              <w:top w:val="single" w:sz="8" w:color="0000EE"/>
            </w:tcBorders>
            <w:gridSpan w:val="3"/>
          </w:tcPr>
          <w:p>
            <w:pPr>
              <w:spacing w:after="0"/>
              <w:rPr>
                <w:sz w:val="11"/>
                <w:szCs w:val="11"/>
                <w:color w:val="auto"/>
              </w:rPr>
            </w:pPr>
          </w:p>
        </w:tc>
        <w:tc>
          <w:tcPr>
            <w:tcW w:w="4800" w:type="dxa"/>
            <w:vAlign w:val="bottom"/>
            <w:gridSpan w:val="8"/>
          </w:tcPr>
          <w:p>
            <w:pPr>
              <w:spacing w:after="0"/>
              <w:rPr>
                <w:sz w:val="11"/>
                <w:szCs w:val="11"/>
                <w:color w:val="auto"/>
              </w:rPr>
            </w:pPr>
          </w:p>
        </w:tc>
        <w:tc>
          <w:tcPr>
            <w:tcW w:w="1540" w:type="dxa"/>
            <w:vAlign w:val="bottom"/>
          </w:tcPr>
          <w:p>
            <w:pPr>
              <w:jc w:val="right"/>
              <w:spacing w:after="0" w:line="12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29"/>
        </w:trPr>
        <w:tc>
          <w:tcPr>
            <w:tcW w:w="3120" w:type="dxa"/>
            <w:vAlign w:val="bottom"/>
            <w:gridSpan w:val="10"/>
          </w:tcPr>
          <w:p>
            <w:pPr>
              <w:spacing w:after="0" w:line="129" w:lineRule="exact"/>
              <w:rPr>
                <w:rFonts w:ascii="Arial" w:cs="Arial" w:eastAsia="Arial" w:hAnsi="Arial"/>
                <w:sz w:val="14"/>
                <w:szCs w:val="14"/>
                <w:b w:val="1"/>
                <w:bCs w:val="1"/>
                <w:color w:val="0000EE"/>
              </w:rPr>
            </w:pPr>
            <w:hyperlink w:anchor="page37">
              <w:r>
                <w:rPr>
                  <w:rFonts w:ascii="Arial" w:cs="Arial" w:eastAsia="Arial" w:hAnsi="Arial"/>
                  <w:sz w:val="14"/>
                  <w:szCs w:val="14"/>
                  <w:b w:val="1"/>
                  <w:bCs w:val="1"/>
                  <w:color w:val="0000EE"/>
                </w:rPr>
                <w:t>PART II. OTHER INFORMATION</w:t>
              </w:r>
            </w:hyperlink>
          </w:p>
        </w:tc>
        <w:tc>
          <w:tcPr>
            <w:tcW w:w="1940" w:type="dxa"/>
            <w:vAlign w:val="bottom"/>
            <w:gridSpan w:val="2"/>
          </w:tcPr>
          <w:p>
            <w:pPr>
              <w:spacing w:after="0"/>
              <w:rPr>
                <w:sz w:val="11"/>
                <w:szCs w:val="11"/>
                <w:color w:val="auto"/>
              </w:rPr>
            </w:pPr>
          </w:p>
        </w:tc>
        <w:tc>
          <w:tcPr>
            <w:tcW w:w="4820" w:type="dxa"/>
            <w:vAlign w:val="bottom"/>
            <w:gridSpan w:val="9"/>
          </w:tcPr>
          <w:p>
            <w:pPr>
              <w:spacing w:after="0"/>
              <w:rPr>
                <w:sz w:val="11"/>
                <w:szCs w:val="11"/>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80" w:type="dxa"/>
            <w:vAlign w:val="bottom"/>
            <w:tcBorders>
              <w:top w:val="single" w:sz="8" w:color="0000EE"/>
            </w:tcBorders>
            <w:gridSpan w:val="2"/>
          </w:tcPr>
          <w:p>
            <w:pPr>
              <w:ind w:left="800"/>
              <w:spacing w:after="0" w:line="129" w:lineRule="exact"/>
              <w:rPr>
                <w:sz w:val="20"/>
                <w:szCs w:val="20"/>
                <w:color w:val="auto"/>
              </w:rPr>
            </w:pPr>
            <w:r>
              <w:rPr>
                <w:rFonts w:ascii="Arial" w:cs="Arial" w:eastAsia="Arial" w:hAnsi="Arial"/>
                <w:sz w:val="14"/>
                <w:szCs w:val="14"/>
                <w:b w:val="1"/>
                <w:bCs w:val="1"/>
                <w:color w:val="auto"/>
              </w:rPr>
              <w:t>Item 1.</w:t>
            </w:r>
          </w:p>
        </w:tc>
        <w:tc>
          <w:tcPr>
            <w:tcW w:w="280" w:type="dxa"/>
            <w:vAlign w:val="bottom"/>
            <w:tcBorders>
              <w:top w:val="single" w:sz="8" w:color="0000EE"/>
            </w:tcBorders>
          </w:tcPr>
          <w:p>
            <w:pPr>
              <w:spacing w:after="0" w:line="129" w:lineRule="exact"/>
              <w:rPr>
                <w:rFonts w:ascii="Arial" w:cs="Arial" w:eastAsia="Arial" w:hAnsi="Arial"/>
                <w:sz w:val="14"/>
                <w:szCs w:val="14"/>
                <w:color w:val="0000EE"/>
                <w:w w:val="75"/>
              </w:rPr>
            </w:pPr>
            <w:hyperlink w:anchor="page37">
              <w:r>
                <w:rPr>
                  <w:rFonts w:ascii="Arial" w:cs="Arial" w:eastAsia="Arial" w:hAnsi="Arial"/>
                  <w:sz w:val="14"/>
                  <w:szCs w:val="14"/>
                  <w:color w:val="0000EE"/>
                  <w:w w:val="75"/>
                </w:rPr>
                <w:t>Legal</w:t>
              </w:r>
            </w:hyperlink>
          </w:p>
        </w:tc>
        <w:tc>
          <w:tcPr>
            <w:tcW w:w="7800" w:type="dxa"/>
            <w:vAlign w:val="bottom"/>
            <w:gridSpan w:val="17"/>
          </w:tcPr>
          <w:p>
            <w:pPr>
              <w:ind w:left="60"/>
              <w:spacing w:after="0" w:line="129" w:lineRule="exact"/>
              <w:rPr>
                <w:rFonts w:ascii="Arial" w:cs="Arial" w:eastAsia="Arial" w:hAnsi="Arial"/>
                <w:sz w:val="14"/>
                <w:szCs w:val="14"/>
                <w:color w:val="0000EE"/>
              </w:rPr>
            </w:pPr>
            <w:hyperlink w:anchor="page37">
              <w:r>
                <w:rPr>
                  <w:rFonts w:ascii="Arial" w:cs="Arial" w:eastAsia="Arial" w:hAnsi="Arial"/>
                  <w:sz w:val="14"/>
                  <w:szCs w:val="14"/>
                  <w:color w:val="0000EE"/>
                </w:rPr>
                <w:t>Proceedings</w:t>
              </w:r>
            </w:hyperlink>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1A.</w:t>
            </w:r>
          </w:p>
        </w:tc>
        <w:tc>
          <w:tcPr>
            <w:tcW w:w="1000" w:type="dxa"/>
            <w:vAlign w:val="bottom"/>
            <w:tcBorders>
              <w:top w:val="single" w:sz="8" w:color="0000EE"/>
            </w:tcBorders>
            <w:gridSpan w:val="6"/>
          </w:tcPr>
          <w:p>
            <w:pPr>
              <w:spacing w:after="0" w:line="129" w:lineRule="exact"/>
              <w:rPr>
                <w:rFonts w:ascii="Arial" w:cs="Arial" w:eastAsia="Arial" w:hAnsi="Arial"/>
                <w:sz w:val="14"/>
                <w:szCs w:val="14"/>
                <w:color w:val="0000EE"/>
              </w:rPr>
            </w:pPr>
            <w:hyperlink w:anchor="page37">
              <w:r>
                <w:rPr>
                  <w:rFonts w:ascii="Arial" w:cs="Arial" w:eastAsia="Arial" w:hAnsi="Arial"/>
                  <w:sz w:val="14"/>
                  <w:szCs w:val="14"/>
                  <w:color w:val="0000EE"/>
                </w:rPr>
                <w:t>Risk Factors</w:t>
              </w:r>
            </w:hyperlink>
          </w:p>
        </w:tc>
        <w:tc>
          <w:tcPr>
            <w:tcW w:w="2260" w:type="dxa"/>
            <w:vAlign w:val="bottom"/>
            <w:gridSpan w:val="3"/>
          </w:tcPr>
          <w:p>
            <w:pPr>
              <w:spacing w:after="0"/>
              <w:rPr>
                <w:sz w:val="11"/>
                <w:szCs w:val="11"/>
                <w:color w:val="auto"/>
              </w:rPr>
            </w:pPr>
          </w:p>
        </w:tc>
        <w:tc>
          <w:tcPr>
            <w:tcW w:w="4820" w:type="dxa"/>
            <w:vAlign w:val="bottom"/>
            <w:gridSpan w:val="9"/>
          </w:tcPr>
          <w:p>
            <w:pPr>
              <w:spacing w:after="0"/>
              <w:rPr>
                <w:sz w:val="11"/>
                <w:szCs w:val="11"/>
                <w:color w:val="auto"/>
              </w:rPr>
            </w:pPr>
          </w:p>
        </w:tc>
        <w:tc>
          <w:tcPr>
            <w:tcW w:w="1540" w:type="dxa"/>
            <w:vAlign w:val="bottom"/>
          </w:tcPr>
          <w:p>
            <w:pPr>
              <w:jc w:val="right"/>
              <w:spacing w:after="0" w:line="12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2.</w:t>
            </w:r>
          </w:p>
        </w:tc>
        <w:tc>
          <w:tcPr>
            <w:tcW w:w="660" w:type="dxa"/>
            <w:vAlign w:val="bottom"/>
            <w:tcBorders>
              <w:top w:val="single" w:sz="8" w:color="0000EE"/>
            </w:tcBorders>
            <w:gridSpan w:val="4"/>
          </w:tcPr>
          <w:p>
            <w:pPr>
              <w:spacing w:after="0" w:line="129" w:lineRule="exact"/>
              <w:rPr>
                <w:rFonts w:ascii="Arial" w:cs="Arial" w:eastAsia="Arial" w:hAnsi="Arial"/>
                <w:sz w:val="14"/>
                <w:szCs w:val="14"/>
                <w:color w:val="0000EE"/>
                <w:w w:val="79"/>
              </w:rPr>
            </w:pPr>
            <w:hyperlink w:anchor="page38">
              <w:r>
                <w:rPr>
                  <w:rFonts w:ascii="Arial" w:cs="Arial" w:eastAsia="Arial" w:hAnsi="Arial"/>
                  <w:sz w:val="14"/>
                  <w:szCs w:val="14"/>
                  <w:color w:val="0000EE"/>
                  <w:w w:val="79"/>
                </w:rPr>
                <w:t>Unregistered</w:t>
              </w:r>
            </w:hyperlink>
          </w:p>
        </w:tc>
        <w:tc>
          <w:tcPr>
            <w:tcW w:w="7420" w:type="dxa"/>
            <w:vAlign w:val="bottom"/>
            <w:gridSpan w:val="14"/>
          </w:tcPr>
          <w:p>
            <w:pPr>
              <w:ind w:left="60"/>
              <w:spacing w:after="0" w:line="129" w:lineRule="exact"/>
              <w:rPr>
                <w:rFonts w:ascii="Arial" w:cs="Arial" w:eastAsia="Arial" w:hAnsi="Arial"/>
                <w:sz w:val="14"/>
                <w:szCs w:val="14"/>
                <w:color w:val="0000EE"/>
              </w:rPr>
            </w:pPr>
            <w:hyperlink w:anchor="page38">
              <w:r>
                <w:rPr>
                  <w:rFonts w:ascii="Arial" w:cs="Arial" w:eastAsia="Arial" w:hAnsi="Arial"/>
                  <w:sz w:val="14"/>
                  <w:szCs w:val="14"/>
                  <w:color w:val="0000EE"/>
                </w:rPr>
                <w:t>Sales of Equity Securities and Use of Proceeds</w:t>
              </w:r>
            </w:hyperlink>
          </w:p>
        </w:tc>
        <w:tc>
          <w:tcPr>
            <w:tcW w:w="1540" w:type="dxa"/>
            <w:vAlign w:val="bottom"/>
          </w:tcPr>
          <w:p>
            <w:pPr>
              <w:jc w:val="right"/>
              <w:spacing w:after="0" w:line="12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6.</w:t>
            </w:r>
          </w:p>
        </w:tc>
        <w:tc>
          <w:tcPr>
            <w:tcW w:w="3260" w:type="dxa"/>
            <w:vAlign w:val="bottom"/>
            <w:tcBorders>
              <w:top w:val="single" w:sz="8" w:color="0000EE"/>
            </w:tcBorders>
            <w:gridSpan w:val="9"/>
          </w:tcPr>
          <w:p>
            <w:pPr>
              <w:spacing w:after="0" w:line="129" w:lineRule="exact"/>
              <w:rPr>
                <w:rFonts w:ascii="Arial" w:cs="Arial" w:eastAsia="Arial" w:hAnsi="Arial"/>
                <w:sz w:val="14"/>
                <w:szCs w:val="14"/>
                <w:color w:val="0000EE"/>
              </w:rPr>
            </w:pPr>
            <w:hyperlink w:anchor="page38">
              <w:r>
                <w:rPr>
                  <w:rFonts w:ascii="Arial" w:cs="Arial" w:eastAsia="Arial" w:hAnsi="Arial"/>
                  <w:sz w:val="14"/>
                  <w:szCs w:val="14"/>
                  <w:color w:val="0000EE"/>
                </w:rPr>
                <w:t>Exhibits</w:t>
              </w:r>
            </w:hyperlink>
          </w:p>
        </w:tc>
        <w:tc>
          <w:tcPr>
            <w:tcW w:w="4820" w:type="dxa"/>
            <w:vAlign w:val="bottom"/>
            <w:gridSpan w:val="9"/>
          </w:tcPr>
          <w:p>
            <w:pPr>
              <w:spacing w:after="0"/>
              <w:rPr>
                <w:sz w:val="11"/>
                <w:szCs w:val="11"/>
                <w:color w:val="auto"/>
              </w:rPr>
            </w:pPr>
          </w:p>
        </w:tc>
        <w:tc>
          <w:tcPr>
            <w:tcW w:w="1540" w:type="dxa"/>
            <w:vAlign w:val="bottom"/>
          </w:tcPr>
          <w:p>
            <w:pPr>
              <w:jc w:val="right"/>
              <w:spacing w:after="0" w:line="12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29"/>
        </w:trPr>
        <w:tc>
          <w:tcPr>
            <w:tcW w:w="1800" w:type="dxa"/>
            <w:vAlign w:val="bottom"/>
            <w:gridSpan w:val="3"/>
          </w:tcPr>
          <w:p>
            <w:pPr>
              <w:spacing w:after="0" w:line="129" w:lineRule="exact"/>
              <w:rPr>
                <w:rFonts w:ascii="Arial" w:cs="Arial" w:eastAsia="Arial" w:hAnsi="Arial"/>
                <w:sz w:val="14"/>
                <w:szCs w:val="14"/>
                <w:b w:val="1"/>
                <w:bCs w:val="1"/>
                <w:color w:val="0000EE"/>
              </w:rPr>
            </w:pPr>
            <w:hyperlink w:anchor="page40">
              <w:r>
                <w:rPr>
                  <w:rFonts w:ascii="Arial" w:cs="Arial" w:eastAsia="Arial" w:hAnsi="Arial"/>
                  <w:sz w:val="14"/>
                  <w:szCs w:val="14"/>
                  <w:b w:val="1"/>
                  <w:bCs w:val="1"/>
                  <w:color w:val="0000EE"/>
                </w:rPr>
                <w:t>SIGNATURES</w:t>
              </w:r>
            </w:hyperlink>
          </w:p>
        </w:tc>
        <w:tc>
          <w:tcPr>
            <w:tcW w:w="28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40" w:type="dxa"/>
            <w:vAlign w:val="bottom"/>
          </w:tcPr>
          <w:p>
            <w:pPr>
              <w:jc w:val="right"/>
              <w:spacing w:after="0" w:line="12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Borders>
              <w:top w:val="single" w:sz="8" w:color="0000EE"/>
            </w:tcBorders>
          </w:tcPr>
          <w:p>
            <w:pPr>
              <w:spacing w:after="0" w:line="129" w:lineRule="exact"/>
              <w:rPr>
                <w:rFonts w:ascii="Arial" w:cs="Arial" w:eastAsia="Arial" w:hAnsi="Arial"/>
                <w:sz w:val="14"/>
                <w:szCs w:val="14"/>
                <w:color w:val="0000EE"/>
                <w:w w:val="95"/>
              </w:rPr>
            </w:pPr>
            <w:hyperlink w:anchor="page41">
              <w:r>
                <w:rPr>
                  <w:rFonts w:ascii="Arial" w:cs="Arial" w:eastAsia="Arial" w:hAnsi="Arial"/>
                  <w:sz w:val="14"/>
                  <w:szCs w:val="14"/>
                  <w:color w:val="0000EE"/>
                  <w:w w:val="95"/>
                </w:rPr>
                <w:t>NBCUniversal</w:t>
              </w:r>
            </w:hyperlink>
          </w:p>
        </w:tc>
        <w:tc>
          <w:tcPr>
            <w:tcW w:w="9000" w:type="dxa"/>
            <w:vAlign w:val="bottom"/>
            <w:gridSpan w:val="19"/>
          </w:tcPr>
          <w:p>
            <w:pPr>
              <w:spacing w:after="0" w:line="129" w:lineRule="exact"/>
              <w:rPr>
                <w:rFonts w:ascii="Arial" w:cs="Arial" w:eastAsia="Arial" w:hAnsi="Arial"/>
                <w:sz w:val="14"/>
                <w:szCs w:val="14"/>
                <w:color w:val="0000EE"/>
              </w:rPr>
            </w:pPr>
            <w:hyperlink w:anchor="page41">
              <w:r>
                <w:rPr>
                  <w:rFonts w:ascii="Arial" w:cs="Arial" w:eastAsia="Arial" w:hAnsi="Arial"/>
                  <w:sz w:val="14"/>
                  <w:szCs w:val="14"/>
                  <w:color w:val="0000EE"/>
                </w:rPr>
                <w:t>Media, LLC Financial Statements</w:t>
              </w:r>
            </w:hyperlink>
          </w:p>
        </w:tc>
        <w:tc>
          <w:tcPr>
            <w:tcW w:w="1540" w:type="dxa"/>
            <w:vAlign w:val="bottom"/>
          </w:tcPr>
          <w:p>
            <w:pPr>
              <w:jc w:val="right"/>
              <w:spacing w:after="0" w:line="12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860" w:type="dxa"/>
            <w:vAlign w:val="bottom"/>
            <w:tcBorders>
              <w:top w:val="single" w:sz="8" w:color="0000EE"/>
              <w:bottom w:val="single" w:sz="8" w:color="auto"/>
            </w:tcBorders>
          </w:tcPr>
          <w:p>
            <w:pPr>
              <w:spacing w:after="0"/>
              <w:rPr>
                <w:sz w:val="7"/>
                <w:szCs w:val="7"/>
                <w:color w:val="auto"/>
              </w:rPr>
            </w:pPr>
          </w:p>
        </w:tc>
        <w:tc>
          <w:tcPr>
            <w:tcW w:w="9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This Quarterly Report on Form 10-Q is a combined report being filed separately by Comcast Corporation (“Comcast”) and NBCUniversal Media, LLC (“NBCUniversal”). Comcast owns all of the common equity interests in NBCUniversal, and NBCUniversal meets the conditions set forth in General Instruction H(1)(a) and (b) of Form 10-Q and is therefore filing its information within this Form 10-Q with the reduced disclosure format. Each of Comcast and NBCUniversal is filing on its own behalf the information contained in this report that relates to itself, and neither company makes any representation as to information relating to the other company. Where information or an explanation is provided that is substantially the same for each company, such information or explanation has been combined in this report. Where information or an explanation is not substantially the same for each company, separate information and explanation has been provided. In addition, separate condensed consolidated financial statements for each company, along with notes to the condensed consolidated financial statements, are included in this report. Unless indicated otherwise, throughout this Quarterly Report on Form 10-Q, we refer to Comcast and its consolidated subsidiaries, including NBCUniversal and its consolidated subsidiaries, as “we,” “us” and “our;” Comcast Cable Communications, LLC and its consolidated subsidiaries as “Comcast Cable;” Comcast Holdings Corporation as “Comcast Holdings;” and NBCUniversal, LLC as “NBCUniversal Holdings.”</w:t>
      </w:r>
    </w:p>
    <w:p>
      <w:pPr>
        <w:spacing w:after="0" w:line="5"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This Quarterly Report on Form 10-Q is for the three months ended March 31, 2015. This Quarterly Report modifies and supersedes documents filed prior to this Quarterly Report. 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w:t>
      </w:r>
    </w:p>
    <w:p>
      <w:pPr>
        <w:spacing w:after="0" w:line="18"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You should carefully review the information contained in this Quarterly Report and particularly consider any risk factors set forth in this Quarterly Report and in other reports or documents that we file from time to time with the SEC. In this Quarterly Report, we state our beliefs of future events and of our future financial performance. In some cases, you can identify these so-called “forward-looking statements” by words such as “may,” “will,” “should,” “expects,” “believes,” “estimates,” “potential,” or “continue,” or the negative of those words, and other comparable words. You should be aware that these statements are only our predictions. In evaluating these statements, you should specifically consider various factors, including the risks outlined below and in other reports we file with the SEC. Actual events or our actual results may differ materially from any of our forward-looking statements. We undertake no obligation to update any forward-looking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Our businesses may be affected by, among other things, the following:</w:t>
      </w: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businesses currently face a wide range of competition, and our businesses and results of operations could be adversely affected if we do not compete effectively</w:t>
      </w:r>
    </w:p>
    <w:p>
      <w:pPr>
        <w:spacing w:after="0" w:line="2"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changes in consumer behavior driven by new products and services may adversely affect our businesses and challenge existing business models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 decline in advertising expenditures or changes in advertising markets could negatively impact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businesses depend on keeping pace with technological developments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are subject to regulation by federal, state, local and foreign authorities, which may impose additional costs and restrictions on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changes to existing statutes, rules, regulations, or interpretations thereof, or adoption of new ones, could have an adverse effect on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programming expenses for our video services are increasing, which could adversely affect our Cable Communications segment’s businesses</w:t>
      </w:r>
    </w:p>
    <w:p>
      <w:pPr>
        <w:spacing w:after="0" w:line="14" w:lineRule="exact"/>
        <w:rPr>
          <w:rFonts w:ascii="Arial" w:cs="Arial" w:eastAsia="Arial" w:hAnsi="Arial"/>
          <w:sz w:val="14"/>
          <w:szCs w:val="14"/>
          <w:color w:val="auto"/>
        </w:rPr>
      </w:pPr>
    </w:p>
    <w:p>
      <w:pPr>
        <w:ind w:left="1020" w:right="126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NBCUniversal’s success depends on consumer acceptance of its content and its businesses may be adversely affected if its content fails to achieve sufficient consumer acceptance or the costs to create or acquire content increase</w:t>
      </w:r>
    </w:p>
    <w:p>
      <w:pPr>
        <w:spacing w:after="0" w:line="3"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loss of NBCUniversal’s programming distribution agreements, or the renewal of these agreements on less favorable terms, could adversely affect its businesses</w:t>
      </w:r>
    </w:p>
    <w:p>
      <w:pPr>
        <w:spacing w:after="0" w:line="14"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3"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be unable to obtain necessary hardware, software and operational support</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weak economic conditions may have a negative impact on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businesses depend on using and protecting certain intellectual property rights and on not infringing the intellectual property rights of others</w:t>
      </w:r>
    </w:p>
    <w:p>
      <w:pPr>
        <w:spacing w:after="0" w:line="14"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acquisitions and other strategic transactions present many risks, and we may not realize the financial and strategic goals that were contemplated at the time of any transaction</w:t>
      </w:r>
    </w:p>
    <w:p>
      <w:pPr>
        <w:spacing w:after="0" w:line="3"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labor disputes, whether involving employees or sports organizations, may disrupt our operations and adversely affect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loss of key management personnel or popular on-air and creative talent could have an adverse effect on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face risks relating to doing business internationally that could adversely affect our businesses</w:t>
      </w:r>
    </w:p>
    <w:p>
      <w:pPr>
        <w:spacing w:after="0" w:line="14"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100" w:type="dxa"/>
            <w:vAlign w:val="bottom"/>
            <w:gridSpan w:val="2"/>
          </w:tcPr>
          <w:p>
            <w:pPr>
              <w:jc w:val="right"/>
              <w:ind w:right="213"/>
              <w:spacing w:after="0"/>
              <w:rPr>
                <w:sz w:val="20"/>
                <w:szCs w:val="20"/>
                <w:color w:val="auto"/>
              </w:rPr>
            </w:pPr>
            <w:r>
              <w:rPr>
                <w:rFonts w:ascii="Arial" w:cs="Arial" w:eastAsia="Arial" w:hAnsi="Arial"/>
                <w:sz w:val="14"/>
                <w:szCs w:val="14"/>
                <w:color w:val="auto"/>
              </w:rPr>
              <w:t>March 31,</w:t>
            </w:r>
          </w:p>
        </w:tc>
        <w:tc>
          <w:tcPr>
            <w:tcW w:w="1080" w:type="dxa"/>
            <w:vAlign w:val="bottom"/>
            <w:gridSpan w:val="2"/>
          </w:tcPr>
          <w:p>
            <w:pPr>
              <w:ind w:left="20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59"/>
        </w:trPr>
        <w:tc>
          <w:tcPr>
            <w:tcW w:w="9240" w:type="dxa"/>
            <w:vAlign w:val="bottom"/>
            <w:gridSpan w:val="2"/>
          </w:tcPr>
          <w:p>
            <w:pPr>
              <w:spacing w:after="0" w:line="159" w:lineRule="exact"/>
              <w:rPr>
                <w:sz w:val="20"/>
                <w:szCs w:val="20"/>
                <w:color w:val="auto"/>
              </w:rPr>
            </w:pPr>
            <w:r>
              <w:rPr>
                <w:rFonts w:ascii="Arial" w:cs="Arial" w:eastAsia="Arial" w:hAnsi="Arial"/>
                <w:sz w:val="14"/>
                <w:szCs w:val="14"/>
                <w:color w:val="auto"/>
              </w:rPr>
              <w:t>(in millions, except share data)</w:t>
            </w:r>
          </w:p>
        </w:tc>
        <w:tc>
          <w:tcPr>
            <w:tcW w:w="280" w:type="dxa"/>
            <w:vAlign w:val="bottom"/>
          </w:tcPr>
          <w:p>
            <w:pPr>
              <w:spacing w:after="0"/>
              <w:rPr>
                <w:sz w:val="13"/>
                <w:szCs w:val="13"/>
                <w:color w:val="auto"/>
              </w:rPr>
            </w:pPr>
          </w:p>
        </w:tc>
        <w:tc>
          <w:tcPr>
            <w:tcW w:w="820" w:type="dxa"/>
            <w:vAlign w:val="bottom"/>
          </w:tcPr>
          <w:p>
            <w:pPr>
              <w:jc w:val="right"/>
              <w:ind w:right="353"/>
              <w:spacing w:after="0" w:line="159" w:lineRule="exact"/>
              <w:rPr>
                <w:sz w:val="20"/>
                <w:szCs w:val="20"/>
                <w:color w:val="auto"/>
              </w:rPr>
            </w:pPr>
            <w:r>
              <w:rPr>
                <w:rFonts w:ascii="Arial" w:cs="Arial" w:eastAsia="Arial" w:hAnsi="Arial"/>
                <w:sz w:val="14"/>
                <w:szCs w:val="14"/>
                <w:color w:val="auto"/>
              </w:rPr>
              <w:t>2015</w:t>
            </w:r>
          </w:p>
        </w:tc>
        <w:tc>
          <w:tcPr>
            <w:tcW w:w="340" w:type="dxa"/>
            <w:vAlign w:val="bottom"/>
          </w:tcPr>
          <w:p>
            <w:pPr>
              <w:spacing w:after="0"/>
              <w:rPr>
                <w:sz w:val="13"/>
                <w:szCs w:val="13"/>
                <w:color w:val="auto"/>
              </w:rPr>
            </w:pPr>
          </w:p>
        </w:tc>
        <w:tc>
          <w:tcPr>
            <w:tcW w:w="740" w:type="dxa"/>
            <w:vAlign w:val="bottom"/>
          </w:tcPr>
          <w:p>
            <w:pPr>
              <w:jc w:val="right"/>
              <w:ind w:right="273"/>
              <w:spacing w:after="0" w:line="159"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E5E5E5"/>
          </w:tcPr>
          <w:p>
            <w:pPr>
              <w:spacing w:after="0"/>
              <w:rPr>
                <w:sz w:val="18"/>
                <w:szCs w:val="18"/>
                <w:color w:val="auto"/>
              </w:rPr>
            </w:pPr>
          </w:p>
        </w:tc>
        <w:tc>
          <w:tcPr>
            <w:tcW w:w="82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3,937</w:t>
            </w:r>
          </w:p>
        </w:tc>
        <w:tc>
          <w:tcPr>
            <w:tcW w:w="3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158</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Receivables, net</w:t>
            </w: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6,144</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Programming rights</w:t>
            </w:r>
          </w:p>
        </w:tc>
        <w:tc>
          <w:tcPr>
            <w:tcW w:w="28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945</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1,737</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12,921</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13,531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spacing w:after="0"/>
              <w:rPr>
                <w:sz w:val="20"/>
                <w:szCs w:val="20"/>
                <w:color w:val="auto"/>
              </w:rPr>
            </w:pPr>
            <w:r>
              <w:rPr>
                <w:rFonts w:ascii="Arial" w:cs="Arial" w:eastAsia="Arial" w:hAnsi="Arial"/>
                <w:sz w:val="18"/>
                <w:szCs w:val="18"/>
                <w:color w:val="auto"/>
              </w:rPr>
              <w:t>Film and television costs</w:t>
            </w: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5,637</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3,235</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 of accumulated depreciation of $46,037 and $45,410</w:t>
            </w: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31,127</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30,953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Franchise rights</w:t>
            </w:r>
          </w:p>
        </w:tc>
        <w:tc>
          <w:tcPr>
            <w:tcW w:w="28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59,364</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59,364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27,302</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27,316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 of $10,507 and $10,170</w:t>
            </w:r>
          </w:p>
        </w:tc>
        <w:tc>
          <w:tcPr>
            <w:tcW w:w="28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16,852</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16,980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28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2,319</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w w:val="86"/>
              </w:rPr>
              <w:t>158,757</w:t>
            </w:r>
          </w:p>
        </w:tc>
        <w:tc>
          <w:tcPr>
            <w:tcW w:w="3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5"/>
              </w:rPr>
              <w:t>159,339</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payable and accrued expenses related to trade creditors</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6,157</w:t>
            </w:r>
          </w:p>
        </w:tc>
        <w:tc>
          <w:tcPr>
            <w:tcW w:w="3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participations and residuals</w:t>
            </w:r>
          </w:p>
        </w:tc>
        <w:tc>
          <w:tcPr>
            <w:tcW w:w="28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1,387</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970</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5,808</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4,180</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4,217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18,502</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17,410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42,953</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44,017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32,855</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32,959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10,837</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10,819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Commitments and contingencies (Note 11)</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1,099</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Equity:</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Preferred stock—authorized, 20,000,000 shares; issued, zero</w:t>
            </w: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w w:val="92"/>
              </w:rPr>
              <w:t>Class A common stock, $0.01 par value—authorized, 7,500,000,000 shares; issued, 2,488,377,059 and 2,496,598,612;</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640"/>
              <w:spacing w:after="0"/>
              <w:rPr>
                <w:sz w:val="20"/>
                <w:szCs w:val="20"/>
                <w:color w:val="auto"/>
              </w:rPr>
            </w:pPr>
            <w:r>
              <w:rPr>
                <w:rFonts w:ascii="Arial" w:cs="Arial" w:eastAsia="Arial" w:hAnsi="Arial"/>
                <w:sz w:val="18"/>
                <w:szCs w:val="18"/>
                <w:color w:val="auto"/>
              </w:rPr>
              <w:t>outstanding, 2,122,916,309 and 2,131,137,862</w:t>
            </w:r>
          </w:p>
        </w:tc>
        <w:tc>
          <w:tcPr>
            <w:tcW w:w="280" w:type="dxa"/>
            <w:vAlign w:val="bottom"/>
          </w:tcPr>
          <w:p>
            <w:pPr>
              <w:spacing w:after="0"/>
              <w:rPr>
                <w:sz w:val="19"/>
                <w:szCs w:val="19"/>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9"/>
                <w:szCs w:val="19"/>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w w:val="89"/>
              </w:rPr>
              <w:t>Class A Special common stock, $0.01 par value—authorized, 7,500,000,000 shares; issued, 452,117,242 and 471,419,601;</w:t>
            </w: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E5E5E5"/>
          </w:tcPr>
          <w:p>
            <w:pPr>
              <w:ind w:left="640"/>
              <w:spacing w:after="0"/>
              <w:rPr>
                <w:sz w:val="20"/>
                <w:szCs w:val="20"/>
                <w:color w:val="auto"/>
              </w:rPr>
            </w:pPr>
            <w:r>
              <w:rPr>
                <w:rFonts w:ascii="Arial" w:cs="Arial" w:eastAsia="Arial" w:hAnsi="Arial"/>
                <w:sz w:val="18"/>
                <w:szCs w:val="18"/>
                <w:color w:val="auto"/>
              </w:rPr>
              <w:t>outstanding, 381,182,478 and 400,484,837</w:t>
            </w:r>
          </w:p>
        </w:tc>
        <w:tc>
          <w:tcPr>
            <w:tcW w:w="280" w:type="dxa"/>
            <w:vAlign w:val="bottom"/>
            <w:shd w:val="clear" w:color="auto" w:fill="E5E5E5"/>
          </w:tcPr>
          <w:p>
            <w:pPr>
              <w:spacing w:after="0"/>
              <w:rPr>
                <w:sz w:val="19"/>
                <w:szCs w:val="19"/>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5</w:t>
            </w:r>
          </w:p>
        </w:tc>
        <w:tc>
          <w:tcPr>
            <w:tcW w:w="34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Class B common stock, $0.01 par value—authorized, 75,000,000 shares; issued and outstanding, 9,444,375</w:t>
            </w:r>
          </w:p>
        </w:tc>
        <w:tc>
          <w:tcPr>
            <w:tcW w:w="28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38,660</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38,805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21,186</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21,539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Treasury stock, 365,460,750 Class A common shares and 70,934,764 Class A Special common shares</w:t>
            </w: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(7,517)</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(188)</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E5E5E5"/>
          </w:tcPr>
          <w:p>
            <w:pPr>
              <w:spacing w:after="0"/>
              <w:rPr>
                <w:sz w:val="20"/>
                <w:szCs w:val="20"/>
                <w:color w:val="auto"/>
              </w:rPr>
            </w:pPr>
            <w:r>
              <w:rPr>
                <w:rFonts w:ascii="Arial" w:cs="Arial" w:eastAsia="Arial" w:hAnsi="Arial"/>
                <w:sz w:val="18"/>
                <w:szCs w:val="18"/>
                <w:color w:val="auto"/>
              </w:rPr>
              <w:t>Total Comcast Corporation shareholders’ equity</w:t>
            </w: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52,171</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52,711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340</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52,511</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53,068</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w w:val="86"/>
              </w:rPr>
              <w:t>158,757</w:t>
            </w:r>
          </w:p>
        </w:tc>
        <w:tc>
          <w:tcPr>
            <w:tcW w:w="3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5"/>
              </w:rPr>
              <w:t>159,339</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gridSpan w:val="3"/>
          </w:tcPr>
          <w:p>
            <w:pPr>
              <w:jc w:val="right"/>
              <w:ind w:right="193"/>
              <w:spacing w:after="0"/>
              <w:rPr>
                <w:sz w:val="20"/>
                <w:szCs w:val="20"/>
                <w:color w:val="auto"/>
              </w:rPr>
            </w:pPr>
            <w:r>
              <w:rPr>
                <w:rFonts w:ascii="Arial" w:cs="Arial" w:eastAsia="Arial" w:hAnsi="Arial"/>
                <w:sz w:val="14"/>
                <w:szCs w:val="14"/>
                <w:color w:val="auto"/>
                <w:w w:val="91"/>
              </w:rPr>
              <w:t>Three Months Ended</w:t>
            </w:r>
          </w:p>
        </w:tc>
        <w:tc>
          <w:tcPr>
            <w:tcW w:w="0" w:type="dxa"/>
            <w:vAlign w:val="bottom"/>
          </w:tcPr>
          <w:p>
            <w:pPr>
              <w:spacing w:after="0"/>
              <w:rPr>
                <w:sz w:val="1"/>
                <w:szCs w:val="1"/>
                <w:color w:val="auto"/>
              </w:rPr>
            </w:pPr>
          </w:p>
        </w:tc>
      </w:tr>
      <w:tr>
        <w:trPr>
          <w:trHeight w:val="159"/>
        </w:trPr>
        <w:tc>
          <w:tcPr>
            <w:tcW w:w="9480" w:type="dxa"/>
            <w:vAlign w:val="bottom"/>
            <w:gridSpan w:val="2"/>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March 31</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4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jc w:val="right"/>
              <w:ind w:right="255"/>
              <w:spacing w:after="0" w:line="142" w:lineRule="exact"/>
              <w:rPr>
                <w:sz w:val="20"/>
                <w:szCs w:val="20"/>
                <w:color w:val="auto"/>
              </w:rPr>
            </w:pPr>
            <w:r>
              <w:rPr>
                <w:rFonts w:ascii="Arial" w:cs="Arial" w:eastAsia="Arial" w:hAnsi="Arial"/>
                <w:sz w:val="14"/>
                <w:szCs w:val="14"/>
                <w:color w:val="auto"/>
              </w:rPr>
              <w:t>2015</w:t>
            </w:r>
          </w:p>
        </w:tc>
        <w:tc>
          <w:tcPr>
            <w:tcW w:w="220" w:type="dxa"/>
            <w:vAlign w:val="bottom"/>
          </w:tcPr>
          <w:p>
            <w:pPr>
              <w:spacing w:after="0"/>
              <w:rPr>
                <w:sz w:val="12"/>
                <w:szCs w:val="12"/>
                <w:color w:val="auto"/>
              </w:rPr>
            </w:pPr>
          </w:p>
        </w:tc>
        <w:tc>
          <w:tcPr>
            <w:tcW w:w="600" w:type="dxa"/>
            <w:vAlign w:val="bottom"/>
          </w:tcPr>
          <w:p>
            <w:pPr>
              <w:jc w:val="right"/>
              <w:ind w:right="173"/>
              <w:spacing w:after="0" w:line="142"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w w:val="83"/>
              </w:rPr>
              <w:t>17,853</w:t>
            </w:r>
          </w:p>
        </w:tc>
        <w:tc>
          <w:tcPr>
            <w:tcW w:w="2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7"/>
              </w:rPr>
              <w:t>17,408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Costs and Expenses:</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5,463</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44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5,079</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4,749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1,355</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44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1,634</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4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432</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w w:val="83"/>
              </w:rPr>
              <w:t>13,963</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7"/>
              </w:rPr>
              <w:t>13,840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3,890</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(656)</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Investment income (loss), net</w:t>
            </w:r>
          </w:p>
        </w:tc>
        <w:tc>
          <w:tcPr>
            <w:tcW w:w="44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(losses) of investees, net</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33</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102</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6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rPr>
              <w:t>(488)</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4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3,402</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3,056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4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w w:val="91"/>
              </w:rPr>
              <w:t>(1,261)</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4"/>
              </w:rPr>
              <w:t>(1,118)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Net income</w:t>
            </w:r>
          </w:p>
        </w:tc>
        <w:tc>
          <w:tcPr>
            <w:tcW w:w="44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2,141</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 and redeemable subsidiary preferred stock</w:t>
            </w:r>
          </w:p>
        </w:tc>
        <w:tc>
          <w:tcPr>
            <w:tcW w:w="4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rPr>
              <w:t>(82)</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rPr>
              <w:t>2,059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1,871</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Basic earnings per common share attributable to Comcast Corporation shareholders</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8"/>
                <w:szCs w:val="18"/>
                <w:b w:val="1"/>
                <w:bCs w:val="1"/>
                <w:color w:val="auto"/>
              </w:rPr>
              <w:t>0.82</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b w:val="1"/>
                <w:bCs w:val="1"/>
                <w:color w:val="auto"/>
              </w:rPr>
              <w:t>Diluted earnings per common share attributable to Comcast Corporation shareholders</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15"/>
              <w:spacing w:after="0"/>
              <w:rPr>
                <w:sz w:val="20"/>
                <w:szCs w:val="20"/>
                <w:color w:val="auto"/>
              </w:rPr>
            </w:pPr>
            <w:r>
              <w:rPr>
                <w:rFonts w:ascii="Arial" w:cs="Arial" w:eastAsia="Arial" w:hAnsi="Arial"/>
                <w:sz w:val="18"/>
                <w:szCs w:val="18"/>
                <w:b w:val="1"/>
                <w:bCs w:val="1"/>
                <w:color w:val="auto"/>
              </w:rPr>
              <w:t>0.81</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b w:val="1"/>
                <w:bCs w:val="1"/>
                <w:color w:val="auto"/>
              </w:rPr>
              <w:t>0.71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b w:val="1"/>
                <w:bCs w:val="1"/>
                <w:color w:val="auto"/>
              </w:rPr>
              <w:t>0.25</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0.225</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2060" w:type="dxa"/>
            <w:vAlign w:val="bottom"/>
            <w:gridSpan w:val="2"/>
          </w:tcPr>
          <w:p>
            <w:pPr>
              <w:jc w:val="right"/>
              <w:ind w:right="254"/>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93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060" w:type="dxa"/>
            <w:vAlign w:val="bottom"/>
            <w:tcBorders>
              <w:bottom w:val="single" w:sz="8" w:color="auto"/>
            </w:tcBorders>
            <w:gridSpan w:val="2"/>
          </w:tcPr>
          <w:p>
            <w:pPr>
              <w:jc w:val="right"/>
              <w:ind w:right="574"/>
              <w:spacing w:after="0" w:line="159" w:lineRule="exact"/>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42"/>
        </w:trPr>
        <w:tc>
          <w:tcPr>
            <w:tcW w:w="9360" w:type="dxa"/>
            <w:vAlign w:val="bottom"/>
            <w:gridSpan w:val="2"/>
            <w:vMerge w:val="continue"/>
          </w:tcPr>
          <w:p>
            <w:pPr>
              <w:spacing w:after="0"/>
              <w:rPr>
                <w:sz w:val="12"/>
                <w:szCs w:val="12"/>
                <w:color w:val="auto"/>
              </w:rPr>
            </w:pPr>
          </w:p>
        </w:tc>
        <w:tc>
          <w:tcPr>
            <w:tcW w:w="1180" w:type="dxa"/>
            <w:vAlign w:val="bottom"/>
          </w:tcPr>
          <w:p>
            <w:pPr>
              <w:jc w:val="right"/>
              <w:ind w:right="257"/>
              <w:spacing w:after="0" w:line="142" w:lineRule="exact"/>
              <w:rPr>
                <w:sz w:val="20"/>
                <w:szCs w:val="20"/>
                <w:color w:val="auto"/>
              </w:rPr>
            </w:pPr>
            <w:r>
              <w:rPr>
                <w:rFonts w:ascii="Arial" w:cs="Arial" w:eastAsia="Arial" w:hAnsi="Arial"/>
                <w:sz w:val="14"/>
                <w:szCs w:val="14"/>
                <w:color w:val="auto"/>
              </w:rPr>
              <w:t>2015</w:t>
            </w:r>
          </w:p>
        </w:tc>
        <w:tc>
          <w:tcPr>
            <w:tcW w:w="880" w:type="dxa"/>
            <w:vAlign w:val="bottom"/>
          </w:tcPr>
          <w:p>
            <w:pPr>
              <w:jc w:val="right"/>
              <w:ind w:right="274"/>
              <w:spacing w:after="0" w:line="142"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w:t>
            </w:r>
          </w:p>
        </w:tc>
        <w:tc>
          <w:tcPr>
            <w:tcW w:w="1180" w:type="dxa"/>
            <w:vAlign w:val="bottom"/>
            <w:tcBorders>
              <w:top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color w:val="auto"/>
              </w:rPr>
              <w:t>$ 2,141</w:t>
            </w:r>
          </w:p>
        </w:tc>
        <w:tc>
          <w:tcPr>
            <w:tcW w:w="880" w:type="dxa"/>
            <w:vAlign w:val="bottom"/>
            <w:tcBorders>
              <w:top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$ 1,938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Unrealized gains (losses) on marketable securities, net of deferred taxes of $— and $(17)</w:t>
            </w:r>
          </w:p>
        </w:tc>
        <w:tc>
          <w:tcPr>
            <w:tcW w:w="1180" w:type="dxa"/>
            <w:vAlign w:val="bottom"/>
          </w:tcPr>
          <w:p>
            <w:pPr>
              <w:jc w:val="right"/>
              <w:ind w:right="117"/>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4"/>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E5E5E5"/>
          </w:tcPr>
          <w:p>
            <w:pPr>
              <w:spacing w:after="0"/>
              <w:rPr>
                <w:sz w:val="20"/>
                <w:szCs w:val="20"/>
                <w:color w:val="auto"/>
              </w:rPr>
            </w:pPr>
            <w:r>
              <w:rPr>
                <w:rFonts w:ascii="Arial" w:cs="Arial" w:eastAsia="Arial" w:hAnsi="Arial"/>
                <w:sz w:val="18"/>
                <w:szCs w:val="18"/>
                <w:color w:val="auto"/>
              </w:rPr>
              <w:t>Deferred gains (losses) on cash flow hedges, net of deferred taxes of $23 and $1</w:t>
            </w:r>
          </w:p>
        </w:tc>
        <w:tc>
          <w:tcPr>
            <w:tcW w:w="118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(39)</w:t>
            </w:r>
          </w:p>
        </w:tc>
        <w:tc>
          <w:tcPr>
            <w:tcW w:w="88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Amounts reclassified to net income:</w:t>
            </w: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Realized (gains) losses on marketable securities, net of deferred taxes of $— and $30</w:t>
            </w:r>
          </w:p>
        </w:tc>
        <w:tc>
          <w:tcPr>
            <w:tcW w:w="118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Realized (gains) losses on cash flow hedges, net of deferred taxes of $(22) and $2</w:t>
            </w:r>
          </w:p>
        </w:tc>
        <w:tc>
          <w:tcPr>
            <w:tcW w:w="1180" w:type="dxa"/>
            <w:vAlign w:val="bottom"/>
          </w:tcPr>
          <w:p>
            <w:pPr>
              <w:jc w:val="right"/>
              <w:ind w:right="117"/>
              <w:spacing w:after="0"/>
              <w:rPr>
                <w:sz w:val="20"/>
                <w:szCs w:val="20"/>
                <w:color w:val="auto"/>
              </w:rPr>
            </w:pPr>
            <w:r>
              <w:rPr>
                <w:rFonts w:ascii="Arial" w:cs="Arial" w:eastAsia="Arial" w:hAnsi="Arial"/>
                <w:sz w:val="18"/>
                <w:szCs w:val="18"/>
                <w:color w:val="auto"/>
              </w:rPr>
              <w:t>37</w:t>
            </w: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Currency translation adjustments, net of deferred taxes of $23 and $(1)</w:t>
            </w:r>
          </w:p>
        </w:tc>
        <w:tc>
          <w:tcPr>
            <w:tcW w:w="1180" w:type="dxa"/>
            <w:vAlign w:val="bottom"/>
            <w:tcBorders>
              <w:bottom w:val="single" w:sz="8" w:color="auto"/>
            </w:tcBorders>
            <w:shd w:val="clear" w:color="auto" w:fill="E5E5E5"/>
          </w:tcPr>
          <w:p>
            <w:pPr>
              <w:jc w:val="right"/>
              <w:ind w:right="57"/>
              <w:spacing w:after="0"/>
              <w:rPr>
                <w:sz w:val="20"/>
                <w:szCs w:val="20"/>
                <w:color w:val="auto"/>
              </w:rPr>
            </w:pPr>
            <w:r>
              <w:rPr>
                <w:rFonts w:ascii="Arial" w:cs="Arial" w:eastAsia="Arial" w:hAnsi="Arial"/>
                <w:sz w:val="18"/>
                <w:szCs w:val="18"/>
                <w:color w:val="auto"/>
              </w:rPr>
              <w:t>(40)</w:t>
            </w:r>
          </w:p>
        </w:tc>
        <w:tc>
          <w:tcPr>
            <w:tcW w:w="88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Comprehensive income</w:t>
            </w:r>
          </w:p>
        </w:tc>
        <w:tc>
          <w:tcPr>
            <w:tcW w:w="1180" w:type="dxa"/>
            <w:vAlign w:val="bottom"/>
          </w:tcPr>
          <w:p>
            <w:pPr>
              <w:jc w:val="right"/>
              <w:ind w:right="117"/>
              <w:spacing w:after="0"/>
              <w:rPr>
                <w:sz w:val="20"/>
                <w:szCs w:val="20"/>
                <w:color w:val="auto"/>
              </w:rPr>
            </w:pPr>
            <w:r>
              <w:rPr>
                <w:rFonts w:ascii="Arial" w:cs="Arial" w:eastAsia="Arial" w:hAnsi="Arial"/>
                <w:sz w:val="18"/>
                <w:szCs w:val="18"/>
                <w:color w:val="auto"/>
              </w:rPr>
              <w:t>2,099</w:t>
            </w:r>
          </w:p>
        </w:tc>
        <w:tc>
          <w:tcPr>
            <w:tcW w:w="880" w:type="dxa"/>
            <w:vAlign w:val="bottom"/>
          </w:tcPr>
          <w:p>
            <w:pPr>
              <w:jc w:val="right"/>
              <w:ind w:right="134"/>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 and redeemable subsidiary preferred stock</w:t>
            </w:r>
          </w:p>
        </w:tc>
        <w:tc>
          <w:tcPr>
            <w:tcW w:w="1180" w:type="dxa"/>
            <w:vAlign w:val="bottom"/>
            <w:tcBorders>
              <w:bottom w:val="single" w:sz="8" w:color="auto"/>
            </w:tcBorders>
            <w:shd w:val="clear" w:color="auto" w:fill="E5E5E5"/>
          </w:tcPr>
          <w:p>
            <w:pPr>
              <w:jc w:val="right"/>
              <w:ind w:right="57"/>
              <w:spacing w:after="0"/>
              <w:rPr>
                <w:sz w:val="20"/>
                <w:szCs w:val="20"/>
                <w:color w:val="auto"/>
              </w:rPr>
            </w:pPr>
            <w:r>
              <w:rPr>
                <w:rFonts w:ascii="Arial" w:cs="Arial" w:eastAsia="Arial" w:hAnsi="Arial"/>
                <w:sz w:val="18"/>
                <w:szCs w:val="18"/>
                <w:color w:val="auto"/>
              </w:rPr>
              <w:t>(82)</w:t>
            </w:r>
          </w:p>
        </w:tc>
        <w:tc>
          <w:tcPr>
            <w:tcW w:w="88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9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Comprehensive income attributable to Comcast Corporation</w:t>
            </w:r>
          </w:p>
        </w:tc>
        <w:tc>
          <w:tcPr>
            <w:tcW w:w="118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b w:val="1"/>
                <w:bCs w:val="1"/>
                <w:color w:val="auto"/>
              </w:rPr>
              <w:t>$ 2,017</w:t>
            </w:r>
          </w:p>
        </w:tc>
        <w:tc>
          <w:tcPr>
            <w:tcW w:w="8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$ 1,848</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2100" w:type="dxa"/>
            <w:vAlign w:val="bottom"/>
            <w:gridSpan w:val="2"/>
          </w:tcPr>
          <w:p>
            <w:pPr>
              <w:jc w:val="right"/>
              <w:ind w:right="273"/>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93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100" w:type="dxa"/>
            <w:vAlign w:val="bottom"/>
            <w:tcBorders>
              <w:bottom w:val="single" w:sz="8" w:color="auto"/>
            </w:tcBorders>
            <w:gridSpan w:val="2"/>
          </w:tcPr>
          <w:p>
            <w:pPr>
              <w:jc w:val="right"/>
              <w:ind w:right="593"/>
              <w:spacing w:after="0" w:line="159" w:lineRule="exact"/>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42"/>
        </w:trPr>
        <w:tc>
          <w:tcPr>
            <w:tcW w:w="9320" w:type="dxa"/>
            <w:vAlign w:val="bottom"/>
            <w:gridSpan w:val="2"/>
            <w:vMerge w:val="continue"/>
          </w:tcPr>
          <w:p>
            <w:pPr>
              <w:spacing w:after="0"/>
              <w:rPr>
                <w:sz w:val="12"/>
                <w:szCs w:val="12"/>
                <w:color w:val="auto"/>
              </w:rPr>
            </w:pPr>
          </w:p>
        </w:tc>
        <w:tc>
          <w:tcPr>
            <w:tcW w:w="1200" w:type="dxa"/>
            <w:vAlign w:val="bottom"/>
          </w:tcPr>
          <w:p>
            <w:pPr>
              <w:jc w:val="right"/>
              <w:ind w:right="255"/>
              <w:spacing w:after="0" w:line="142" w:lineRule="exact"/>
              <w:rPr>
                <w:sz w:val="20"/>
                <w:szCs w:val="20"/>
                <w:color w:val="auto"/>
              </w:rPr>
            </w:pPr>
            <w:r>
              <w:rPr>
                <w:rFonts w:ascii="Arial" w:cs="Arial" w:eastAsia="Arial" w:hAnsi="Arial"/>
                <w:sz w:val="14"/>
                <w:szCs w:val="14"/>
                <w:color w:val="auto"/>
              </w:rPr>
              <w:t>2015</w:t>
            </w:r>
          </w:p>
        </w:tc>
        <w:tc>
          <w:tcPr>
            <w:tcW w:w="900" w:type="dxa"/>
            <w:vAlign w:val="bottom"/>
          </w:tcPr>
          <w:p>
            <w:pPr>
              <w:jc w:val="right"/>
              <w:ind w:right="273"/>
              <w:spacing w:after="0" w:line="142"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200" w:type="dxa"/>
            <w:vAlign w:val="bottom"/>
            <w:tcBorders>
              <w:top w:val="single" w:sz="8" w:color="auto"/>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b w:val="1"/>
                <w:bCs w:val="1"/>
                <w:color w:val="auto"/>
              </w:rPr>
              <w:t>$ 5,245</w:t>
            </w:r>
          </w:p>
        </w:tc>
        <w:tc>
          <w:tcPr>
            <w:tcW w:w="900" w:type="dxa"/>
            <w:vAlign w:val="bottom"/>
            <w:tcBorders>
              <w:top w:val="single" w:sz="8" w:color="auto"/>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$ 4,486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Capital expenditures</w:t>
            </w:r>
          </w:p>
        </w:tc>
        <w:tc>
          <w:tcPr>
            <w:tcW w:w="120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(1,726)</w:t>
            </w:r>
          </w:p>
        </w:tc>
        <w:tc>
          <w:tcPr>
            <w:tcW w:w="9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Cash paid for intangible assets</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(273)</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Acquisitions and construction of real estate properties</w:t>
            </w:r>
          </w:p>
        </w:tc>
        <w:tc>
          <w:tcPr>
            <w:tcW w:w="120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(24)</w:t>
            </w:r>
          </w:p>
        </w:tc>
        <w:tc>
          <w:tcPr>
            <w:tcW w:w="9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Proceeds from sales of businesses and investments</w:t>
            </w: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180</w:t>
            </w: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Purchases of investments</w:t>
            </w:r>
          </w:p>
        </w:tc>
        <w:tc>
          <w:tcPr>
            <w:tcW w:w="120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(32)</w:t>
            </w:r>
          </w:p>
        </w:tc>
        <w:tc>
          <w:tcPr>
            <w:tcW w:w="9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181</w:t>
            </w: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20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b w:val="1"/>
                <w:bCs w:val="1"/>
                <w:color w:val="auto"/>
              </w:rPr>
              <w:t>(1,694)</w:t>
            </w:r>
          </w:p>
        </w:tc>
        <w:tc>
          <w:tcPr>
            <w:tcW w:w="9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rPr>
              <w:t>(1,505)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Proceeds from (repayments of) short-term borrowings, net</w:t>
            </w:r>
          </w:p>
        </w:tc>
        <w:tc>
          <w:tcPr>
            <w:tcW w:w="120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(150)</w:t>
            </w:r>
          </w:p>
        </w:tc>
        <w:tc>
          <w:tcPr>
            <w:tcW w:w="9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Proceeds from borrowings</w:t>
            </w: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Repurchases and repayments of debt</w:t>
            </w:r>
          </w:p>
        </w:tc>
        <w:tc>
          <w:tcPr>
            <w:tcW w:w="120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(909)</w:t>
            </w:r>
          </w:p>
        </w:tc>
        <w:tc>
          <w:tcPr>
            <w:tcW w:w="9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Repurchases and retirements of common stock</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(2,000)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Dividends paid</w:t>
            </w:r>
          </w:p>
        </w:tc>
        <w:tc>
          <w:tcPr>
            <w:tcW w:w="120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(572)</w:t>
            </w:r>
          </w:p>
        </w:tc>
        <w:tc>
          <w:tcPr>
            <w:tcW w:w="9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Issuances of common stock</w:t>
            </w: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28</w:t>
            </w: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Distributions to noncontrolling interests and dividends for redeemable subsidiary preferred stock</w:t>
            </w:r>
          </w:p>
        </w:tc>
        <w:tc>
          <w:tcPr>
            <w:tcW w:w="120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(62)</w:t>
            </w:r>
          </w:p>
        </w:tc>
        <w:tc>
          <w:tcPr>
            <w:tcW w:w="9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141</w:t>
            </w: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20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b w:val="1"/>
                <w:bCs w:val="1"/>
                <w:color w:val="auto"/>
              </w:rPr>
              <w:t>(3,524)</w:t>
            </w:r>
          </w:p>
        </w:tc>
        <w:tc>
          <w:tcPr>
            <w:tcW w:w="9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rPr>
              <w:t>(1,645)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27</w:t>
            </w: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Cash and cash equivalents, beginning of period</w:t>
            </w:r>
          </w:p>
        </w:tc>
        <w:tc>
          <w:tcPr>
            <w:tcW w:w="120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3,910</w:t>
            </w:r>
          </w:p>
        </w:tc>
        <w:tc>
          <w:tcPr>
            <w:tcW w:w="9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9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2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rPr>
              <w:t>$ 3,937</w:t>
            </w: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$ 3,054</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Borders>
              <w:right w:val="single" w:sz="8" w:color="auto"/>
            </w:tcBorders>
          </w:tcPr>
          <w:p>
            <w:pPr>
              <w:jc w:val="center"/>
              <w:ind w:right="332"/>
              <w:spacing w:after="0"/>
              <w:rPr>
                <w:sz w:val="20"/>
                <w:szCs w:val="20"/>
                <w:color w:val="auto"/>
              </w:rPr>
            </w:pPr>
            <w:r>
              <w:rPr>
                <w:rFonts w:ascii="Arial" w:cs="Arial" w:eastAsia="Arial" w:hAnsi="Arial"/>
                <w:sz w:val="14"/>
                <w:szCs w:val="14"/>
                <w:color w:val="auto"/>
                <w:w w:val="85"/>
              </w:rPr>
              <w:t>Redeemable</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500" w:type="dxa"/>
            <w:vAlign w:val="bottom"/>
            <w:tcBorders>
              <w:right w:val="single" w:sz="8" w:color="auto"/>
            </w:tcBorders>
            <w:gridSpan w:val="2"/>
          </w:tcPr>
          <w:p>
            <w:pPr>
              <w:ind w:left="320"/>
              <w:spacing w:after="0" w:line="149" w:lineRule="exact"/>
              <w:rPr>
                <w:sz w:val="20"/>
                <w:szCs w:val="20"/>
                <w:color w:val="auto"/>
              </w:rPr>
            </w:pPr>
            <w:r>
              <w:rPr>
                <w:rFonts w:ascii="Arial" w:cs="Arial" w:eastAsia="Arial" w:hAnsi="Arial"/>
                <w:sz w:val="14"/>
                <w:szCs w:val="14"/>
                <w:color w:val="auto"/>
              </w:rPr>
              <w:t>Noncontrolling</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center"/>
              <w:ind w:right="132"/>
              <w:spacing w:after="0"/>
              <w:rPr>
                <w:sz w:val="20"/>
                <w:szCs w:val="20"/>
                <w:color w:val="auto"/>
              </w:rPr>
            </w:pPr>
            <w:r>
              <w:rPr>
                <w:rFonts w:ascii="Arial" w:cs="Arial" w:eastAsia="Arial" w:hAnsi="Arial"/>
                <w:sz w:val="14"/>
                <w:szCs w:val="14"/>
                <w:color w:val="auto"/>
                <w:w w:val="88"/>
              </w:rPr>
              <w:t>Accumulated</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Borders>
              <w:right w:val="single" w:sz="8" w:color="auto"/>
            </w:tcBorders>
          </w:tcPr>
          <w:p>
            <w:pPr>
              <w:jc w:val="center"/>
              <w:ind w:right="332"/>
              <w:spacing w:after="0" w:line="135" w:lineRule="exact"/>
              <w:rPr>
                <w:sz w:val="20"/>
                <w:szCs w:val="20"/>
                <w:color w:val="auto"/>
              </w:rPr>
            </w:pPr>
            <w:r>
              <w:rPr>
                <w:rFonts w:ascii="Arial" w:cs="Arial" w:eastAsia="Arial" w:hAnsi="Arial"/>
                <w:sz w:val="14"/>
                <w:szCs w:val="14"/>
                <w:color w:val="auto"/>
                <w:w w:val="83"/>
              </w:rPr>
              <w:t>Interests and</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Borders>
              <w:right w:val="single" w:sz="8" w:color="auto"/>
            </w:tcBorders>
          </w:tcPr>
          <w:p>
            <w:pPr>
              <w:jc w:val="center"/>
              <w:ind w:right="332"/>
              <w:spacing w:after="0"/>
              <w:rPr>
                <w:sz w:val="20"/>
                <w:szCs w:val="20"/>
                <w:color w:val="auto"/>
              </w:rPr>
            </w:pPr>
            <w:r>
              <w:rPr>
                <w:rFonts w:ascii="Arial" w:cs="Arial" w:eastAsia="Arial" w:hAnsi="Arial"/>
                <w:sz w:val="14"/>
                <w:szCs w:val="14"/>
                <w:color w:val="auto"/>
                <w:w w:val="85"/>
              </w:rPr>
              <w:t>Redeemable</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color w:val="auto"/>
                <w:w w:val="87"/>
              </w:rPr>
              <w:t>Common Stock</w:t>
            </w:r>
          </w:p>
        </w:tc>
        <w:tc>
          <w:tcPr>
            <w:tcW w:w="34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color w:val="auto"/>
              </w:rPr>
              <w:t>Additional</w:t>
            </w:r>
          </w:p>
        </w:tc>
        <w:tc>
          <w:tcPr>
            <w:tcW w:w="720" w:type="dxa"/>
            <w:vAlign w:val="bottom"/>
          </w:tcPr>
          <w:p>
            <w:pPr>
              <w:spacing w:after="0"/>
              <w:rPr>
                <w:sz w:val="15"/>
                <w:szCs w:val="15"/>
                <w:color w:val="auto"/>
              </w:rPr>
            </w:pPr>
          </w:p>
        </w:tc>
        <w:tc>
          <w:tcPr>
            <w:tcW w:w="720" w:type="dxa"/>
            <w:vAlign w:val="bottom"/>
            <w:gridSpan w:val="2"/>
          </w:tcPr>
          <w:p>
            <w:pPr>
              <w:ind w:left="100"/>
              <w:spacing w:after="0"/>
              <w:rPr>
                <w:sz w:val="20"/>
                <w:szCs w:val="20"/>
                <w:color w:val="auto"/>
              </w:rPr>
            </w:pPr>
            <w:r>
              <w:rPr>
                <w:rFonts w:ascii="Arial" w:cs="Arial" w:eastAsia="Arial" w:hAnsi="Arial"/>
                <w:sz w:val="14"/>
                <w:szCs w:val="14"/>
                <w:color w:val="auto"/>
              </w:rPr>
              <w:t>Treasury</w:t>
            </w:r>
          </w:p>
        </w:tc>
        <w:tc>
          <w:tcPr>
            <w:tcW w:w="160" w:type="dxa"/>
            <w:vAlign w:val="bottom"/>
          </w:tcPr>
          <w:p>
            <w:pPr>
              <w:spacing w:after="0"/>
              <w:rPr>
                <w:sz w:val="15"/>
                <w:szCs w:val="15"/>
                <w:color w:val="auto"/>
              </w:rPr>
            </w:pPr>
          </w:p>
        </w:tc>
        <w:tc>
          <w:tcPr>
            <w:tcW w:w="920" w:type="dxa"/>
            <w:vAlign w:val="bottom"/>
          </w:tcPr>
          <w:p>
            <w:pPr>
              <w:jc w:val="center"/>
              <w:ind w:right="152"/>
              <w:spacing w:after="0"/>
              <w:rPr>
                <w:sz w:val="20"/>
                <w:szCs w:val="20"/>
                <w:color w:val="auto"/>
              </w:rPr>
            </w:pPr>
            <w:r>
              <w:rPr>
                <w:rFonts w:ascii="Arial" w:cs="Arial" w:eastAsia="Arial" w:hAnsi="Arial"/>
                <w:sz w:val="14"/>
                <w:szCs w:val="14"/>
                <w:color w:val="auto"/>
                <w:w w:val="85"/>
              </w:rPr>
              <w:t>Other</w:t>
            </w:r>
          </w:p>
        </w:tc>
        <w:tc>
          <w:tcPr>
            <w:tcW w:w="160" w:type="dxa"/>
            <w:vAlign w:val="bottom"/>
          </w:tcPr>
          <w:p>
            <w:pPr>
              <w:spacing w:after="0"/>
              <w:rPr>
                <w:sz w:val="15"/>
                <w:szCs w:val="15"/>
                <w:color w:val="auto"/>
              </w:rPr>
            </w:pPr>
          </w:p>
        </w:tc>
        <w:tc>
          <w:tcPr>
            <w:tcW w:w="620" w:type="dxa"/>
            <w:vAlign w:val="bottom"/>
          </w:tcPr>
          <w:p>
            <w:pPr>
              <w:jc w:val="right"/>
              <w:ind w:right="192"/>
              <w:spacing w:after="0"/>
              <w:rPr>
                <w:sz w:val="20"/>
                <w:szCs w:val="20"/>
                <w:color w:val="auto"/>
              </w:rPr>
            </w:pPr>
            <w:r>
              <w:rPr>
                <w:rFonts w:ascii="Arial" w:cs="Arial" w:eastAsia="Arial" w:hAnsi="Arial"/>
                <w:sz w:val="14"/>
                <w:szCs w:val="14"/>
                <w:color w:val="auto"/>
              </w:rPr>
              <w:t>Non-</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Borders>
              <w:right w:val="single" w:sz="8" w:color="auto"/>
            </w:tcBorders>
            <w:vMerge w:val="restart"/>
          </w:tcPr>
          <w:p>
            <w:pPr>
              <w:jc w:val="center"/>
              <w:ind w:right="332"/>
              <w:spacing w:after="0" w:line="125" w:lineRule="exact"/>
              <w:rPr>
                <w:sz w:val="20"/>
                <w:szCs w:val="20"/>
                <w:color w:val="auto"/>
              </w:rPr>
            </w:pPr>
            <w:r>
              <w:rPr>
                <w:rFonts w:ascii="Arial" w:cs="Arial" w:eastAsia="Arial" w:hAnsi="Arial"/>
                <w:sz w:val="14"/>
                <w:szCs w:val="14"/>
                <w:color w:val="auto"/>
                <w:w w:val="85"/>
              </w:rPr>
              <w:t>Subsidiary</w:t>
            </w:r>
          </w:p>
        </w:tc>
        <w:tc>
          <w:tcPr>
            <w:tcW w:w="180" w:type="dxa"/>
            <w:vAlign w:val="bottom"/>
            <w:vMerge w:val="restart"/>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vMerge w:val="restart"/>
          </w:tcPr>
          <w:p>
            <w:pPr>
              <w:jc w:val="right"/>
              <w:ind w:right="152"/>
              <w:spacing w:after="0" w:line="125" w:lineRule="exact"/>
              <w:rPr>
                <w:sz w:val="20"/>
                <w:szCs w:val="20"/>
                <w:color w:val="auto"/>
              </w:rPr>
            </w:pPr>
            <w:r>
              <w:rPr>
                <w:rFonts w:ascii="Arial" w:cs="Arial" w:eastAsia="Arial" w:hAnsi="Arial"/>
                <w:sz w:val="14"/>
                <w:szCs w:val="14"/>
                <w:color w:val="auto"/>
                <w:w w:val="90"/>
              </w:rPr>
              <w:t>Paid-In</w:t>
            </w:r>
          </w:p>
        </w:tc>
        <w:tc>
          <w:tcPr>
            <w:tcW w:w="720" w:type="dxa"/>
            <w:vAlign w:val="bottom"/>
            <w:vMerge w:val="restart"/>
          </w:tcPr>
          <w:p>
            <w:pPr>
              <w:jc w:val="right"/>
              <w:ind w:right="72"/>
              <w:spacing w:after="0" w:line="125" w:lineRule="exact"/>
              <w:rPr>
                <w:sz w:val="20"/>
                <w:szCs w:val="20"/>
                <w:color w:val="auto"/>
              </w:rPr>
            </w:pPr>
            <w:r>
              <w:rPr>
                <w:rFonts w:ascii="Arial" w:cs="Arial" w:eastAsia="Arial" w:hAnsi="Arial"/>
                <w:sz w:val="14"/>
                <w:szCs w:val="14"/>
                <w:color w:val="auto"/>
                <w:w w:val="99"/>
              </w:rPr>
              <w:t>Retained</w:t>
            </w:r>
          </w:p>
        </w:tc>
        <w:tc>
          <w:tcPr>
            <w:tcW w:w="720" w:type="dxa"/>
            <w:vAlign w:val="bottom"/>
            <w:gridSpan w:val="2"/>
            <w:vMerge w:val="restart"/>
          </w:tcPr>
          <w:p>
            <w:pPr>
              <w:ind w:left="120"/>
              <w:spacing w:after="0" w:line="125" w:lineRule="exact"/>
              <w:rPr>
                <w:sz w:val="20"/>
                <w:szCs w:val="20"/>
                <w:color w:val="auto"/>
              </w:rPr>
            </w:pPr>
            <w:r>
              <w:rPr>
                <w:rFonts w:ascii="Arial" w:cs="Arial" w:eastAsia="Arial" w:hAnsi="Arial"/>
                <w:sz w:val="14"/>
                <w:szCs w:val="14"/>
                <w:color w:val="auto"/>
              </w:rPr>
              <w:t>Stock at</w:t>
            </w:r>
          </w:p>
        </w:tc>
        <w:tc>
          <w:tcPr>
            <w:tcW w:w="1080" w:type="dxa"/>
            <w:vAlign w:val="bottom"/>
            <w:gridSpan w:val="2"/>
            <w:vMerge w:val="restart"/>
          </w:tcPr>
          <w:p>
            <w:pPr>
              <w:ind w:left="100"/>
              <w:spacing w:after="0" w:line="125" w:lineRule="exact"/>
              <w:rPr>
                <w:sz w:val="20"/>
                <w:szCs w:val="20"/>
                <w:color w:val="auto"/>
              </w:rPr>
            </w:pPr>
            <w:r>
              <w:rPr>
                <w:rFonts w:ascii="Arial" w:cs="Arial" w:eastAsia="Arial" w:hAnsi="Arial"/>
                <w:sz w:val="14"/>
                <w:szCs w:val="14"/>
                <w:color w:val="auto"/>
                <w:w w:val="97"/>
              </w:rPr>
              <w:t>Comprehensive</w:t>
            </w:r>
          </w:p>
        </w:tc>
        <w:tc>
          <w:tcPr>
            <w:tcW w:w="780" w:type="dxa"/>
            <w:vAlign w:val="bottom"/>
            <w:gridSpan w:val="2"/>
            <w:vMerge w:val="restart"/>
          </w:tcPr>
          <w:p>
            <w:pPr>
              <w:ind w:left="100"/>
              <w:spacing w:after="0" w:line="125" w:lineRule="exact"/>
              <w:rPr>
                <w:sz w:val="20"/>
                <w:szCs w:val="20"/>
                <w:color w:val="auto"/>
              </w:rPr>
            </w:pPr>
            <w:r>
              <w:rPr>
                <w:rFonts w:ascii="Arial" w:cs="Arial" w:eastAsia="Arial" w:hAnsi="Arial"/>
                <w:sz w:val="14"/>
                <w:szCs w:val="14"/>
                <w:color w:val="auto"/>
              </w:rPr>
              <w:t>controlling</w:t>
            </w:r>
          </w:p>
        </w:tc>
        <w:tc>
          <w:tcPr>
            <w:tcW w:w="620" w:type="dxa"/>
            <w:vAlign w:val="bottom"/>
            <w:vMerge w:val="restart"/>
          </w:tcPr>
          <w:p>
            <w:pPr>
              <w:jc w:val="right"/>
              <w:ind w:right="132"/>
              <w:spacing w:after="0" w:line="125"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20" w:type="dxa"/>
            <w:vAlign w:val="bottom"/>
            <w:tcBorders>
              <w:right w:val="single" w:sz="8" w:color="auto"/>
            </w:tcBorders>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33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500" w:type="dxa"/>
            <w:vAlign w:val="bottom"/>
            <w:tcBorders>
              <w:right w:val="single" w:sz="8" w:color="auto"/>
            </w:tcBorders>
            <w:gridSpan w:val="2"/>
          </w:tcPr>
          <w:p>
            <w:pPr>
              <w:ind w:left="320"/>
              <w:spacing w:after="0"/>
              <w:rPr>
                <w:sz w:val="20"/>
                <w:szCs w:val="20"/>
                <w:color w:val="auto"/>
              </w:rPr>
            </w:pPr>
            <w:r>
              <w:rPr>
                <w:rFonts w:ascii="Arial" w:cs="Arial" w:eastAsia="Arial" w:hAnsi="Arial"/>
                <w:sz w:val="14"/>
                <w:szCs w:val="14"/>
                <w:color w:val="auto"/>
              </w:rPr>
              <w:t>Preferred Stock</w:t>
            </w:r>
          </w:p>
        </w:tc>
        <w:tc>
          <w:tcPr>
            <w:tcW w:w="180" w:type="dxa"/>
            <w:vAlign w:val="bottom"/>
          </w:tcPr>
          <w:p>
            <w:pPr>
              <w:spacing w:after="0"/>
              <w:rPr>
                <w:sz w:val="15"/>
                <w:szCs w:val="15"/>
                <w:color w:val="auto"/>
              </w:rPr>
            </w:pPr>
          </w:p>
        </w:tc>
        <w:tc>
          <w:tcPr>
            <w:tcW w:w="380" w:type="dxa"/>
            <w:vAlign w:val="bottom"/>
          </w:tcPr>
          <w:p>
            <w:pPr>
              <w:jc w:val="center"/>
              <w:ind w:left="52"/>
              <w:spacing w:after="0"/>
              <w:rPr>
                <w:sz w:val="20"/>
                <w:szCs w:val="20"/>
                <w:color w:val="auto"/>
              </w:rPr>
            </w:pPr>
            <w:r>
              <w:rPr>
                <w:rFonts w:ascii="Arial" w:cs="Arial" w:eastAsia="Arial" w:hAnsi="Arial"/>
                <w:sz w:val="14"/>
                <w:szCs w:val="14"/>
                <w:color w:val="auto"/>
              </w:rPr>
              <w:t>A</w:t>
            </w:r>
          </w:p>
        </w:tc>
        <w:tc>
          <w:tcPr>
            <w:tcW w:w="900" w:type="dxa"/>
            <w:vAlign w:val="bottom"/>
            <w:gridSpan w:val="2"/>
          </w:tcPr>
          <w:p>
            <w:pPr>
              <w:ind w:left="180"/>
              <w:spacing w:after="0"/>
              <w:rPr>
                <w:sz w:val="20"/>
                <w:szCs w:val="20"/>
                <w:color w:val="auto"/>
              </w:rPr>
            </w:pPr>
            <w:r>
              <w:rPr>
                <w:rFonts w:ascii="Arial" w:cs="Arial" w:eastAsia="Arial" w:hAnsi="Arial"/>
                <w:sz w:val="14"/>
                <w:szCs w:val="14"/>
                <w:color w:val="auto"/>
              </w:rPr>
              <w:t>A Special</w:t>
            </w:r>
          </w:p>
        </w:tc>
        <w:tc>
          <w:tcPr>
            <w:tcW w:w="340" w:type="dxa"/>
            <w:vAlign w:val="bottom"/>
          </w:tcPr>
          <w:p>
            <w:pPr>
              <w:jc w:val="center"/>
              <w:spacing w:after="0"/>
              <w:rPr>
                <w:sz w:val="20"/>
                <w:szCs w:val="20"/>
                <w:color w:val="auto"/>
              </w:rPr>
            </w:pPr>
            <w:r>
              <w:rPr>
                <w:rFonts w:ascii="Arial" w:cs="Arial" w:eastAsia="Arial" w:hAnsi="Arial"/>
                <w:sz w:val="14"/>
                <w:szCs w:val="14"/>
                <w:color w:val="auto"/>
              </w:rPr>
              <w:t>B</w:t>
            </w:r>
          </w:p>
        </w:tc>
        <w:tc>
          <w:tcPr>
            <w:tcW w:w="220" w:type="dxa"/>
            <w:vAlign w:val="bottom"/>
          </w:tcPr>
          <w:p>
            <w:pPr>
              <w:spacing w:after="0"/>
              <w:rPr>
                <w:sz w:val="15"/>
                <w:szCs w:val="15"/>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color w:val="auto"/>
                <w:w w:val="91"/>
              </w:rPr>
              <w:t>Capital</w:t>
            </w: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Earnings</w:t>
            </w:r>
          </w:p>
        </w:tc>
        <w:tc>
          <w:tcPr>
            <w:tcW w:w="180" w:type="dxa"/>
            <w:vAlign w:val="bottom"/>
          </w:tcPr>
          <w:p>
            <w:pPr>
              <w:spacing w:after="0"/>
              <w:rPr>
                <w:sz w:val="15"/>
                <w:szCs w:val="15"/>
                <w:color w:val="auto"/>
              </w:rPr>
            </w:pPr>
          </w:p>
        </w:tc>
        <w:tc>
          <w:tcPr>
            <w:tcW w:w="540" w:type="dxa"/>
            <w:vAlign w:val="bottom"/>
          </w:tcPr>
          <w:p>
            <w:pPr>
              <w:jc w:val="right"/>
              <w:ind w:right="192"/>
              <w:spacing w:after="0"/>
              <w:rPr>
                <w:sz w:val="20"/>
                <w:szCs w:val="20"/>
                <w:color w:val="auto"/>
              </w:rPr>
            </w:pPr>
            <w:r>
              <w:rPr>
                <w:rFonts w:ascii="Arial" w:cs="Arial" w:eastAsia="Arial" w:hAnsi="Arial"/>
                <w:sz w:val="14"/>
                <w:szCs w:val="14"/>
                <w:color w:val="auto"/>
                <w:w w:val="90"/>
              </w:rPr>
              <w:t>Cost</w:t>
            </w: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87"/>
              </w:rPr>
              <w:t>Income (Loss)</w:t>
            </w:r>
          </w:p>
        </w:tc>
        <w:tc>
          <w:tcPr>
            <w:tcW w:w="160" w:type="dxa"/>
            <w:vAlign w:val="bottom"/>
          </w:tcPr>
          <w:p>
            <w:pPr>
              <w:spacing w:after="0"/>
              <w:rPr>
                <w:sz w:val="15"/>
                <w:szCs w:val="15"/>
                <w:color w:val="auto"/>
              </w:rPr>
            </w:pPr>
          </w:p>
        </w:tc>
        <w:tc>
          <w:tcPr>
            <w:tcW w:w="620" w:type="dxa"/>
            <w:vAlign w:val="bottom"/>
          </w:tcPr>
          <w:p>
            <w:pPr>
              <w:jc w:val="right"/>
              <w:ind w:right="92"/>
              <w:spacing w:after="0"/>
              <w:rPr>
                <w:sz w:val="20"/>
                <w:szCs w:val="20"/>
                <w:color w:val="auto"/>
              </w:rPr>
            </w:pPr>
            <w:r>
              <w:rPr>
                <w:rFonts w:ascii="Arial" w:cs="Arial" w:eastAsia="Arial" w:hAnsi="Arial"/>
                <w:sz w:val="14"/>
                <w:szCs w:val="14"/>
                <w:color w:val="auto"/>
                <w:w w:val="81"/>
              </w:rPr>
              <w:t>Interests</w:t>
            </w:r>
          </w:p>
        </w:tc>
        <w:tc>
          <w:tcPr>
            <w:tcW w:w="620" w:type="dxa"/>
            <w:vAlign w:val="bottom"/>
          </w:tcPr>
          <w:p>
            <w:pPr>
              <w:jc w:val="right"/>
              <w:ind w:right="92"/>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top w:val="single" w:sz="8" w:color="auto"/>
            </w:tcBorders>
            <w:shd w:val="clear" w:color="auto" w:fill="E5E5E5"/>
          </w:tcPr>
          <w:p>
            <w:pPr>
              <w:spacing w:after="0" w:line="142" w:lineRule="exact"/>
              <w:rPr>
                <w:sz w:val="20"/>
                <w:szCs w:val="20"/>
                <w:color w:val="auto"/>
              </w:rPr>
            </w:pPr>
            <w:r>
              <w:rPr>
                <w:rFonts w:ascii="Arial" w:cs="Arial" w:eastAsia="Arial" w:hAnsi="Arial"/>
                <w:sz w:val="14"/>
                <w:szCs w:val="14"/>
                <w:color w:val="auto"/>
              </w:rPr>
              <w:t>Balance, December 31, 2013</w:t>
            </w:r>
          </w:p>
        </w:tc>
        <w:tc>
          <w:tcPr>
            <w:tcW w:w="380" w:type="dxa"/>
            <w:vAlign w:val="bottom"/>
            <w:tcBorders>
              <w:top w:val="single" w:sz="8" w:color="auto"/>
            </w:tcBorders>
            <w:shd w:val="clear" w:color="auto" w:fill="E5E5E5"/>
          </w:tcPr>
          <w:p>
            <w:pPr>
              <w:ind w:left="32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right w:val="single" w:sz="8" w:color="auto"/>
            </w:tcBorders>
            <w:shd w:val="clear" w:color="auto" w:fill="E5E5E5"/>
          </w:tcPr>
          <w:p>
            <w:pPr>
              <w:jc w:val="right"/>
              <w:ind w:right="272"/>
              <w:spacing w:after="0" w:line="142" w:lineRule="exact"/>
              <w:rPr>
                <w:sz w:val="20"/>
                <w:szCs w:val="20"/>
                <w:color w:val="auto"/>
              </w:rPr>
            </w:pPr>
            <w:r>
              <w:rPr>
                <w:rFonts w:ascii="Arial" w:cs="Arial" w:eastAsia="Arial" w:hAnsi="Arial"/>
                <w:sz w:val="14"/>
                <w:szCs w:val="14"/>
                <w:color w:val="auto"/>
              </w:rPr>
              <w:t>957</w:t>
            </w:r>
          </w:p>
        </w:tc>
        <w:tc>
          <w:tcPr>
            <w:tcW w:w="180" w:type="dxa"/>
            <w:vAlign w:val="bottom"/>
            <w:tcBorders>
              <w:top w:val="single" w:sz="8" w:color="auto"/>
            </w:tcBorders>
            <w:shd w:val="clear" w:color="auto" w:fill="E5E5E5"/>
          </w:tcPr>
          <w:p>
            <w:pPr>
              <w:spacing w:after="0"/>
              <w:rPr>
                <w:sz w:val="12"/>
                <w:szCs w:val="12"/>
                <w:color w:val="auto"/>
              </w:rPr>
            </w:pPr>
          </w:p>
        </w:tc>
        <w:tc>
          <w:tcPr>
            <w:tcW w:w="380" w:type="dxa"/>
            <w:vAlign w:val="bottom"/>
            <w:tcBorders>
              <w:top w:val="single" w:sz="8" w:color="auto"/>
            </w:tcBorders>
            <w:shd w:val="clear" w:color="auto" w:fill="E5E5E5"/>
          </w:tcPr>
          <w:p>
            <w:pPr>
              <w:jc w:val="center"/>
              <w:ind w:left="32"/>
              <w:spacing w:after="0" w:line="142" w:lineRule="exact"/>
              <w:rPr>
                <w:sz w:val="20"/>
                <w:szCs w:val="20"/>
                <w:color w:val="auto"/>
              </w:rPr>
            </w:pPr>
            <w:r>
              <w:rPr>
                <w:rFonts w:ascii="Arial" w:cs="Arial" w:eastAsia="Arial" w:hAnsi="Arial"/>
                <w:sz w:val="14"/>
                <w:szCs w:val="14"/>
                <w:color w:val="auto"/>
                <w:w w:val="85"/>
              </w:rPr>
              <w:t>$25</w:t>
            </w:r>
          </w:p>
        </w:tc>
        <w:tc>
          <w:tcPr>
            <w:tcW w:w="440" w:type="dxa"/>
            <w:vAlign w:val="bottom"/>
            <w:tcBorders>
              <w:top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E5E5E5"/>
          </w:tcPr>
          <w:p>
            <w:pPr>
              <w:jc w:val="right"/>
              <w:ind w:right="112"/>
              <w:spacing w:after="0" w:line="142" w:lineRule="exact"/>
              <w:rPr>
                <w:sz w:val="20"/>
                <w:szCs w:val="20"/>
                <w:color w:val="auto"/>
              </w:rPr>
            </w:pPr>
            <w:r>
              <w:rPr>
                <w:rFonts w:ascii="Arial" w:cs="Arial" w:eastAsia="Arial" w:hAnsi="Arial"/>
                <w:sz w:val="14"/>
                <w:szCs w:val="14"/>
                <w:color w:val="auto"/>
              </w:rPr>
              <w:t>5</w:t>
            </w:r>
          </w:p>
        </w:tc>
        <w:tc>
          <w:tcPr>
            <w:tcW w:w="340" w:type="dxa"/>
            <w:vAlign w:val="bottom"/>
            <w:tcBorders>
              <w:top w:val="single" w:sz="8" w:color="auto"/>
            </w:tcBorders>
            <w:shd w:val="clear" w:color="auto" w:fill="E5E5E5"/>
          </w:tcPr>
          <w:p>
            <w:pPr>
              <w:jc w:val="center"/>
              <w:spacing w:after="0" w:line="142" w:lineRule="exact"/>
              <w:rPr>
                <w:sz w:val="20"/>
                <w:szCs w:val="20"/>
                <w:color w:val="auto"/>
              </w:rPr>
            </w:pPr>
            <w:r>
              <w:rPr>
                <w:rFonts w:ascii="Arial" w:cs="Arial" w:eastAsia="Arial" w:hAnsi="Arial"/>
                <w:sz w:val="14"/>
                <w:szCs w:val="14"/>
                <w:color w:val="auto"/>
              </w:rPr>
              <w:t>$ —</w:t>
            </w:r>
          </w:p>
        </w:tc>
        <w:tc>
          <w:tcPr>
            <w:tcW w:w="220" w:type="dxa"/>
            <w:vAlign w:val="bottom"/>
            <w:tcBorders>
              <w:top w:val="single" w:sz="8" w:color="auto"/>
            </w:tcBorders>
            <w:shd w:val="clear" w:color="auto" w:fill="E5E5E5"/>
          </w:tcPr>
          <w:p>
            <w:pPr>
              <w:ind w:left="140"/>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38,890</w:t>
            </w:r>
          </w:p>
        </w:tc>
        <w:tc>
          <w:tcPr>
            <w:tcW w:w="720" w:type="dxa"/>
            <w:vAlign w:val="bottom"/>
            <w:tcBorders>
              <w:top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$ 19,235</w:t>
            </w:r>
          </w:p>
        </w:tc>
        <w:tc>
          <w:tcPr>
            <w:tcW w:w="180" w:type="dxa"/>
            <w:vAlign w:val="bottom"/>
            <w:tcBorders>
              <w:top w:val="single" w:sz="8" w:color="auto"/>
            </w:tcBorders>
            <w:shd w:val="clear" w:color="auto" w:fill="E5E5E5"/>
          </w:tcPr>
          <w:p>
            <w:pPr>
              <w:ind w:left="100"/>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w w:val="94"/>
              </w:rPr>
              <w:t>(7,517)</w:t>
            </w:r>
          </w:p>
        </w:tc>
        <w:tc>
          <w:tcPr>
            <w:tcW w:w="160" w:type="dxa"/>
            <w:vAlign w:val="bottom"/>
            <w:tcBorders>
              <w:top w:val="single" w:sz="8" w:color="auto"/>
            </w:tcBorders>
            <w:shd w:val="clear" w:color="auto" w:fill="E5E5E5"/>
          </w:tcPr>
          <w:p>
            <w:pPr>
              <w:ind w:left="80"/>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56</w:t>
            </w:r>
          </w:p>
        </w:tc>
        <w:tc>
          <w:tcPr>
            <w:tcW w:w="160" w:type="dxa"/>
            <w:vAlign w:val="bottom"/>
            <w:tcBorders>
              <w:top w:val="single" w:sz="8" w:color="auto"/>
            </w:tcBorders>
            <w:shd w:val="clear" w:color="auto" w:fill="E5E5E5"/>
          </w:tcPr>
          <w:p>
            <w:pPr>
              <w:ind w:left="10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rPr>
              <w:t>364</w:t>
            </w:r>
          </w:p>
        </w:tc>
        <w:tc>
          <w:tcPr>
            <w:tcW w:w="620" w:type="dxa"/>
            <w:vAlign w:val="bottom"/>
            <w:tcBorders>
              <w:top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w w:val="98"/>
              </w:rPr>
              <w:t>$51,058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Stock compensation plans</w:t>
            </w:r>
          </w:p>
        </w:tc>
        <w:tc>
          <w:tcPr>
            <w:tcW w:w="380" w:type="dxa"/>
            <w:vAlign w:val="bottom"/>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242</w:t>
            </w: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(206)</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Repurchases and retirements of common stock</w:t>
            </w:r>
          </w:p>
        </w:tc>
        <w:tc>
          <w:tcPr>
            <w:tcW w:w="380" w:type="dxa"/>
            <w:vAlign w:val="bottom"/>
            <w:shd w:val="clear" w:color="auto" w:fill="E5E5E5"/>
          </w:tcPr>
          <w:p>
            <w:pPr>
              <w:spacing w:after="0"/>
              <w:rPr>
                <w:sz w:val="12"/>
                <w:szCs w:val="12"/>
                <w:color w:val="auto"/>
              </w:rPr>
            </w:pPr>
          </w:p>
        </w:tc>
        <w:tc>
          <w:tcPr>
            <w:tcW w:w="1120" w:type="dxa"/>
            <w:vAlign w:val="bottom"/>
            <w:tcBorders>
              <w:right w:val="single" w:sz="8" w:color="auto"/>
            </w:tcBorders>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38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46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(172)</w:t>
            </w:r>
          </w:p>
        </w:tc>
        <w:tc>
          <w:tcPr>
            <w:tcW w:w="72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(578)</w:t>
            </w:r>
          </w:p>
        </w:tc>
        <w:tc>
          <w:tcPr>
            <w:tcW w:w="18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6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Employee stock purchase plans</w:t>
            </w:r>
          </w:p>
        </w:tc>
        <w:tc>
          <w:tcPr>
            <w:tcW w:w="380" w:type="dxa"/>
            <w:vAlign w:val="bottom"/>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26</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Dividends declared</w:t>
            </w:r>
          </w:p>
        </w:tc>
        <w:tc>
          <w:tcPr>
            <w:tcW w:w="380" w:type="dxa"/>
            <w:vAlign w:val="bottom"/>
            <w:shd w:val="clear" w:color="auto" w:fill="E5E5E5"/>
          </w:tcPr>
          <w:p>
            <w:pPr>
              <w:spacing w:after="0"/>
              <w:rPr>
                <w:sz w:val="12"/>
                <w:szCs w:val="12"/>
                <w:color w:val="auto"/>
              </w:rPr>
            </w:pPr>
          </w:p>
        </w:tc>
        <w:tc>
          <w:tcPr>
            <w:tcW w:w="1120" w:type="dxa"/>
            <w:vAlign w:val="bottom"/>
            <w:tcBorders>
              <w:right w:val="single" w:sz="8" w:color="auto"/>
            </w:tcBorders>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38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46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(585)</w:t>
            </w:r>
          </w:p>
        </w:tc>
        <w:tc>
          <w:tcPr>
            <w:tcW w:w="18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6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(585)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Other comprehensive income (loss)</w:t>
            </w:r>
          </w:p>
        </w:tc>
        <w:tc>
          <w:tcPr>
            <w:tcW w:w="380" w:type="dxa"/>
            <w:vAlign w:val="bottom"/>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(23)</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w w:val="94"/>
              </w:rPr>
              <w:t>Issuance of subsidiary shares to noncontrolling interests</w:t>
            </w:r>
          </w:p>
        </w:tc>
        <w:tc>
          <w:tcPr>
            <w:tcW w:w="380" w:type="dxa"/>
            <w:vAlign w:val="bottom"/>
            <w:shd w:val="clear" w:color="auto" w:fill="E5E5E5"/>
          </w:tcPr>
          <w:p>
            <w:pPr>
              <w:spacing w:after="0"/>
              <w:rPr>
                <w:sz w:val="12"/>
                <w:szCs w:val="12"/>
                <w:color w:val="auto"/>
              </w:rPr>
            </w:pPr>
          </w:p>
        </w:tc>
        <w:tc>
          <w:tcPr>
            <w:tcW w:w="1120" w:type="dxa"/>
            <w:vAlign w:val="bottom"/>
            <w:tcBorders>
              <w:right w:val="single" w:sz="8" w:color="auto"/>
            </w:tcBorders>
            <w:shd w:val="clear" w:color="auto" w:fill="E5E5E5"/>
          </w:tcPr>
          <w:p>
            <w:pPr>
              <w:jc w:val="right"/>
              <w:ind w:right="272"/>
              <w:spacing w:after="0" w:line="149" w:lineRule="exact"/>
              <w:rPr>
                <w:sz w:val="20"/>
                <w:szCs w:val="20"/>
                <w:color w:val="auto"/>
              </w:rPr>
            </w:pPr>
            <w:r>
              <w:rPr>
                <w:rFonts w:ascii="Arial" w:cs="Arial" w:eastAsia="Arial" w:hAnsi="Arial"/>
                <w:sz w:val="14"/>
                <w:szCs w:val="14"/>
                <w:color w:val="auto"/>
              </w:rPr>
              <w:t>82</w:t>
            </w:r>
          </w:p>
        </w:tc>
        <w:tc>
          <w:tcPr>
            <w:tcW w:w="180" w:type="dxa"/>
            <w:vAlign w:val="bottom"/>
            <w:shd w:val="clear" w:color="auto" w:fill="E5E5E5"/>
          </w:tcPr>
          <w:p>
            <w:pPr>
              <w:spacing w:after="0"/>
              <w:rPr>
                <w:sz w:val="12"/>
                <w:szCs w:val="12"/>
                <w:color w:val="auto"/>
              </w:rPr>
            </w:pPr>
          </w:p>
        </w:tc>
        <w:tc>
          <w:tcPr>
            <w:tcW w:w="38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46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20" w:type="dxa"/>
            <w:vAlign w:val="bottom"/>
          </w:tcPr>
          <w:p>
            <w:pPr>
              <w:spacing w:after="0" w:line="138" w:lineRule="exact"/>
              <w:rPr>
                <w:sz w:val="20"/>
                <w:szCs w:val="20"/>
                <w:color w:val="auto"/>
              </w:rPr>
            </w:pPr>
            <w:r>
              <w:rPr>
                <w:rFonts w:ascii="Arial" w:cs="Arial" w:eastAsia="Arial" w:hAnsi="Arial"/>
                <w:sz w:val="14"/>
                <w:szCs w:val="14"/>
                <w:color w:val="auto"/>
              </w:rPr>
              <w:t>Contributions from (distributions to)</w:t>
            </w:r>
          </w:p>
        </w:tc>
        <w:tc>
          <w:tcPr>
            <w:tcW w:w="380" w:type="dxa"/>
            <w:vAlign w:val="bottom"/>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20" w:type="dxa"/>
            <w:vAlign w:val="bottom"/>
          </w:tcPr>
          <w:p>
            <w:pPr>
              <w:ind w:left="200"/>
              <w:spacing w:after="0" w:line="159" w:lineRule="exact"/>
              <w:rPr>
                <w:sz w:val="20"/>
                <w:szCs w:val="20"/>
                <w:color w:val="auto"/>
              </w:rPr>
            </w:pPr>
            <w:r>
              <w:rPr>
                <w:rFonts w:ascii="Arial" w:cs="Arial" w:eastAsia="Arial" w:hAnsi="Arial"/>
                <w:sz w:val="14"/>
                <w:szCs w:val="14"/>
                <w:color w:val="auto"/>
              </w:rPr>
              <w:t>noncontrolling interests, net</w:t>
            </w:r>
          </w:p>
        </w:tc>
        <w:tc>
          <w:tcPr>
            <w:tcW w:w="380" w:type="dxa"/>
            <w:vAlign w:val="bottom"/>
          </w:tcPr>
          <w:p>
            <w:pPr>
              <w:spacing w:after="0"/>
              <w:rPr>
                <w:sz w:val="13"/>
                <w:szCs w:val="13"/>
                <w:color w:val="auto"/>
              </w:rPr>
            </w:pPr>
          </w:p>
        </w:tc>
        <w:tc>
          <w:tcPr>
            <w:tcW w:w="1120" w:type="dxa"/>
            <w:vAlign w:val="bottom"/>
            <w:tcBorders>
              <w:right w:val="single" w:sz="8" w:color="auto"/>
            </w:tcBorders>
          </w:tcPr>
          <w:p>
            <w:pPr>
              <w:jc w:val="right"/>
              <w:ind w:right="212"/>
              <w:spacing w:after="0" w:line="159" w:lineRule="exact"/>
              <w:rPr>
                <w:sz w:val="20"/>
                <w:szCs w:val="20"/>
                <w:color w:val="auto"/>
              </w:rPr>
            </w:pPr>
            <w:r>
              <w:rPr>
                <w:rFonts w:ascii="Arial" w:cs="Arial" w:eastAsia="Arial" w:hAnsi="Arial"/>
                <w:sz w:val="14"/>
                <w:szCs w:val="14"/>
                <w:color w:val="auto"/>
              </w:rPr>
              <w:t>(5)</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(37)</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Other</w:t>
            </w:r>
          </w:p>
        </w:tc>
        <w:tc>
          <w:tcPr>
            <w:tcW w:w="380" w:type="dxa"/>
            <w:vAlign w:val="bottom"/>
            <w:shd w:val="clear" w:color="auto" w:fill="E5E5E5"/>
          </w:tcPr>
          <w:p>
            <w:pPr>
              <w:spacing w:after="0"/>
              <w:rPr>
                <w:sz w:val="12"/>
                <w:szCs w:val="12"/>
                <w:color w:val="auto"/>
              </w:rPr>
            </w:pPr>
          </w:p>
        </w:tc>
        <w:tc>
          <w:tcPr>
            <w:tcW w:w="1120" w:type="dxa"/>
            <w:vAlign w:val="bottom"/>
            <w:tcBorders>
              <w:right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(5)</w:t>
            </w:r>
          </w:p>
        </w:tc>
        <w:tc>
          <w:tcPr>
            <w:tcW w:w="180" w:type="dxa"/>
            <w:vAlign w:val="bottom"/>
            <w:shd w:val="clear" w:color="auto" w:fill="E5E5E5"/>
          </w:tcPr>
          <w:p>
            <w:pPr>
              <w:spacing w:after="0"/>
              <w:rPr>
                <w:sz w:val="12"/>
                <w:szCs w:val="12"/>
                <w:color w:val="auto"/>
              </w:rPr>
            </w:pPr>
          </w:p>
        </w:tc>
        <w:tc>
          <w:tcPr>
            <w:tcW w:w="38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46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w:t>
            </w:r>
          </w:p>
        </w:tc>
        <w:tc>
          <w:tcPr>
            <w:tcW w:w="72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(6)</w:t>
            </w:r>
          </w:p>
        </w:tc>
        <w:tc>
          <w:tcPr>
            <w:tcW w:w="6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Net income (loss)</w:t>
            </w:r>
          </w:p>
        </w:tc>
        <w:tc>
          <w:tcPr>
            <w:tcW w:w="380" w:type="dxa"/>
            <w:vAlign w:val="bottom"/>
            <w:tcBorders>
              <w:bottom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jc w:val="right"/>
              <w:ind w:right="272"/>
              <w:spacing w:after="0" w:line="149" w:lineRule="exact"/>
              <w:rPr>
                <w:sz w:val="20"/>
                <w:szCs w:val="20"/>
                <w:color w:val="auto"/>
              </w:rPr>
            </w:pPr>
            <w:r>
              <w:rPr>
                <w:rFonts w:ascii="Arial" w:cs="Arial" w:eastAsia="Arial" w:hAnsi="Arial"/>
                <w:sz w:val="14"/>
                <w:szCs w:val="14"/>
                <w:color w:val="auto"/>
              </w:rPr>
              <w:t>24</w:t>
            </w:r>
          </w:p>
        </w:tc>
        <w:tc>
          <w:tcPr>
            <w:tcW w:w="1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1,871</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43</w:t>
            </w:r>
          </w:p>
        </w:tc>
        <w:tc>
          <w:tcPr>
            <w:tcW w:w="62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1,914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Balance, March 31, 2014</w:t>
            </w:r>
          </w:p>
        </w:tc>
        <w:tc>
          <w:tcPr>
            <w:tcW w:w="380" w:type="dxa"/>
            <w:vAlign w:val="bottom"/>
            <w:tcBorders>
              <w:bottom w:val="single" w:sz="8" w:color="auto"/>
            </w:tcBorders>
            <w:shd w:val="clear" w:color="auto" w:fill="E5E5E5"/>
          </w:tcPr>
          <w:p>
            <w:pPr>
              <w:ind w:left="320"/>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bottom w:val="single" w:sz="8" w:color="auto"/>
              <w:right w:val="single" w:sz="8" w:color="auto"/>
            </w:tcBorders>
            <w:shd w:val="clear" w:color="auto" w:fill="E5E5E5"/>
          </w:tcPr>
          <w:p>
            <w:pPr>
              <w:jc w:val="right"/>
              <w:ind w:right="272"/>
              <w:spacing w:after="0" w:line="142" w:lineRule="exact"/>
              <w:rPr>
                <w:sz w:val="20"/>
                <w:szCs w:val="20"/>
                <w:color w:val="auto"/>
              </w:rPr>
            </w:pPr>
            <w:r>
              <w:rPr>
                <w:rFonts w:ascii="Arial" w:cs="Arial" w:eastAsia="Arial" w:hAnsi="Arial"/>
                <w:sz w:val="14"/>
                <w:szCs w:val="14"/>
                <w:b w:val="1"/>
                <w:bCs w:val="1"/>
                <w:color w:val="auto"/>
              </w:rPr>
              <w:t>1,053</w:t>
            </w:r>
          </w:p>
        </w:tc>
        <w:tc>
          <w:tcPr>
            <w:tcW w:w="180" w:type="dxa"/>
            <w:vAlign w:val="bottom"/>
            <w:tcBorders>
              <w:bottom w:val="single" w:sz="8" w:color="auto"/>
            </w:tcBorders>
            <w:shd w:val="clear" w:color="auto" w:fill="E5E5E5"/>
          </w:tcPr>
          <w:p>
            <w:pPr>
              <w:spacing w:after="0"/>
              <w:rPr>
                <w:sz w:val="12"/>
                <w:szCs w:val="12"/>
                <w:color w:val="auto"/>
              </w:rPr>
            </w:pPr>
          </w:p>
        </w:tc>
        <w:tc>
          <w:tcPr>
            <w:tcW w:w="380" w:type="dxa"/>
            <w:vAlign w:val="bottom"/>
            <w:tcBorders>
              <w:bottom w:val="single" w:sz="8" w:color="auto"/>
            </w:tcBorders>
            <w:shd w:val="clear" w:color="auto" w:fill="E5E5E5"/>
          </w:tcPr>
          <w:p>
            <w:pPr>
              <w:jc w:val="center"/>
              <w:ind w:left="32"/>
              <w:spacing w:after="0" w:line="142" w:lineRule="exact"/>
              <w:rPr>
                <w:sz w:val="20"/>
                <w:szCs w:val="20"/>
                <w:color w:val="auto"/>
              </w:rPr>
            </w:pPr>
            <w:r>
              <w:rPr>
                <w:rFonts w:ascii="Arial" w:cs="Arial" w:eastAsia="Arial" w:hAnsi="Arial"/>
                <w:sz w:val="14"/>
                <w:szCs w:val="14"/>
                <w:b w:val="1"/>
                <w:bCs w:val="1"/>
                <w:color w:val="auto"/>
                <w:w w:val="85"/>
              </w:rPr>
              <w:t>$25</w:t>
            </w:r>
          </w:p>
        </w:tc>
        <w:tc>
          <w:tcPr>
            <w:tcW w:w="44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shd w:val="clear" w:color="auto" w:fill="E5E5E5"/>
          </w:tcPr>
          <w:p>
            <w:pPr>
              <w:jc w:val="right"/>
              <w:ind w:right="112"/>
              <w:spacing w:after="0" w:line="142" w:lineRule="exact"/>
              <w:rPr>
                <w:sz w:val="20"/>
                <w:szCs w:val="20"/>
                <w:color w:val="auto"/>
              </w:rPr>
            </w:pPr>
            <w:r>
              <w:rPr>
                <w:rFonts w:ascii="Arial" w:cs="Arial" w:eastAsia="Arial" w:hAnsi="Arial"/>
                <w:sz w:val="14"/>
                <w:szCs w:val="14"/>
                <w:b w:val="1"/>
                <w:bCs w:val="1"/>
                <w:color w:val="auto"/>
              </w:rPr>
              <w:t>5</w:t>
            </w:r>
          </w:p>
        </w:tc>
        <w:tc>
          <w:tcPr>
            <w:tcW w:w="340" w:type="dxa"/>
            <w:vAlign w:val="bottom"/>
            <w:tcBorders>
              <w:bottom w:val="single" w:sz="8" w:color="auto"/>
            </w:tcBorders>
            <w:shd w:val="clear" w:color="auto" w:fill="E5E5E5"/>
          </w:tcPr>
          <w:p>
            <w:pPr>
              <w:jc w:val="center"/>
              <w:spacing w:after="0" w:line="142" w:lineRule="exact"/>
              <w:rPr>
                <w:sz w:val="20"/>
                <w:szCs w:val="20"/>
                <w:color w:val="auto"/>
              </w:rPr>
            </w:pPr>
            <w:r>
              <w:rPr>
                <w:rFonts w:ascii="Arial" w:cs="Arial" w:eastAsia="Arial" w:hAnsi="Arial"/>
                <w:sz w:val="14"/>
                <w:szCs w:val="14"/>
                <w:b w:val="1"/>
                <w:bCs w:val="1"/>
                <w:color w:val="auto"/>
              </w:rPr>
              <w:t>$ —</w:t>
            </w:r>
          </w:p>
        </w:tc>
        <w:tc>
          <w:tcPr>
            <w:tcW w:w="220" w:type="dxa"/>
            <w:vAlign w:val="bottom"/>
            <w:tcBorders>
              <w:bottom w:val="single" w:sz="8" w:color="auto"/>
            </w:tcBorders>
            <w:shd w:val="clear" w:color="auto" w:fill="E5E5E5"/>
          </w:tcPr>
          <w:p>
            <w:pPr>
              <w:ind w:left="140"/>
              <w:spacing w:after="0" w:line="142" w:lineRule="exact"/>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b w:val="1"/>
                <w:bCs w:val="1"/>
                <w:color w:val="auto"/>
              </w:rPr>
              <w:t>38,985</w:t>
            </w:r>
          </w:p>
        </w:tc>
        <w:tc>
          <w:tcPr>
            <w:tcW w:w="72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b w:val="1"/>
                <w:bCs w:val="1"/>
                <w:color w:val="auto"/>
              </w:rPr>
              <w:t>$ 19,737</w:t>
            </w:r>
          </w:p>
        </w:tc>
        <w:tc>
          <w:tcPr>
            <w:tcW w:w="180" w:type="dxa"/>
            <w:vAlign w:val="bottom"/>
            <w:tcBorders>
              <w:bottom w:val="single" w:sz="8" w:color="auto"/>
            </w:tcBorders>
            <w:shd w:val="clear" w:color="auto" w:fill="E5E5E5"/>
          </w:tcPr>
          <w:p>
            <w:pPr>
              <w:ind w:left="100"/>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b w:val="1"/>
                <w:bCs w:val="1"/>
                <w:color w:val="auto"/>
                <w:w w:val="94"/>
              </w:rPr>
              <w:t>(7,517)</w:t>
            </w:r>
          </w:p>
        </w:tc>
        <w:tc>
          <w:tcPr>
            <w:tcW w:w="160" w:type="dxa"/>
            <w:vAlign w:val="bottom"/>
            <w:tcBorders>
              <w:bottom w:val="single" w:sz="8" w:color="auto"/>
            </w:tcBorders>
            <w:shd w:val="clear" w:color="auto" w:fill="E5E5E5"/>
          </w:tcPr>
          <w:p>
            <w:pPr>
              <w:ind w:left="80"/>
              <w:spacing w:after="0" w:line="142"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b w:val="1"/>
                <w:bCs w:val="1"/>
                <w:color w:val="auto"/>
              </w:rPr>
              <w:t>33</w:t>
            </w:r>
          </w:p>
        </w:tc>
        <w:tc>
          <w:tcPr>
            <w:tcW w:w="16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b w:val="1"/>
                <w:bCs w:val="1"/>
                <w:color w:val="auto"/>
              </w:rPr>
              <w:t>364</w:t>
            </w:r>
          </w:p>
        </w:tc>
        <w:tc>
          <w:tcPr>
            <w:tcW w:w="62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b w:val="1"/>
                <w:bCs w:val="1"/>
                <w:color w:val="auto"/>
                <w:w w:val="98"/>
              </w:rPr>
              <w:t>$51,632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Balance, December 31, 2014</w:t>
            </w:r>
          </w:p>
        </w:tc>
        <w:tc>
          <w:tcPr>
            <w:tcW w:w="380" w:type="dxa"/>
            <w:vAlign w:val="bottom"/>
          </w:tcPr>
          <w:p>
            <w:pPr>
              <w:ind w:left="320"/>
              <w:spacing w:after="0"/>
              <w:rPr>
                <w:sz w:val="20"/>
                <w:szCs w:val="20"/>
                <w:color w:val="auto"/>
              </w:rPr>
            </w:pPr>
            <w:r>
              <w:rPr>
                <w:rFonts w:ascii="Arial" w:cs="Arial" w:eastAsia="Arial" w:hAnsi="Arial"/>
                <w:sz w:val="10"/>
                <w:szCs w:val="10"/>
                <w:color w:val="auto"/>
                <w:w w:val="71"/>
              </w:rPr>
              <w:t>$</w:t>
            </w:r>
          </w:p>
        </w:tc>
        <w:tc>
          <w:tcPr>
            <w:tcW w:w="1120" w:type="dxa"/>
            <w:vAlign w:val="bottom"/>
            <w:tcBorders>
              <w:right w:val="single" w:sz="8" w:color="auto"/>
            </w:tcBorders>
          </w:tcPr>
          <w:p>
            <w:pPr>
              <w:jc w:val="right"/>
              <w:ind w:right="272"/>
              <w:spacing w:after="0" w:line="149" w:lineRule="exact"/>
              <w:rPr>
                <w:sz w:val="20"/>
                <w:szCs w:val="20"/>
                <w:color w:val="auto"/>
              </w:rPr>
            </w:pPr>
            <w:r>
              <w:rPr>
                <w:rFonts w:ascii="Arial" w:cs="Arial" w:eastAsia="Arial" w:hAnsi="Arial"/>
                <w:sz w:val="14"/>
                <w:szCs w:val="14"/>
                <w:color w:val="auto"/>
              </w:rPr>
              <w:t>1,066</w:t>
            </w:r>
          </w:p>
        </w:tc>
        <w:tc>
          <w:tcPr>
            <w:tcW w:w="180" w:type="dxa"/>
            <w:vAlign w:val="bottom"/>
          </w:tcPr>
          <w:p>
            <w:pPr>
              <w:spacing w:after="0"/>
              <w:rPr>
                <w:sz w:val="12"/>
                <w:szCs w:val="12"/>
                <w:color w:val="auto"/>
              </w:rPr>
            </w:pPr>
          </w:p>
        </w:tc>
        <w:tc>
          <w:tcPr>
            <w:tcW w:w="380" w:type="dxa"/>
            <w:vAlign w:val="bottom"/>
          </w:tcPr>
          <w:p>
            <w:pPr>
              <w:jc w:val="center"/>
              <w:ind w:left="32"/>
              <w:spacing w:after="0" w:line="149" w:lineRule="exact"/>
              <w:rPr>
                <w:sz w:val="20"/>
                <w:szCs w:val="20"/>
                <w:color w:val="auto"/>
              </w:rPr>
            </w:pPr>
            <w:r>
              <w:rPr>
                <w:rFonts w:ascii="Arial" w:cs="Arial" w:eastAsia="Arial" w:hAnsi="Arial"/>
                <w:sz w:val="14"/>
                <w:szCs w:val="14"/>
                <w:color w:val="auto"/>
                <w:w w:val="85"/>
              </w:rPr>
              <w:t>$25</w:t>
            </w:r>
          </w:p>
        </w:tc>
        <w:tc>
          <w:tcPr>
            <w:tcW w:w="44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w:t>
            </w:r>
          </w:p>
        </w:tc>
        <w:tc>
          <w:tcPr>
            <w:tcW w:w="340" w:type="dxa"/>
            <w:vAlign w:val="bottom"/>
          </w:tcPr>
          <w:p>
            <w:pPr>
              <w:jc w:val="center"/>
              <w:spacing w:after="0" w:line="149" w:lineRule="exact"/>
              <w:rPr>
                <w:sz w:val="20"/>
                <w:szCs w:val="20"/>
                <w:color w:val="auto"/>
              </w:rPr>
            </w:pPr>
            <w:r>
              <w:rPr>
                <w:rFonts w:ascii="Arial" w:cs="Arial" w:eastAsia="Arial" w:hAnsi="Arial"/>
                <w:sz w:val="14"/>
                <w:szCs w:val="14"/>
                <w:color w:val="auto"/>
              </w:rPr>
              <w:t>$ —</w:t>
            </w:r>
          </w:p>
        </w:tc>
        <w:tc>
          <w:tcPr>
            <w:tcW w:w="220" w:type="dxa"/>
            <w:vAlign w:val="bottom"/>
          </w:tcPr>
          <w:p>
            <w:pPr>
              <w:ind w:left="14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38,805</w:t>
            </w: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$ 21,539</w:t>
            </w: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4"/>
              </w:rPr>
              <w:t>(7,517)</w:t>
            </w:r>
          </w:p>
        </w:tc>
        <w:tc>
          <w:tcPr>
            <w:tcW w:w="160" w:type="dxa"/>
            <w:vAlign w:val="bottom"/>
          </w:tcPr>
          <w:p>
            <w:pPr>
              <w:ind w:left="8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(146)</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357</w:t>
            </w: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8"/>
              </w:rPr>
              <w:t>$53,068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Stock compensation plans</w:t>
            </w:r>
          </w:p>
        </w:tc>
        <w:tc>
          <w:tcPr>
            <w:tcW w:w="380" w:type="dxa"/>
            <w:vAlign w:val="bottom"/>
            <w:shd w:val="clear" w:color="auto" w:fill="E5E5E5"/>
          </w:tcPr>
          <w:p>
            <w:pPr>
              <w:spacing w:after="0"/>
              <w:rPr>
                <w:sz w:val="12"/>
                <w:szCs w:val="12"/>
                <w:color w:val="auto"/>
              </w:rPr>
            </w:pPr>
          </w:p>
        </w:tc>
        <w:tc>
          <w:tcPr>
            <w:tcW w:w="1120" w:type="dxa"/>
            <w:vAlign w:val="bottom"/>
            <w:tcBorders>
              <w:right w:val="single" w:sz="8" w:color="auto"/>
            </w:tcBorders>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38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46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232</w:t>
            </w:r>
          </w:p>
        </w:tc>
        <w:tc>
          <w:tcPr>
            <w:tcW w:w="72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(189)</w:t>
            </w:r>
          </w:p>
        </w:tc>
        <w:tc>
          <w:tcPr>
            <w:tcW w:w="18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62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Repurchases and retirements of common stock</w:t>
            </w:r>
          </w:p>
        </w:tc>
        <w:tc>
          <w:tcPr>
            <w:tcW w:w="380" w:type="dxa"/>
            <w:vAlign w:val="bottom"/>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(407)</w:t>
            </w: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(1,593)</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Employee stock purchase plans</w:t>
            </w:r>
          </w:p>
        </w:tc>
        <w:tc>
          <w:tcPr>
            <w:tcW w:w="380" w:type="dxa"/>
            <w:vAlign w:val="bottom"/>
            <w:shd w:val="clear" w:color="auto" w:fill="E5E5E5"/>
          </w:tcPr>
          <w:p>
            <w:pPr>
              <w:spacing w:after="0"/>
              <w:rPr>
                <w:sz w:val="12"/>
                <w:szCs w:val="12"/>
                <w:color w:val="auto"/>
              </w:rPr>
            </w:pPr>
          </w:p>
        </w:tc>
        <w:tc>
          <w:tcPr>
            <w:tcW w:w="1120" w:type="dxa"/>
            <w:vAlign w:val="bottom"/>
            <w:tcBorders>
              <w:right w:val="single" w:sz="8" w:color="auto"/>
            </w:tcBorders>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38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46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30</w:t>
            </w:r>
          </w:p>
        </w:tc>
        <w:tc>
          <w:tcPr>
            <w:tcW w:w="72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62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Dividends declared</w:t>
            </w:r>
          </w:p>
        </w:tc>
        <w:tc>
          <w:tcPr>
            <w:tcW w:w="380" w:type="dxa"/>
            <w:vAlign w:val="bottom"/>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(630)</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Other comprehensive income (loss)</w:t>
            </w:r>
          </w:p>
        </w:tc>
        <w:tc>
          <w:tcPr>
            <w:tcW w:w="380" w:type="dxa"/>
            <w:vAlign w:val="bottom"/>
            <w:shd w:val="clear" w:color="auto" w:fill="E5E5E5"/>
          </w:tcPr>
          <w:p>
            <w:pPr>
              <w:spacing w:after="0"/>
              <w:rPr>
                <w:sz w:val="12"/>
                <w:szCs w:val="12"/>
                <w:color w:val="auto"/>
              </w:rPr>
            </w:pPr>
          </w:p>
        </w:tc>
        <w:tc>
          <w:tcPr>
            <w:tcW w:w="1120" w:type="dxa"/>
            <w:vAlign w:val="bottom"/>
            <w:tcBorders>
              <w:right w:val="single" w:sz="8" w:color="auto"/>
            </w:tcBorders>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38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46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(42)</w:t>
            </w:r>
          </w:p>
        </w:tc>
        <w:tc>
          <w:tcPr>
            <w:tcW w:w="16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6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20" w:type="dxa"/>
            <w:vAlign w:val="bottom"/>
          </w:tcPr>
          <w:p>
            <w:pPr>
              <w:spacing w:after="0" w:line="138" w:lineRule="exact"/>
              <w:rPr>
                <w:sz w:val="20"/>
                <w:szCs w:val="20"/>
                <w:color w:val="auto"/>
              </w:rPr>
            </w:pPr>
            <w:r>
              <w:rPr>
                <w:rFonts w:ascii="Arial" w:cs="Arial" w:eastAsia="Arial" w:hAnsi="Arial"/>
                <w:sz w:val="14"/>
                <w:szCs w:val="14"/>
                <w:color w:val="auto"/>
              </w:rPr>
              <w:t>Contributions from (distributions to) noncontrolling</w:t>
            </w:r>
          </w:p>
        </w:tc>
        <w:tc>
          <w:tcPr>
            <w:tcW w:w="380" w:type="dxa"/>
            <w:vAlign w:val="bottom"/>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20" w:type="dxa"/>
            <w:vAlign w:val="bottom"/>
          </w:tcPr>
          <w:p>
            <w:pPr>
              <w:ind w:left="200"/>
              <w:spacing w:after="0" w:line="159" w:lineRule="exact"/>
              <w:rPr>
                <w:sz w:val="20"/>
                <w:szCs w:val="20"/>
                <w:color w:val="auto"/>
              </w:rPr>
            </w:pPr>
            <w:r>
              <w:rPr>
                <w:rFonts w:ascii="Arial" w:cs="Arial" w:eastAsia="Arial" w:hAnsi="Arial"/>
                <w:sz w:val="14"/>
                <w:szCs w:val="14"/>
                <w:color w:val="auto"/>
              </w:rPr>
              <w:t>interests, net</w:t>
            </w:r>
          </w:p>
        </w:tc>
        <w:tc>
          <w:tcPr>
            <w:tcW w:w="380" w:type="dxa"/>
            <w:vAlign w:val="bottom"/>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(34)</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Other</w:t>
            </w:r>
          </w:p>
        </w:tc>
        <w:tc>
          <w:tcPr>
            <w:tcW w:w="380" w:type="dxa"/>
            <w:vAlign w:val="bottom"/>
            <w:shd w:val="clear" w:color="auto" w:fill="E5E5E5"/>
          </w:tcPr>
          <w:p>
            <w:pPr>
              <w:spacing w:after="0"/>
              <w:rPr>
                <w:sz w:val="12"/>
                <w:szCs w:val="12"/>
                <w:color w:val="auto"/>
              </w:rPr>
            </w:pPr>
          </w:p>
        </w:tc>
        <w:tc>
          <w:tcPr>
            <w:tcW w:w="1120" w:type="dxa"/>
            <w:vAlign w:val="bottom"/>
            <w:tcBorders>
              <w:right w:val="single" w:sz="8" w:color="auto"/>
            </w:tcBorders>
            <w:shd w:val="clear" w:color="auto" w:fill="E5E5E5"/>
          </w:tcPr>
          <w:p>
            <w:pPr>
              <w:jc w:val="right"/>
              <w:ind w:right="272"/>
              <w:spacing w:after="0" w:line="149" w:lineRule="exact"/>
              <w:rPr>
                <w:sz w:val="20"/>
                <w:szCs w:val="20"/>
                <w:color w:val="auto"/>
              </w:rPr>
            </w:pPr>
            <w:r>
              <w:rPr>
                <w:rFonts w:ascii="Arial" w:cs="Arial" w:eastAsia="Arial" w:hAnsi="Arial"/>
                <w:sz w:val="14"/>
                <w:szCs w:val="14"/>
                <w:color w:val="auto"/>
              </w:rPr>
              <w:t>7</w:t>
            </w:r>
          </w:p>
        </w:tc>
        <w:tc>
          <w:tcPr>
            <w:tcW w:w="180" w:type="dxa"/>
            <w:vAlign w:val="bottom"/>
            <w:shd w:val="clear" w:color="auto" w:fill="E5E5E5"/>
          </w:tcPr>
          <w:p>
            <w:pPr>
              <w:spacing w:after="0"/>
              <w:rPr>
                <w:sz w:val="12"/>
                <w:szCs w:val="12"/>
                <w:color w:val="auto"/>
              </w:rPr>
            </w:pPr>
          </w:p>
        </w:tc>
        <w:tc>
          <w:tcPr>
            <w:tcW w:w="38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46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(39)</w:t>
            </w:r>
          </w:p>
        </w:tc>
        <w:tc>
          <w:tcPr>
            <w:tcW w:w="6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Net income (loss)</w:t>
            </w:r>
          </w:p>
        </w:tc>
        <w:tc>
          <w:tcPr>
            <w:tcW w:w="380" w:type="dxa"/>
            <w:vAlign w:val="bottom"/>
            <w:tcBorders>
              <w:bottom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jc w:val="right"/>
              <w:ind w:right="272"/>
              <w:spacing w:after="0" w:line="149" w:lineRule="exact"/>
              <w:rPr>
                <w:sz w:val="20"/>
                <w:szCs w:val="20"/>
                <w:color w:val="auto"/>
              </w:rPr>
            </w:pPr>
            <w:r>
              <w:rPr>
                <w:rFonts w:ascii="Arial" w:cs="Arial" w:eastAsia="Arial" w:hAnsi="Arial"/>
                <w:sz w:val="14"/>
                <w:szCs w:val="14"/>
                <w:color w:val="auto"/>
              </w:rPr>
              <w:t>26</w:t>
            </w:r>
          </w:p>
        </w:tc>
        <w:tc>
          <w:tcPr>
            <w:tcW w:w="1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2,059</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56</w:t>
            </w:r>
          </w:p>
        </w:tc>
        <w:tc>
          <w:tcPr>
            <w:tcW w:w="62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2,115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Balance, March 31, 2015</w:t>
            </w:r>
          </w:p>
        </w:tc>
        <w:tc>
          <w:tcPr>
            <w:tcW w:w="380" w:type="dxa"/>
            <w:vAlign w:val="bottom"/>
            <w:tcBorders>
              <w:bottom w:val="single" w:sz="8" w:color="auto"/>
            </w:tcBorders>
            <w:shd w:val="clear" w:color="auto" w:fill="E5E5E5"/>
          </w:tcPr>
          <w:p>
            <w:pPr>
              <w:ind w:left="320"/>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bottom w:val="single" w:sz="8" w:color="auto"/>
              <w:right w:val="single" w:sz="8" w:color="auto"/>
            </w:tcBorders>
            <w:shd w:val="clear" w:color="auto" w:fill="E5E5E5"/>
          </w:tcPr>
          <w:p>
            <w:pPr>
              <w:jc w:val="right"/>
              <w:ind w:right="272"/>
              <w:spacing w:after="0" w:line="142" w:lineRule="exact"/>
              <w:rPr>
                <w:sz w:val="20"/>
                <w:szCs w:val="20"/>
                <w:color w:val="auto"/>
              </w:rPr>
            </w:pPr>
            <w:r>
              <w:rPr>
                <w:rFonts w:ascii="Arial" w:cs="Arial" w:eastAsia="Arial" w:hAnsi="Arial"/>
                <w:sz w:val="14"/>
                <w:szCs w:val="14"/>
                <w:b w:val="1"/>
                <w:bCs w:val="1"/>
                <w:color w:val="auto"/>
              </w:rPr>
              <w:t>1,099</w:t>
            </w:r>
          </w:p>
        </w:tc>
        <w:tc>
          <w:tcPr>
            <w:tcW w:w="180" w:type="dxa"/>
            <w:vAlign w:val="bottom"/>
            <w:tcBorders>
              <w:bottom w:val="single" w:sz="8" w:color="auto"/>
            </w:tcBorders>
            <w:shd w:val="clear" w:color="auto" w:fill="E5E5E5"/>
          </w:tcPr>
          <w:p>
            <w:pPr>
              <w:spacing w:after="0"/>
              <w:rPr>
                <w:sz w:val="12"/>
                <w:szCs w:val="12"/>
                <w:color w:val="auto"/>
              </w:rPr>
            </w:pPr>
          </w:p>
        </w:tc>
        <w:tc>
          <w:tcPr>
            <w:tcW w:w="380" w:type="dxa"/>
            <w:vAlign w:val="bottom"/>
            <w:tcBorders>
              <w:bottom w:val="single" w:sz="8" w:color="auto"/>
            </w:tcBorders>
            <w:shd w:val="clear" w:color="auto" w:fill="E5E5E5"/>
          </w:tcPr>
          <w:p>
            <w:pPr>
              <w:jc w:val="center"/>
              <w:ind w:left="32"/>
              <w:spacing w:after="0" w:line="142" w:lineRule="exact"/>
              <w:rPr>
                <w:sz w:val="20"/>
                <w:szCs w:val="20"/>
                <w:color w:val="auto"/>
              </w:rPr>
            </w:pPr>
            <w:r>
              <w:rPr>
                <w:rFonts w:ascii="Arial" w:cs="Arial" w:eastAsia="Arial" w:hAnsi="Arial"/>
                <w:sz w:val="14"/>
                <w:szCs w:val="14"/>
                <w:b w:val="1"/>
                <w:bCs w:val="1"/>
                <w:color w:val="auto"/>
                <w:w w:val="85"/>
              </w:rPr>
              <w:t>$25</w:t>
            </w:r>
          </w:p>
        </w:tc>
        <w:tc>
          <w:tcPr>
            <w:tcW w:w="44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shd w:val="clear" w:color="auto" w:fill="E5E5E5"/>
          </w:tcPr>
          <w:p>
            <w:pPr>
              <w:jc w:val="right"/>
              <w:ind w:right="112"/>
              <w:spacing w:after="0" w:line="142" w:lineRule="exact"/>
              <w:rPr>
                <w:sz w:val="20"/>
                <w:szCs w:val="20"/>
                <w:color w:val="auto"/>
              </w:rPr>
            </w:pPr>
            <w:r>
              <w:rPr>
                <w:rFonts w:ascii="Arial" w:cs="Arial" w:eastAsia="Arial" w:hAnsi="Arial"/>
                <w:sz w:val="14"/>
                <w:szCs w:val="14"/>
                <w:b w:val="1"/>
                <w:bCs w:val="1"/>
                <w:color w:val="auto"/>
              </w:rPr>
              <w:t>5</w:t>
            </w:r>
          </w:p>
        </w:tc>
        <w:tc>
          <w:tcPr>
            <w:tcW w:w="340" w:type="dxa"/>
            <w:vAlign w:val="bottom"/>
            <w:tcBorders>
              <w:bottom w:val="single" w:sz="8" w:color="auto"/>
            </w:tcBorders>
            <w:shd w:val="clear" w:color="auto" w:fill="E5E5E5"/>
          </w:tcPr>
          <w:p>
            <w:pPr>
              <w:jc w:val="center"/>
              <w:spacing w:after="0" w:line="142" w:lineRule="exact"/>
              <w:rPr>
                <w:sz w:val="20"/>
                <w:szCs w:val="20"/>
                <w:color w:val="auto"/>
              </w:rPr>
            </w:pPr>
            <w:r>
              <w:rPr>
                <w:rFonts w:ascii="Arial" w:cs="Arial" w:eastAsia="Arial" w:hAnsi="Arial"/>
                <w:sz w:val="14"/>
                <w:szCs w:val="14"/>
                <w:b w:val="1"/>
                <w:bCs w:val="1"/>
                <w:color w:val="auto"/>
              </w:rPr>
              <w:t>$ —</w:t>
            </w:r>
          </w:p>
        </w:tc>
        <w:tc>
          <w:tcPr>
            <w:tcW w:w="220" w:type="dxa"/>
            <w:vAlign w:val="bottom"/>
            <w:tcBorders>
              <w:bottom w:val="single" w:sz="8" w:color="auto"/>
            </w:tcBorders>
            <w:shd w:val="clear" w:color="auto" w:fill="E5E5E5"/>
          </w:tcPr>
          <w:p>
            <w:pPr>
              <w:ind w:left="140"/>
              <w:spacing w:after="0" w:line="142" w:lineRule="exact"/>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b w:val="1"/>
                <w:bCs w:val="1"/>
                <w:color w:val="auto"/>
              </w:rPr>
              <w:t>38,660</w:t>
            </w:r>
          </w:p>
        </w:tc>
        <w:tc>
          <w:tcPr>
            <w:tcW w:w="72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b w:val="1"/>
                <w:bCs w:val="1"/>
                <w:color w:val="auto"/>
              </w:rPr>
              <w:t>$ 21,186</w:t>
            </w:r>
          </w:p>
        </w:tc>
        <w:tc>
          <w:tcPr>
            <w:tcW w:w="180" w:type="dxa"/>
            <w:vAlign w:val="bottom"/>
            <w:tcBorders>
              <w:bottom w:val="single" w:sz="8" w:color="auto"/>
            </w:tcBorders>
            <w:shd w:val="clear" w:color="auto" w:fill="E5E5E5"/>
          </w:tcPr>
          <w:p>
            <w:pPr>
              <w:ind w:left="100"/>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b w:val="1"/>
                <w:bCs w:val="1"/>
                <w:color w:val="auto"/>
                <w:w w:val="94"/>
              </w:rPr>
              <w:t>(7,517)</w:t>
            </w:r>
          </w:p>
        </w:tc>
        <w:tc>
          <w:tcPr>
            <w:tcW w:w="160" w:type="dxa"/>
            <w:vAlign w:val="bottom"/>
            <w:tcBorders>
              <w:bottom w:val="single" w:sz="8" w:color="auto"/>
            </w:tcBorders>
            <w:shd w:val="clear" w:color="auto" w:fill="E5E5E5"/>
          </w:tcPr>
          <w:p>
            <w:pPr>
              <w:ind w:left="80"/>
              <w:spacing w:after="0" w:line="142"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b w:val="1"/>
                <w:bCs w:val="1"/>
                <w:color w:val="auto"/>
              </w:rPr>
              <w:t>(188)</w:t>
            </w:r>
          </w:p>
        </w:tc>
        <w:tc>
          <w:tcPr>
            <w:tcW w:w="16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b w:val="1"/>
                <w:bCs w:val="1"/>
                <w:color w:val="auto"/>
              </w:rPr>
              <w:t>340</w:t>
            </w:r>
          </w:p>
        </w:tc>
        <w:tc>
          <w:tcPr>
            <w:tcW w:w="62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b w:val="1"/>
                <w:bCs w:val="1"/>
                <w:color w:val="auto"/>
                <w:w w:val="98"/>
              </w:rPr>
              <w:t>$52,511</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53" w:lineRule="exact"/>
        <w:rPr>
          <w:sz w:val="20"/>
          <w:szCs w:val="20"/>
          <w:color w:val="auto"/>
        </w:rPr>
      </w:pPr>
    </w:p>
    <w:p>
      <w:pPr>
        <w:ind w:right="4380"/>
        <w:spacing w:after="0" w:line="26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financial condition and cash flows for the periods shown, including normal, recurring accruals and other items. The consolidated results of operations for the interim periods presented are not necessarily indicative of results for the full year.</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2014 Annual Report on Form 10-K.</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 have been made to our condensed consolidated financial statements for the prior year period to conform to classifications used in 2015.</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Recent Accounting Pronouncements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May 2014, the Financial Accounting Standards Board (“FASB”) and the International Accounting Standards Board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entities have to refer. In April 2015, the FASB voted to propose deferring the effective date by one year to December 15, 2017 for annual reporting periods beginning after that date. The FASB also proposed permitting early adoption of the updated accounting guidance, but not before the original effective date of December 15, 2016. The updated accounting guidance provides companies with alternative methods of adoption. We are currently in the process of determining the impact that the updated accounting guidance will have on our consolidated financial statements and our method of adoption.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April 2015, the FASB updated the accounting guidance related to the balance sheet presentation of debt issuance costs. The updated accounting guidance requires that debt issuance costs be presented as a direct deduction from the associated debt liability. The updated accounting guidance will be effective for us on January 1, 2016, and early adoption is permitted. The updated accounting guidance will be applied retrospectively to all prior periods presented. We do not currently expect that the updated accounting guidance will have a material impact on our consolidated balance sheet.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Earnings Per Share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Diluted EPS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color w:val="auto"/>
              </w:rPr>
              <w:t>Three Months Ended March 31</w:t>
            </w:r>
          </w:p>
        </w:tc>
        <w:tc>
          <w:tcPr>
            <w:tcW w:w="8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r>
      <w:tr>
        <w:trPr>
          <w:trHeight w:val="142"/>
        </w:trPr>
        <w:tc>
          <w:tcPr>
            <w:tcW w:w="55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0"/>
              <w:spacing w:after="0" w:line="142" w:lineRule="exact"/>
              <w:rPr>
                <w:sz w:val="20"/>
                <w:szCs w:val="20"/>
                <w:color w:val="auto"/>
              </w:rPr>
            </w:pPr>
            <w:r>
              <w:rPr>
                <w:rFonts w:ascii="Arial" w:cs="Arial" w:eastAsia="Arial" w:hAnsi="Arial"/>
                <w:sz w:val="14"/>
                <w:szCs w:val="14"/>
                <w:color w:val="auto"/>
              </w:rPr>
              <w:t>2015</w:t>
            </w:r>
          </w:p>
        </w:tc>
        <w:tc>
          <w:tcPr>
            <w:tcW w:w="4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40"/>
              <w:spacing w:after="0" w:line="142" w:lineRule="exact"/>
              <w:rPr>
                <w:sz w:val="20"/>
                <w:szCs w:val="20"/>
                <w:color w:val="auto"/>
              </w:rPr>
            </w:pPr>
            <w:r>
              <w:rPr>
                <w:rFonts w:ascii="Arial" w:cs="Arial" w:eastAsia="Arial" w:hAnsi="Arial"/>
                <w:sz w:val="14"/>
                <w:szCs w:val="14"/>
                <w:color w:val="auto"/>
              </w:rPr>
              <w:t>2014</w:t>
            </w:r>
          </w:p>
        </w:tc>
        <w:tc>
          <w:tcPr>
            <w:tcW w:w="3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r>
      <w:tr>
        <w:trPr>
          <w:trHeight w:val="131"/>
        </w:trPr>
        <w:tc>
          <w:tcPr>
            <w:tcW w:w="5500" w:type="dxa"/>
            <w:vAlign w:val="bottom"/>
          </w:tcPr>
          <w:p>
            <w:pPr>
              <w:spacing w:after="0"/>
              <w:rPr>
                <w:sz w:val="11"/>
                <w:szCs w:val="11"/>
                <w:color w:val="auto"/>
              </w:rPr>
            </w:pPr>
          </w:p>
        </w:tc>
        <w:tc>
          <w:tcPr>
            <w:tcW w:w="1280" w:type="dxa"/>
            <w:vAlign w:val="bottom"/>
            <w:gridSpan w:val="2"/>
          </w:tcPr>
          <w:p>
            <w:pPr>
              <w:jc w:val="center"/>
              <w:ind w:left="44"/>
              <w:spacing w:after="0" w:line="131" w:lineRule="exact"/>
              <w:rPr>
                <w:sz w:val="20"/>
                <w:szCs w:val="20"/>
                <w:color w:val="auto"/>
              </w:rPr>
            </w:pPr>
            <w:r>
              <w:rPr>
                <w:rFonts w:ascii="Arial" w:cs="Arial" w:eastAsia="Arial" w:hAnsi="Arial"/>
                <w:sz w:val="14"/>
                <w:szCs w:val="14"/>
                <w:color w:val="auto"/>
                <w:w w:val="89"/>
              </w:rPr>
              <w:t>Net Income</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9"/>
              </w:rPr>
              <w:t>Net Income</w:t>
            </w: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49"/>
        </w:trPr>
        <w:tc>
          <w:tcPr>
            <w:tcW w:w="5500" w:type="dxa"/>
            <w:vAlign w:val="bottom"/>
          </w:tcPr>
          <w:p>
            <w:pPr>
              <w:spacing w:after="0"/>
              <w:rPr>
                <w:sz w:val="12"/>
                <w:szCs w:val="12"/>
                <w:color w:val="auto"/>
              </w:rPr>
            </w:pPr>
          </w:p>
        </w:tc>
        <w:tc>
          <w:tcPr>
            <w:tcW w:w="1280" w:type="dxa"/>
            <w:vAlign w:val="bottom"/>
            <w:gridSpan w:val="2"/>
          </w:tcPr>
          <w:p>
            <w:pPr>
              <w:jc w:val="center"/>
              <w:ind w:left="44"/>
              <w:spacing w:after="0" w:line="149" w:lineRule="exact"/>
              <w:rPr>
                <w:sz w:val="20"/>
                <w:szCs w:val="20"/>
                <w:color w:val="auto"/>
              </w:rPr>
            </w:pPr>
            <w:r>
              <w:rPr>
                <w:rFonts w:ascii="Arial" w:cs="Arial" w:eastAsia="Arial" w:hAnsi="Arial"/>
                <w:sz w:val="14"/>
                <w:szCs w:val="14"/>
                <w:color w:val="auto"/>
                <w:w w:val="92"/>
              </w:rPr>
              <w:t>Attributable to</w:t>
            </w: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Attributable to</w:t>
            </w: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9"/>
        </w:trPr>
        <w:tc>
          <w:tcPr>
            <w:tcW w:w="5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center"/>
              <w:ind w:right="219"/>
              <w:spacing w:after="0" w:line="149" w:lineRule="exact"/>
              <w:rPr>
                <w:sz w:val="20"/>
                <w:szCs w:val="20"/>
                <w:color w:val="auto"/>
              </w:rPr>
            </w:pPr>
            <w:r>
              <w:rPr>
                <w:rFonts w:ascii="Arial" w:cs="Arial" w:eastAsia="Arial" w:hAnsi="Arial"/>
                <w:sz w:val="14"/>
                <w:szCs w:val="14"/>
                <w:color w:val="auto"/>
                <w:w w:val="86"/>
              </w:rPr>
              <w:t>Comcast</w:t>
            </w:r>
          </w:p>
        </w:tc>
        <w:tc>
          <w:tcPr>
            <w:tcW w:w="800" w:type="dxa"/>
            <w:vAlign w:val="bottom"/>
          </w:tcPr>
          <w:p>
            <w:pPr>
              <w:spacing w:after="0"/>
              <w:rPr>
                <w:sz w:val="12"/>
                <w:szCs w:val="12"/>
                <w:color w:val="auto"/>
              </w:rPr>
            </w:pPr>
          </w:p>
        </w:tc>
        <w:tc>
          <w:tcPr>
            <w:tcW w:w="9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Per Share</w:t>
            </w:r>
          </w:p>
        </w:tc>
        <w:tc>
          <w:tcPr>
            <w:tcW w:w="320" w:type="dxa"/>
            <w:vAlign w:val="bottom"/>
          </w:tcPr>
          <w:p>
            <w:pPr>
              <w:spacing w:after="0"/>
              <w:rPr>
                <w:sz w:val="12"/>
                <w:szCs w:val="12"/>
                <w:color w:val="auto"/>
              </w:rPr>
            </w:pPr>
          </w:p>
        </w:tc>
        <w:tc>
          <w:tcPr>
            <w:tcW w:w="860" w:type="dxa"/>
            <w:vAlign w:val="bottom"/>
          </w:tcPr>
          <w:p>
            <w:pPr>
              <w:jc w:val="center"/>
              <w:ind w:right="219"/>
              <w:spacing w:after="0" w:line="149" w:lineRule="exact"/>
              <w:rPr>
                <w:sz w:val="20"/>
                <w:szCs w:val="20"/>
                <w:color w:val="auto"/>
              </w:rPr>
            </w:pPr>
            <w:r>
              <w:rPr>
                <w:rFonts w:ascii="Arial" w:cs="Arial" w:eastAsia="Arial" w:hAnsi="Arial"/>
                <w:sz w:val="14"/>
                <w:szCs w:val="14"/>
                <w:color w:val="auto"/>
                <w:w w:val="86"/>
              </w:rPr>
              <w:t>Comcast</w:t>
            </w:r>
          </w:p>
        </w:tc>
        <w:tc>
          <w:tcPr>
            <w:tcW w:w="860" w:type="dxa"/>
            <w:vAlign w:val="bottom"/>
          </w:tcPr>
          <w:p>
            <w:pPr>
              <w:spacing w:after="0"/>
              <w:rPr>
                <w:sz w:val="12"/>
                <w:szCs w:val="12"/>
                <w:color w:val="auto"/>
              </w:rPr>
            </w:pPr>
          </w:p>
        </w:tc>
        <w:tc>
          <w:tcPr>
            <w:tcW w:w="82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5"/>
              </w:rPr>
              <w:t>Per Share</w:t>
            </w:r>
          </w:p>
        </w:tc>
      </w:tr>
      <w:tr>
        <w:trPr>
          <w:trHeight w:val="159"/>
        </w:trPr>
        <w:tc>
          <w:tcPr>
            <w:tcW w:w="55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 except per share data)</w:t>
            </w:r>
          </w:p>
        </w:tc>
        <w:tc>
          <w:tcPr>
            <w:tcW w:w="1280" w:type="dxa"/>
            <w:vAlign w:val="bottom"/>
            <w:tcBorders>
              <w:bottom w:val="single" w:sz="8" w:color="auto"/>
            </w:tcBorders>
            <w:gridSpan w:val="2"/>
          </w:tcPr>
          <w:p>
            <w:pPr>
              <w:jc w:val="center"/>
              <w:ind w:left="44"/>
              <w:spacing w:after="0" w:line="159" w:lineRule="exact"/>
              <w:rPr>
                <w:sz w:val="20"/>
                <w:szCs w:val="20"/>
                <w:color w:val="auto"/>
              </w:rPr>
            </w:pPr>
            <w:r>
              <w:rPr>
                <w:rFonts w:ascii="Arial" w:cs="Arial" w:eastAsia="Arial" w:hAnsi="Arial"/>
                <w:sz w:val="14"/>
                <w:szCs w:val="14"/>
                <w:color w:val="auto"/>
                <w:w w:val="87"/>
              </w:rPr>
              <w:t>Corporation</w:t>
            </w:r>
          </w:p>
        </w:tc>
        <w:tc>
          <w:tcPr>
            <w:tcW w:w="800" w:type="dxa"/>
            <w:vAlign w:val="bottom"/>
            <w:tcBorders>
              <w:bottom w:val="single" w:sz="8" w:color="auto"/>
            </w:tcBorders>
          </w:tcPr>
          <w:p>
            <w:pPr>
              <w:jc w:val="right"/>
              <w:ind w:right="100"/>
              <w:spacing w:after="0" w:line="159" w:lineRule="exact"/>
              <w:rPr>
                <w:sz w:val="20"/>
                <w:szCs w:val="20"/>
                <w:color w:val="auto"/>
              </w:rPr>
            </w:pPr>
            <w:r>
              <w:rPr>
                <w:rFonts w:ascii="Arial" w:cs="Arial" w:eastAsia="Arial" w:hAnsi="Arial"/>
                <w:sz w:val="14"/>
                <w:szCs w:val="14"/>
                <w:color w:val="auto"/>
              </w:rPr>
              <w:t>Shares</w:t>
            </w:r>
          </w:p>
        </w:tc>
        <w:tc>
          <w:tcPr>
            <w:tcW w:w="980" w:type="dxa"/>
            <w:vAlign w:val="bottom"/>
            <w:tcBorders>
              <w:bottom w:val="single" w:sz="8" w:color="auto"/>
            </w:tcBorders>
            <w:gridSpan w:val="2"/>
          </w:tcPr>
          <w:p>
            <w:pPr>
              <w:ind w:left="300"/>
              <w:spacing w:after="0" w:line="159" w:lineRule="exact"/>
              <w:rPr>
                <w:sz w:val="20"/>
                <w:szCs w:val="20"/>
                <w:color w:val="auto"/>
              </w:rPr>
            </w:pPr>
            <w:r>
              <w:rPr>
                <w:rFonts w:ascii="Arial" w:cs="Arial" w:eastAsia="Arial" w:hAnsi="Arial"/>
                <w:sz w:val="14"/>
                <w:szCs w:val="14"/>
                <w:color w:val="auto"/>
              </w:rPr>
              <w:t>Amount</w:t>
            </w:r>
          </w:p>
        </w:tc>
        <w:tc>
          <w:tcPr>
            <w:tcW w:w="118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87"/>
              </w:rPr>
              <w:t>Corporation</w:t>
            </w:r>
          </w:p>
        </w:tc>
        <w:tc>
          <w:tcPr>
            <w:tcW w:w="860" w:type="dxa"/>
            <w:vAlign w:val="bottom"/>
            <w:tcBorders>
              <w:bottom w:val="single" w:sz="8" w:color="auto"/>
            </w:tcBorders>
          </w:tcPr>
          <w:p>
            <w:pPr>
              <w:jc w:val="right"/>
              <w:ind w:right="160"/>
              <w:spacing w:after="0" w:line="159" w:lineRule="exact"/>
              <w:rPr>
                <w:sz w:val="20"/>
                <w:szCs w:val="20"/>
                <w:color w:val="auto"/>
              </w:rPr>
            </w:pPr>
            <w:r>
              <w:rPr>
                <w:rFonts w:ascii="Arial" w:cs="Arial" w:eastAsia="Arial" w:hAnsi="Arial"/>
                <w:sz w:val="14"/>
                <w:szCs w:val="14"/>
                <w:color w:val="auto"/>
              </w:rPr>
              <w:t>Shares</w:t>
            </w:r>
          </w:p>
        </w:tc>
        <w:tc>
          <w:tcPr>
            <w:tcW w:w="820" w:type="dxa"/>
            <w:vAlign w:val="bottom"/>
            <w:tcBorders>
              <w:bottom w:val="single" w:sz="8" w:color="auto"/>
            </w:tcBorders>
            <w:gridSpan w:val="2"/>
          </w:tcPr>
          <w:p>
            <w:pPr>
              <w:ind w:left="240"/>
              <w:spacing w:after="0" w:line="159" w:lineRule="exact"/>
              <w:rPr>
                <w:sz w:val="20"/>
                <w:szCs w:val="20"/>
                <w:color w:val="auto"/>
              </w:rPr>
            </w:pPr>
            <w:r>
              <w:rPr>
                <w:rFonts w:ascii="Arial" w:cs="Arial" w:eastAsia="Arial" w:hAnsi="Arial"/>
                <w:sz w:val="14"/>
                <w:szCs w:val="14"/>
                <w:color w:val="auto"/>
              </w:rPr>
              <w:t>Amount</w:t>
            </w:r>
          </w:p>
        </w:tc>
      </w:tr>
      <w:tr>
        <w:trPr>
          <w:trHeight w:val="210"/>
        </w:trPr>
        <w:tc>
          <w:tcPr>
            <w:tcW w:w="5500" w:type="dxa"/>
            <w:vAlign w:val="bottom"/>
            <w:shd w:val="clear" w:color="auto" w:fill="E5E5E5"/>
          </w:tcPr>
          <w:p>
            <w:pPr>
              <w:spacing w:after="0"/>
              <w:rPr>
                <w:sz w:val="20"/>
                <w:szCs w:val="20"/>
                <w:color w:val="auto"/>
              </w:rPr>
            </w:pPr>
            <w:r>
              <w:rPr>
                <w:rFonts w:ascii="Arial" w:cs="Arial" w:eastAsia="Arial" w:hAnsi="Arial"/>
                <w:sz w:val="18"/>
                <w:szCs w:val="18"/>
                <w:color w:val="auto"/>
              </w:rPr>
              <w:t>Basic EPS attributable to Comcast Corporation shareholders</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99"/>
              <w:spacing w:after="0"/>
              <w:rPr>
                <w:sz w:val="20"/>
                <w:szCs w:val="20"/>
                <w:color w:val="auto"/>
              </w:rPr>
            </w:pPr>
            <w:r>
              <w:rPr>
                <w:rFonts w:ascii="Arial" w:cs="Arial" w:eastAsia="Arial" w:hAnsi="Arial"/>
                <w:sz w:val="18"/>
                <w:szCs w:val="18"/>
                <w:color w:val="auto"/>
              </w:rPr>
              <w:t>2,059</w:t>
            </w:r>
          </w:p>
        </w:tc>
        <w:tc>
          <w:tcPr>
            <w:tcW w:w="800" w:type="dxa"/>
            <w:vAlign w:val="bottom"/>
            <w:shd w:val="clear" w:color="auto" w:fill="E5E5E5"/>
          </w:tcPr>
          <w:p>
            <w:pPr>
              <w:jc w:val="right"/>
              <w:ind w:right="60"/>
              <w:spacing w:after="0"/>
              <w:rPr>
                <w:sz w:val="20"/>
                <w:szCs w:val="20"/>
                <w:color w:val="auto"/>
              </w:rPr>
            </w:pPr>
            <w:r>
              <w:rPr>
                <w:rFonts w:ascii="Arial" w:cs="Arial" w:eastAsia="Arial" w:hAnsi="Arial"/>
                <w:sz w:val="18"/>
                <w:szCs w:val="18"/>
                <w:color w:val="auto"/>
              </w:rPr>
              <w:t>2,520</w:t>
            </w:r>
          </w:p>
        </w:tc>
        <w:tc>
          <w:tcPr>
            <w:tcW w:w="42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6"/>
              </w:rPr>
              <w:t>0.82</w:t>
            </w: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99"/>
              <w:spacing w:after="0"/>
              <w:rPr>
                <w:sz w:val="20"/>
                <w:szCs w:val="20"/>
                <w:color w:val="auto"/>
              </w:rPr>
            </w:pPr>
            <w:r>
              <w:rPr>
                <w:rFonts w:ascii="Arial" w:cs="Arial" w:eastAsia="Arial" w:hAnsi="Arial"/>
                <w:sz w:val="18"/>
                <w:szCs w:val="18"/>
                <w:color w:val="auto"/>
              </w:rPr>
              <w:t>1,871</w:t>
            </w:r>
          </w:p>
        </w:tc>
        <w:tc>
          <w:tcPr>
            <w:tcW w:w="860" w:type="dxa"/>
            <w:vAlign w:val="bottom"/>
            <w:shd w:val="clear" w:color="auto" w:fill="E5E5E5"/>
          </w:tcPr>
          <w:p>
            <w:pPr>
              <w:jc w:val="right"/>
              <w:ind w:right="120"/>
              <w:spacing w:after="0"/>
              <w:rPr>
                <w:sz w:val="20"/>
                <w:szCs w:val="20"/>
                <w:color w:val="auto"/>
              </w:rPr>
            </w:pPr>
            <w:r>
              <w:rPr>
                <w:rFonts w:ascii="Arial" w:cs="Arial" w:eastAsia="Arial" w:hAnsi="Arial"/>
                <w:sz w:val="18"/>
                <w:szCs w:val="18"/>
                <w:color w:val="auto"/>
              </w:rPr>
              <w:t>2,603</w:t>
            </w:r>
          </w:p>
        </w:tc>
        <w:tc>
          <w:tcPr>
            <w:tcW w:w="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96"/>
              </w:rPr>
              <w:t>0.72</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55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Assumed exercise or issuance of shares relating to stock plans</w:t>
            </w:r>
          </w:p>
        </w:tc>
        <w:tc>
          <w:tcPr>
            <w:tcW w:w="4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60"/>
              <w:spacing w:after="0"/>
              <w:rPr>
                <w:sz w:val="20"/>
                <w:szCs w:val="20"/>
                <w:color w:val="auto"/>
              </w:rPr>
            </w:pPr>
            <w:r>
              <w:rPr>
                <w:rFonts w:ascii="Arial" w:cs="Arial" w:eastAsia="Arial" w:hAnsi="Arial"/>
                <w:sz w:val="18"/>
                <w:szCs w:val="18"/>
                <w:color w:val="auto"/>
              </w:rPr>
              <w:t>36</w:t>
            </w:r>
          </w:p>
        </w:tc>
        <w:tc>
          <w:tcPr>
            <w:tcW w:w="42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spacing w:after="0"/>
              <w:rPr>
                <w:sz w:val="18"/>
                <w:szCs w:val="18"/>
                <w:color w:val="auto"/>
              </w:rPr>
            </w:pPr>
          </w:p>
        </w:tc>
        <w:tc>
          <w:tcPr>
            <w:tcW w:w="3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20"/>
              <w:spacing w:after="0"/>
              <w:rPr>
                <w:sz w:val="20"/>
                <w:szCs w:val="20"/>
                <w:color w:val="auto"/>
              </w:rPr>
            </w:pPr>
            <w:r>
              <w:rPr>
                <w:rFonts w:ascii="Arial" w:cs="Arial" w:eastAsia="Arial" w:hAnsi="Arial"/>
                <w:sz w:val="18"/>
                <w:szCs w:val="18"/>
                <w:color w:val="auto"/>
              </w:rPr>
              <w:t>42</w:t>
            </w:r>
          </w:p>
        </w:tc>
        <w:tc>
          <w:tcPr>
            <w:tcW w:w="36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r>
      <w:tr>
        <w:trPr>
          <w:trHeight w:val="217"/>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Diluted EPS attributable to Comcast Corporation shareholders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b w:val="1"/>
                <w:bCs w:val="1"/>
                <w:color w:val="auto"/>
              </w:rPr>
              <w:t>2,059</w:t>
            </w: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8"/>
                <w:szCs w:val="18"/>
                <w:b w:val="1"/>
                <w:bCs w:val="1"/>
                <w:color w:val="auto"/>
              </w:rPr>
              <w:t>2,556</w:t>
            </w:r>
          </w:p>
        </w:tc>
        <w:tc>
          <w:tcPr>
            <w:tcW w:w="4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6"/>
              </w:rPr>
              <w:t>0.81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b w:val="1"/>
                <w:bCs w:val="1"/>
                <w:color w:val="auto"/>
              </w:rPr>
              <w:t>1,871</w:t>
            </w:r>
          </w:p>
        </w:tc>
        <w:tc>
          <w:tcPr>
            <w:tcW w:w="86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b w:val="1"/>
                <w:bCs w:val="1"/>
                <w:color w:val="auto"/>
              </w:rPr>
              <w:t>2,645</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6"/>
              </w:rPr>
              <w:t>0.71</w:t>
            </w:r>
          </w:p>
        </w:tc>
      </w:tr>
    </w:tbl>
    <w:p>
      <w:pPr>
        <w:spacing w:after="0" w:line="59"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Diluted earnings per common share attributable to Comcast Corporation shareholders (“diluted EPS”) considers the impact of potentially dilutive securities using the treasury stock method. Our potentially dilutive securities include potential common shares related to our stock options and our restricted share units (“RSUs”).</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amount of potential common shares related to our share-based compensation plans that were excluded from diluted EPS because their effect would have been antidilutive was not material for the three months ended March 31, 2015 and 2014.</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Significant Transactions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Warner Cable Merger and Related Divestiture Transactions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12, 2014, we entered into an agreement and plan of merger (the “merger agreement”) with Time Warner Cable Inc. (“Time Warner Cable”), which contemplated that Time Warner Cable would become our wholly owned subsidiary. On April 24, 2015, we and Time Warner Cable entered into a termination agreement, which terminated the merger agreement.</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25, 2014, we entered into an agreement with Charter Communications, Inc. (“Charter”), which contemplated three transactions: (1) a spin-off of certain of our existing cable systems into a newly formed public entity, (2) an exchange of certain former Time Warner Cable cable systems for Charter cable systems, and (3) a sale to Charter of certain former Time Warner Cable cable systems for cash (collectively, the “divestiture transactions”). In accordance with the terms of this agreement, the divestiture transactions became terminable upon termination of the merger agreement. On April 24, 2015, we delivered a notice of termination of the agreement to Charter.</w:t>
      </w:r>
    </w:p>
    <w:p>
      <w:pPr>
        <w:spacing w:after="0" w:line="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Time Warner Cable merger and the divestiture transactions, we incurred incremental expenses of $99 million and $17 million for the three months ended March 31, 2015 and 2014, respectively. The transaction-related expenses included legal, accounting and valuation services and advisory fees, all of which are reflected in other operating and administrative expenses.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Film and Television Costs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4000" w:type="dxa"/>
            <w:vAlign w:val="bottom"/>
            <w:gridSpan w:val="2"/>
          </w:tcPr>
          <w:p>
            <w:pPr>
              <w:ind w:left="3060"/>
              <w:spacing w:after="0"/>
              <w:rPr>
                <w:sz w:val="20"/>
                <w:szCs w:val="20"/>
                <w:color w:val="auto"/>
              </w:rPr>
            </w:pPr>
            <w:r>
              <w:rPr>
                <w:rFonts w:ascii="Arial" w:cs="Arial" w:eastAsia="Arial" w:hAnsi="Arial"/>
                <w:sz w:val="14"/>
                <w:szCs w:val="14"/>
                <w:color w:val="auto"/>
              </w:rPr>
              <w:t>March 31,</w:t>
            </w:r>
          </w:p>
        </w:tc>
        <w:tc>
          <w:tcPr>
            <w:tcW w:w="1220" w:type="dxa"/>
            <w:vAlign w:val="bottom"/>
            <w:gridSpan w:val="2"/>
          </w:tcPr>
          <w:p>
            <w:pPr>
              <w:ind w:left="360"/>
              <w:spacing w:after="0"/>
              <w:rPr>
                <w:sz w:val="20"/>
                <w:szCs w:val="20"/>
                <w:color w:val="auto"/>
              </w:rPr>
            </w:pPr>
            <w:r>
              <w:rPr>
                <w:rFonts w:ascii="Arial" w:cs="Arial" w:eastAsia="Arial" w:hAnsi="Arial"/>
                <w:sz w:val="14"/>
                <w:szCs w:val="14"/>
                <w:color w:val="auto"/>
                <w:w w:val="95"/>
              </w:rPr>
              <w:t>December 31,</w:t>
            </w:r>
          </w:p>
        </w:tc>
      </w:tr>
      <w:tr>
        <w:trPr>
          <w:trHeight w:val="159"/>
        </w:trPr>
        <w:tc>
          <w:tcPr>
            <w:tcW w:w="62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3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34"/>
              <w:spacing w:after="0" w:line="159" w:lineRule="exact"/>
              <w:rPr>
                <w:sz w:val="20"/>
                <w:szCs w:val="20"/>
                <w:color w:val="auto"/>
              </w:rPr>
            </w:pPr>
            <w:r>
              <w:rPr>
                <w:rFonts w:ascii="Arial" w:cs="Arial" w:eastAsia="Arial" w:hAnsi="Arial"/>
                <w:sz w:val="14"/>
                <w:szCs w:val="14"/>
                <w:color w:val="auto"/>
                <w:w w:val="89"/>
              </w:rPr>
              <w:t>2015</w:t>
            </w:r>
          </w:p>
        </w:tc>
        <w:tc>
          <w:tcPr>
            <w:tcW w:w="5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4"/>
              <w:spacing w:after="0" w:line="159" w:lineRule="exact"/>
              <w:rPr>
                <w:sz w:val="20"/>
                <w:szCs w:val="20"/>
                <w:color w:val="auto"/>
              </w:rPr>
            </w:pPr>
            <w:r>
              <w:rPr>
                <w:rFonts w:ascii="Arial" w:cs="Arial" w:eastAsia="Arial" w:hAnsi="Arial"/>
                <w:sz w:val="14"/>
                <w:szCs w:val="14"/>
                <w:color w:val="auto"/>
              </w:rPr>
              <w:t>2014</w:t>
            </w:r>
          </w:p>
        </w:tc>
      </w:tr>
      <w:tr>
        <w:trPr>
          <w:trHeight w:val="210"/>
        </w:trPr>
        <w:tc>
          <w:tcPr>
            <w:tcW w:w="6200" w:type="dxa"/>
            <w:vAlign w:val="bottom"/>
            <w:shd w:val="clear" w:color="auto" w:fill="E5E5E5"/>
          </w:tcPr>
          <w:p>
            <w:pPr>
              <w:spacing w:after="0"/>
              <w:rPr>
                <w:sz w:val="20"/>
                <w:szCs w:val="20"/>
                <w:color w:val="auto"/>
              </w:rPr>
            </w:pPr>
            <w:r>
              <w:rPr>
                <w:rFonts w:ascii="Arial" w:cs="Arial" w:eastAsia="Arial" w:hAnsi="Arial"/>
                <w:sz w:val="18"/>
                <w:szCs w:val="18"/>
                <w:color w:val="auto"/>
              </w:rPr>
              <w:t>Film Costs:</w:t>
            </w:r>
          </w:p>
        </w:tc>
        <w:tc>
          <w:tcPr>
            <w:tcW w:w="31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6200" w:type="dxa"/>
            <w:vAlign w:val="bottom"/>
          </w:tcPr>
          <w:p>
            <w:pPr>
              <w:ind w:left="440"/>
              <w:spacing w:after="0"/>
              <w:rPr>
                <w:sz w:val="20"/>
                <w:szCs w:val="20"/>
                <w:color w:val="auto"/>
              </w:rPr>
            </w:pPr>
            <w:r>
              <w:rPr>
                <w:rFonts w:ascii="Arial" w:cs="Arial" w:eastAsia="Arial" w:hAnsi="Arial"/>
                <w:sz w:val="18"/>
                <w:szCs w:val="18"/>
                <w:color w:val="auto"/>
              </w:rPr>
              <w:t>Released, less amortization</w:t>
            </w:r>
          </w:p>
        </w:tc>
        <w:tc>
          <w:tcPr>
            <w:tcW w:w="3180" w:type="dxa"/>
            <w:vAlign w:val="bottom"/>
          </w:tcPr>
          <w:p>
            <w:pPr>
              <w:ind w:left="306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4"/>
              <w:spacing w:after="0"/>
              <w:rPr>
                <w:sz w:val="20"/>
                <w:szCs w:val="20"/>
                <w:color w:val="auto"/>
              </w:rPr>
            </w:pPr>
            <w:r>
              <w:rPr>
                <w:rFonts w:ascii="Arial" w:cs="Arial" w:eastAsia="Arial" w:hAnsi="Arial"/>
                <w:sz w:val="18"/>
                <w:szCs w:val="18"/>
                <w:color w:val="auto"/>
                <w:w w:val="93"/>
              </w:rPr>
              <w:t>1,244</w:t>
            </w: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1,371</w:t>
            </w:r>
          </w:p>
        </w:tc>
      </w:tr>
      <w:tr>
        <w:trPr>
          <w:trHeight w:val="216"/>
        </w:trPr>
        <w:tc>
          <w:tcPr>
            <w:tcW w:w="62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Completed, not released</w:t>
            </w:r>
          </w:p>
        </w:tc>
        <w:tc>
          <w:tcPr>
            <w:tcW w:w="31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94"/>
              <w:spacing w:after="0"/>
              <w:rPr>
                <w:sz w:val="20"/>
                <w:szCs w:val="20"/>
                <w:color w:val="auto"/>
              </w:rPr>
            </w:pPr>
            <w:r>
              <w:rPr>
                <w:rFonts w:ascii="Arial" w:cs="Arial" w:eastAsia="Arial" w:hAnsi="Arial"/>
                <w:sz w:val="18"/>
                <w:szCs w:val="18"/>
                <w:color w:val="auto"/>
              </w:rPr>
              <w:t>444</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71</w:t>
            </w:r>
          </w:p>
        </w:tc>
      </w:tr>
      <w:tr>
        <w:trPr>
          <w:trHeight w:val="216"/>
        </w:trPr>
        <w:tc>
          <w:tcPr>
            <w:tcW w:w="62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3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952</w:t>
            </w: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1,189</w:t>
            </w:r>
          </w:p>
        </w:tc>
      </w:tr>
      <w:tr>
        <w:trPr>
          <w:trHeight w:val="210"/>
        </w:trPr>
        <w:tc>
          <w:tcPr>
            <w:tcW w:w="6200" w:type="dxa"/>
            <w:vAlign w:val="bottom"/>
            <w:shd w:val="clear" w:color="auto" w:fill="E5E5E5"/>
          </w:tcPr>
          <w:p>
            <w:pPr>
              <w:spacing w:after="0"/>
              <w:rPr>
                <w:sz w:val="18"/>
                <w:szCs w:val="18"/>
                <w:color w:val="auto"/>
              </w:rPr>
            </w:pPr>
          </w:p>
        </w:tc>
        <w:tc>
          <w:tcPr>
            <w:tcW w:w="31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94"/>
              <w:spacing w:after="0"/>
              <w:rPr>
                <w:sz w:val="20"/>
                <w:szCs w:val="20"/>
                <w:color w:val="auto"/>
              </w:rPr>
            </w:pPr>
            <w:r>
              <w:rPr>
                <w:rFonts w:ascii="Arial" w:cs="Arial" w:eastAsia="Arial" w:hAnsi="Arial"/>
                <w:sz w:val="18"/>
                <w:szCs w:val="18"/>
                <w:color w:val="auto"/>
                <w:w w:val="93"/>
              </w:rPr>
              <w:t>2,640</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2,631</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Television Costs:</w:t>
            </w:r>
          </w:p>
        </w:tc>
        <w:tc>
          <w:tcPr>
            <w:tcW w:w="3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2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Released, less amortization</w:t>
            </w:r>
          </w:p>
        </w:tc>
        <w:tc>
          <w:tcPr>
            <w:tcW w:w="31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94"/>
              <w:spacing w:after="0"/>
              <w:rPr>
                <w:sz w:val="20"/>
                <w:szCs w:val="20"/>
                <w:color w:val="auto"/>
              </w:rPr>
            </w:pPr>
            <w:r>
              <w:rPr>
                <w:rFonts w:ascii="Arial" w:cs="Arial" w:eastAsia="Arial" w:hAnsi="Arial"/>
                <w:sz w:val="18"/>
                <w:szCs w:val="18"/>
                <w:color w:val="auto"/>
                <w:w w:val="93"/>
              </w:rPr>
              <w:t>1,361</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1,273</w:t>
            </w:r>
          </w:p>
        </w:tc>
      </w:tr>
      <w:tr>
        <w:trPr>
          <w:trHeight w:val="216"/>
        </w:trPr>
        <w:tc>
          <w:tcPr>
            <w:tcW w:w="62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3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407</w:t>
            </w: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505</w:t>
            </w:r>
          </w:p>
        </w:tc>
      </w:tr>
      <w:tr>
        <w:trPr>
          <w:trHeight w:val="210"/>
        </w:trPr>
        <w:tc>
          <w:tcPr>
            <w:tcW w:w="6200" w:type="dxa"/>
            <w:vAlign w:val="bottom"/>
            <w:shd w:val="clear" w:color="auto" w:fill="E5E5E5"/>
          </w:tcPr>
          <w:p>
            <w:pPr>
              <w:spacing w:after="0"/>
              <w:rPr>
                <w:sz w:val="18"/>
                <w:szCs w:val="18"/>
                <w:color w:val="auto"/>
              </w:rPr>
            </w:pPr>
          </w:p>
        </w:tc>
        <w:tc>
          <w:tcPr>
            <w:tcW w:w="31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94"/>
              <w:spacing w:after="0"/>
              <w:rPr>
                <w:sz w:val="20"/>
                <w:szCs w:val="20"/>
                <w:color w:val="auto"/>
              </w:rPr>
            </w:pPr>
            <w:r>
              <w:rPr>
                <w:rFonts w:ascii="Arial" w:cs="Arial" w:eastAsia="Arial" w:hAnsi="Arial"/>
                <w:sz w:val="18"/>
                <w:szCs w:val="18"/>
                <w:color w:val="auto"/>
                <w:w w:val="93"/>
              </w:rPr>
              <w:t>1,768</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1,778</w:t>
            </w:r>
          </w:p>
        </w:tc>
      </w:tr>
      <w:tr>
        <w:trPr>
          <w:trHeight w:val="216"/>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Programming rights, less amortization</w:t>
            </w:r>
          </w:p>
        </w:tc>
        <w:tc>
          <w:tcPr>
            <w:tcW w:w="3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w w:val="93"/>
              </w:rPr>
              <w:t>2,174</w:t>
            </w: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2,157</w:t>
            </w:r>
          </w:p>
        </w:tc>
      </w:tr>
      <w:tr>
        <w:trPr>
          <w:trHeight w:val="210"/>
        </w:trPr>
        <w:tc>
          <w:tcPr>
            <w:tcW w:w="6200" w:type="dxa"/>
            <w:vAlign w:val="bottom"/>
            <w:shd w:val="clear" w:color="auto" w:fill="E5E5E5"/>
          </w:tcPr>
          <w:p>
            <w:pPr>
              <w:spacing w:after="0"/>
              <w:rPr>
                <w:sz w:val="18"/>
                <w:szCs w:val="18"/>
                <w:color w:val="auto"/>
              </w:rPr>
            </w:pPr>
          </w:p>
        </w:tc>
        <w:tc>
          <w:tcPr>
            <w:tcW w:w="31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94"/>
              <w:spacing w:after="0"/>
              <w:rPr>
                <w:sz w:val="20"/>
                <w:szCs w:val="20"/>
                <w:color w:val="auto"/>
              </w:rPr>
            </w:pPr>
            <w:r>
              <w:rPr>
                <w:rFonts w:ascii="Arial" w:cs="Arial" w:eastAsia="Arial" w:hAnsi="Arial"/>
                <w:sz w:val="18"/>
                <w:szCs w:val="18"/>
                <w:color w:val="auto"/>
                <w:w w:val="93"/>
              </w:rPr>
              <w:t>6,582</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6,566</w:t>
            </w:r>
          </w:p>
        </w:tc>
      </w:tr>
      <w:tr>
        <w:trPr>
          <w:trHeight w:val="216"/>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 of programming rights</w:t>
            </w:r>
          </w:p>
        </w:tc>
        <w:tc>
          <w:tcPr>
            <w:tcW w:w="3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945</w:t>
            </w: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839</w:t>
            </w:r>
          </w:p>
        </w:tc>
      </w:tr>
      <w:tr>
        <w:trPr>
          <w:trHeight w:val="217"/>
        </w:trPr>
        <w:tc>
          <w:tcPr>
            <w:tcW w:w="62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Film and television costs</w:t>
            </w:r>
          </w:p>
        </w:tc>
        <w:tc>
          <w:tcPr>
            <w:tcW w:w="3180" w:type="dxa"/>
            <w:vAlign w:val="bottom"/>
            <w:tcBorders>
              <w:bottom w:val="single" w:sz="8" w:color="auto"/>
            </w:tcBorders>
            <w:shd w:val="clear" w:color="auto" w:fill="E5E5E5"/>
          </w:tcPr>
          <w:p>
            <w:pPr>
              <w:ind w:left="306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E5E5E5"/>
          </w:tcPr>
          <w:p>
            <w:pPr>
              <w:jc w:val="right"/>
              <w:ind w:right="294"/>
              <w:spacing w:after="0"/>
              <w:rPr>
                <w:sz w:val="20"/>
                <w:szCs w:val="20"/>
                <w:color w:val="auto"/>
              </w:rPr>
            </w:pPr>
            <w:r>
              <w:rPr>
                <w:rFonts w:ascii="Arial" w:cs="Arial" w:eastAsia="Arial" w:hAnsi="Arial"/>
                <w:sz w:val="18"/>
                <w:szCs w:val="18"/>
                <w:b w:val="1"/>
                <w:bCs w:val="1"/>
                <w:color w:val="auto"/>
                <w:w w:val="93"/>
              </w:rPr>
              <w:t>5,637</w:t>
            </w:r>
          </w:p>
        </w:tc>
        <w:tc>
          <w:tcPr>
            <w:tcW w:w="52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5,727</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Investments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March 31,</w:t>
            </w:r>
          </w:p>
        </w:tc>
        <w:tc>
          <w:tcPr>
            <w:tcW w:w="540" w:type="dxa"/>
            <w:vAlign w:val="bottom"/>
          </w:tcPr>
          <w:p>
            <w:pPr>
              <w:spacing w:after="0"/>
              <w:rPr>
                <w:sz w:val="14"/>
                <w:szCs w:val="14"/>
                <w:color w:val="auto"/>
              </w:rPr>
            </w:pPr>
          </w:p>
        </w:tc>
        <w:tc>
          <w:tcPr>
            <w:tcW w:w="1060" w:type="dxa"/>
            <w:vAlign w:val="bottom"/>
            <w:gridSpan w:val="2"/>
          </w:tcPr>
          <w:p>
            <w:pPr>
              <w:ind w:left="200"/>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59"/>
        </w:trPr>
        <w:tc>
          <w:tcPr>
            <w:tcW w:w="89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ind w:right="76"/>
              <w:spacing w:after="0" w:line="159" w:lineRule="exact"/>
              <w:rPr>
                <w:sz w:val="20"/>
                <w:szCs w:val="20"/>
                <w:color w:val="auto"/>
              </w:rPr>
            </w:pPr>
            <w:r>
              <w:rPr>
                <w:rFonts w:ascii="Arial" w:cs="Arial" w:eastAsia="Arial" w:hAnsi="Arial"/>
                <w:sz w:val="14"/>
                <w:szCs w:val="14"/>
                <w:color w:val="auto"/>
              </w:rPr>
              <w:t>2015</w:t>
            </w:r>
          </w:p>
        </w:tc>
        <w:tc>
          <w:tcPr>
            <w:tcW w:w="5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54"/>
              <w:spacing w:after="0" w:line="159" w:lineRule="exact"/>
              <w:rPr>
                <w:sz w:val="20"/>
                <w:szCs w:val="20"/>
                <w:color w:val="auto"/>
              </w:rPr>
            </w:pPr>
            <w:r>
              <w:rPr>
                <w:rFonts w:ascii="Arial" w:cs="Arial" w:eastAsia="Arial" w:hAnsi="Arial"/>
                <w:sz w:val="14"/>
                <w:szCs w:val="14"/>
                <w:color w:val="auto"/>
                <w:w w:val="89"/>
              </w:rPr>
              <w:t>2014</w:t>
            </w:r>
          </w:p>
        </w:tc>
        <w:tc>
          <w:tcPr>
            <w:tcW w:w="0" w:type="dxa"/>
            <w:vAlign w:val="bottom"/>
          </w:tcPr>
          <w:p>
            <w:pPr>
              <w:spacing w:after="0"/>
              <w:rPr>
                <w:sz w:val="1"/>
                <w:szCs w:val="1"/>
                <w:color w:val="auto"/>
              </w:rPr>
            </w:pPr>
          </w:p>
        </w:tc>
      </w:tr>
      <w:tr>
        <w:trPr>
          <w:trHeight w:val="210"/>
        </w:trPr>
        <w:tc>
          <w:tcPr>
            <w:tcW w:w="8940" w:type="dxa"/>
            <w:vAlign w:val="bottom"/>
            <w:shd w:val="clear" w:color="auto" w:fill="E5E5E5"/>
          </w:tcPr>
          <w:p>
            <w:pPr>
              <w:spacing w:after="0"/>
              <w:rPr>
                <w:sz w:val="20"/>
                <w:szCs w:val="20"/>
                <w:color w:val="auto"/>
              </w:rPr>
            </w:pPr>
            <w:r>
              <w:rPr>
                <w:rFonts w:ascii="Arial" w:cs="Arial" w:eastAsia="Arial" w:hAnsi="Arial"/>
                <w:sz w:val="18"/>
                <w:szCs w:val="18"/>
                <w:color w:val="auto"/>
              </w:rPr>
              <w:t>Fair Value Method</w:t>
            </w: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   182</w:t>
            </w:r>
          </w:p>
        </w:tc>
        <w:tc>
          <w:tcPr>
            <w:tcW w:w="540" w:type="dxa"/>
            <w:vAlign w:val="bottom"/>
            <w:shd w:val="clear" w:color="auto" w:fill="E5E5E5"/>
          </w:tcPr>
          <w:p>
            <w:pPr>
              <w:spacing w:after="0"/>
              <w:rPr>
                <w:sz w:val="18"/>
                <w:szCs w:val="18"/>
                <w:color w:val="auto"/>
              </w:rPr>
            </w:pPr>
          </w:p>
        </w:tc>
        <w:tc>
          <w:tcPr>
            <w:tcW w:w="4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Equity Method:</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The Weather Channel</w:t>
            </w: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336</w:t>
            </w:r>
          </w:p>
        </w:tc>
        <w:tc>
          <w:tcPr>
            <w:tcW w:w="5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Hulu</w:t>
            </w:r>
          </w:p>
        </w:tc>
        <w:tc>
          <w:tcPr>
            <w:tcW w:w="880" w:type="dxa"/>
            <w:vAlign w:val="bottom"/>
          </w:tcPr>
          <w:p>
            <w:pPr>
              <w:jc w:val="right"/>
              <w:spacing w:after="0"/>
              <w:rPr>
                <w:sz w:val="20"/>
                <w:szCs w:val="20"/>
                <w:color w:val="auto"/>
              </w:rPr>
            </w:pPr>
            <w:r>
              <w:rPr>
                <w:rFonts w:ascii="Arial" w:cs="Arial" w:eastAsia="Arial" w:hAnsi="Arial"/>
                <w:sz w:val="18"/>
                <w:szCs w:val="18"/>
                <w:color w:val="auto"/>
              </w:rPr>
              <w:t>279</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894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534</w:t>
            </w:r>
          </w:p>
        </w:tc>
        <w:tc>
          <w:tcPr>
            <w:tcW w:w="54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0"/>
        </w:trPr>
        <w:tc>
          <w:tcPr>
            <w:tcW w:w="89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1,149</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16"/>
        </w:trPr>
        <w:tc>
          <w:tcPr>
            <w:tcW w:w="8940" w:type="dxa"/>
            <w:vAlign w:val="bottom"/>
            <w:shd w:val="clear" w:color="auto" w:fill="E5E5E5"/>
          </w:tcPr>
          <w:p>
            <w:pPr>
              <w:spacing w:after="0"/>
              <w:rPr>
                <w:sz w:val="20"/>
                <w:szCs w:val="20"/>
                <w:color w:val="auto"/>
              </w:rPr>
            </w:pPr>
            <w:r>
              <w:rPr>
                <w:rFonts w:ascii="Arial" w:cs="Arial" w:eastAsia="Arial" w:hAnsi="Arial"/>
                <w:sz w:val="18"/>
                <w:szCs w:val="18"/>
                <w:color w:val="auto"/>
              </w:rPr>
              <w:t>Cost Method:</w:t>
            </w:r>
          </w:p>
        </w:tc>
        <w:tc>
          <w:tcPr>
            <w:tcW w:w="88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AirTouch</w:t>
            </w:r>
          </w:p>
        </w:tc>
        <w:tc>
          <w:tcPr>
            <w:tcW w:w="880" w:type="dxa"/>
            <w:vAlign w:val="bottom"/>
          </w:tcPr>
          <w:p>
            <w:pPr>
              <w:jc w:val="right"/>
              <w:spacing w:after="0"/>
              <w:rPr>
                <w:sz w:val="20"/>
                <w:szCs w:val="20"/>
                <w:color w:val="auto"/>
              </w:rPr>
            </w:pPr>
            <w:r>
              <w:rPr>
                <w:rFonts w:ascii="Arial" w:cs="Arial" w:eastAsia="Arial" w:hAnsi="Arial"/>
                <w:sz w:val="18"/>
                <w:szCs w:val="18"/>
                <w:color w:val="auto"/>
              </w:rPr>
              <w:t>1,572</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16"/>
        </w:trPr>
        <w:tc>
          <w:tcPr>
            <w:tcW w:w="894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490</w:t>
            </w:r>
          </w:p>
        </w:tc>
        <w:tc>
          <w:tcPr>
            <w:tcW w:w="54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0"/>
        </w:trPr>
        <w:tc>
          <w:tcPr>
            <w:tcW w:w="89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w:t>
            </w:r>
          </w:p>
        </w:tc>
        <w:tc>
          <w:tcPr>
            <w:tcW w:w="5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10"/>
        </w:trPr>
        <w:tc>
          <w:tcPr>
            <w:tcW w:w="8940" w:type="dxa"/>
            <w:vAlign w:val="bottom"/>
            <w:shd w:val="clear" w:color="auto" w:fill="E5E5E5"/>
          </w:tcPr>
          <w:p>
            <w:pPr>
              <w:spacing w:after="0"/>
              <w:rPr>
                <w:sz w:val="20"/>
                <w:szCs w:val="20"/>
                <w:color w:val="auto"/>
              </w:rPr>
            </w:pPr>
            <w:r>
              <w:rPr>
                <w:rFonts w:ascii="Arial" w:cs="Arial" w:eastAsia="Arial" w:hAnsi="Arial"/>
                <w:sz w:val="18"/>
                <w:szCs w:val="18"/>
                <w:color w:val="auto"/>
              </w:rPr>
              <w:t>Total investments</w:t>
            </w: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3,393</w:t>
            </w:r>
          </w:p>
        </w:tc>
        <w:tc>
          <w:tcPr>
            <w:tcW w:w="5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3,737</w:t>
            </w:r>
          </w:p>
        </w:tc>
        <w:tc>
          <w:tcPr>
            <w:tcW w:w="0" w:type="dxa"/>
            <w:vAlign w:val="bottom"/>
          </w:tcPr>
          <w:p>
            <w:pPr>
              <w:spacing w:after="0"/>
              <w:rPr>
                <w:sz w:val="1"/>
                <w:szCs w:val="1"/>
                <w:color w:val="auto"/>
              </w:rPr>
            </w:pPr>
          </w:p>
        </w:tc>
      </w:tr>
      <w:tr>
        <w:trPr>
          <w:trHeight w:val="216"/>
        </w:trPr>
        <w:tc>
          <w:tcPr>
            <w:tcW w:w="8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investments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5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7"/>
        </w:trPr>
        <w:tc>
          <w:tcPr>
            <w:tcW w:w="89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Noncurrent investments</w:t>
            </w: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$ 3,235</w:t>
            </w:r>
          </w:p>
        </w:tc>
        <w:tc>
          <w:tcPr>
            <w:tcW w:w="54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3,135</w:t>
            </w:r>
          </w:p>
        </w:tc>
        <w:tc>
          <w:tcPr>
            <w:tcW w:w="0" w:type="dxa"/>
            <w:vAlign w:val="bottom"/>
          </w:tcPr>
          <w:p>
            <w:pPr>
              <w:spacing w:after="0"/>
              <w:rPr>
                <w:sz w:val="1"/>
                <w:szCs w:val="1"/>
                <w:color w:val="auto"/>
              </w:rPr>
            </w:pPr>
          </w:p>
        </w:tc>
      </w:tr>
      <w:tr>
        <w:trPr>
          <w:trHeight w:val="403"/>
        </w:trPr>
        <w:tc>
          <w:tcPr>
            <w:tcW w:w="8940" w:type="dxa"/>
            <w:vAlign w:val="bottom"/>
          </w:tcPr>
          <w:p>
            <w:pPr>
              <w:ind w:left="4440"/>
              <w:spacing w:after="0"/>
              <w:rPr>
                <w:sz w:val="20"/>
                <w:szCs w:val="20"/>
                <w:color w:val="auto"/>
              </w:rPr>
            </w:pPr>
            <w:r>
              <w:rPr>
                <w:rFonts w:ascii="Arial" w:cs="Arial" w:eastAsia="Arial" w:hAnsi="Arial"/>
                <w:sz w:val="18"/>
                <w:szCs w:val="18"/>
                <w:b w:val="1"/>
                <w:bCs w:val="1"/>
                <w:color w:val="auto"/>
              </w:rPr>
              <w:t>Investment Income (Loss), Net</w:t>
            </w: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9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0" w:type="dxa"/>
            <w:vAlign w:val="bottom"/>
            <w:gridSpan w:val="3"/>
          </w:tcPr>
          <w:p>
            <w:pPr>
              <w:jc w:val="right"/>
              <w:ind w:right="374"/>
              <w:spacing w:after="0"/>
              <w:rPr>
                <w:sz w:val="20"/>
                <w:szCs w:val="20"/>
                <w:color w:val="auto"/>
              </w:rPr>
            </w:pPr>
            <w:r>
              <w:rPr>
                <w:rFonts w:ascii="Arial" w:cs="Arial" w:eastAsia="Arial" w:hAnsi="Arial"/>
                <w:sz w:val="14"/>
                <w:szCs w:val="14"/>
                <w:color w:val="auto"/>
                <w:w w:val="85"/>
              </w:rPr>
              <w:t>Three Months Ended</w:t>
            </w:r>
          </w:p>
        </w:tc>
        <w:tc>
          <w:tcPr>
            <w:tcW w:w="0" w:type="dxa"/>
            <w:vAlign w:val="bottom"/>
          </w:tcPr>
          <w:p>
            <w:pPr>
              <w:spacing w:after="0"/>
              <w:rPr>
                <w:sz w:val="1"/>
                <w:szCs w:val="1"/>
                <w:color w:val="auto"/>
              </w:rPr>
            </w:pPr>
          </w:p>
        </w:tc>
      </w:tr>
      <w:tr>
        <w:trPr>
          <w:trHeight w:val="159"/>
        </w:trPr>
        <w:tc>
          <w:tcPr>
            <w:tcW w:w="89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36"/>
              <w:spacing w:after="0" w:line="159" w:lineRule="exact"/>
              <w:rPr>
                <w:sz w:val="20"/>
                <w:szCs w:val="20"/>
                <w:color w:val="auto"/>
              </w:rPr>
            </w:pPr>
            <w:r>
              <w:rPr>
                <w:rFonts w:ascii="Arial" w:cs="Arial" w:eastAsia="Arial" w:hAnsi="Arial"/>
                <w:sz w:val="14"/>
                <w:szCs w:val="14"/>
                <w:color w:val="auto"/>
              </w:rPr>
              <w:t>March 31</w:t>
            </w: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940" w:type="dxa"/>
            <w:vAlign w:val="bottom"/>
            <w:tcBorders>
              <w:bottom w:val="single" w:sz="8" w:color="auto"/>
            </w:tcBorders>
            <w:vMerge w:val="continue"/>
          </w:tcPr>
          <w:p>
            <w:pPr>
              <w:spacing w:after="0"/>
              <w:rPr>
                <w:sz w:val="12"/>
                <w:szCs w:val="12"/>
                <w:color w:val="auto"/>
              </w:rPr>
            </w:pPr>
          </w:p>
        </w:tc>
        <w:tc>
          <w:tcPr>
            <w:tcW w:w="1420" w:type="dxa"/>
            <w:vAlign w:val="bottom"/>
            <w:tcBorders>
              <w:bottom w:val="single" w:sz="8" w:color="auto"/>
            </w:tcBorders>
            <w:gridSpan w:val="2"/>
          </w:tcPr>
          <w:p>
            <w:pPr>
              <w:jc w:val="right"/>
              <w:ind w:right="297"/>
              <w:spacing w:after="0" w:line="142" w:lineRule="exact"/>
              <w:rPr>
                <w:sz w:val="20"/>
                <w:szCs w:val="20"/>
                <w:color w:val="auto"/>
              </w:rPr>
            </w:pPr>
            <w:r>
              <w:rPr>
                <w:rFonts w:ascii="Arial" w:cs="Arial" w:eastAsia="Arial" w:hAnsi="Arial"/>
                <w:sz w:val="14"/>
                <w:szCs w:val="14"/>
                <w:color w:val="auto"/>
              </w:rPr>
              <w:t>2015</w:t>
            </w:r>
          </w:p>
        </w:tc>
        <w:tc>
          <w:tcPr>
            <w:tcW w:w="4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color w:val="auto"/>
                <w:w w:val="83"/>
              </w:rPr>
              <w:t>2014</w:t>
            </w:r>
          </w:p>
        </w:tc>
        <w:tc>
          <w:tcPr>
            <w:tcW w:w="0" w:type="dxa"/>
            <w:vAlign w:val="bottom"/>
          </w:tcPr>
          <w:p>
            <w:pPr>
              <w:spacing w:after="0"/>
              <w:rPr>
                <w:sz w:val="1"/>
                <w:szCs w:val="1"/>
                <w:color w:val="auto"/>
              </w:rPr>
            </w:pPr>
          </w:p>
        </w:tc>
      </w:tr>
      <w:tr>
        <w:trPr>
          <w:trHeight w:val="210"/>
        </w:trPr>
        <w:tc>
          <w:tcPr>
            <w:tcW w:w="8940" w:type="dxa"/>
            <w:vAlign w:val="bottom"/>
            <w:shd w:val="clear" w:color="auto" w:fill="E5E5E5"/>
          </w:tcPr>
          <w:p>
            <w:pPr>
              <w:spacing w:after="0"/>
              <w:rPr>
                <w:sz w:val="20"/>
                <w:szCs w:val="20"/>
                <w:color w:val="auto"/>
              </w:rPr>
            </w:pPr>
            <w:r>
              <w:rPr>
                <w:rFonts w:ascii="Arial" w:cs="Arial" w:eastAsia="Arial" w:hAnsi="Arial"/>
                <w:sz w:val="18"/>
                <w:szCs w:val="18"/>
                <w:color w:val="auto"/>
              </w:rPr>
              <w:t>Gains on sales and exchanges of investments, net</w:t>
            </w:r>
          </w:p>
        </w:tc>
        <w:tc>
          <w:tcPr>
            <w:tcW w:w="88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Investment impairment losses</w:t>
            </w:r>
          </w:p>
        </w:tc>
        <w:tc>
          <w:tcPr>
            <w:tcW w:w="880" w:type="dxa"/>
            <w:vAlign w:val="bottom"/>
          </w:tcPr>
          <w:p>
            <w:pPr>
              <w:spacing w:after="0"/>
              <w:rPr>
                <w:sz w:val="18"/>
                <w:szCs w:val="18"/>
                <w:color w:val="auto"/>
              </w:rPr>
            </w:pPr>
          </w:p>
        </w:tc>
        <w:tc>
          <w:tcPr>
            <w:tcW w:w="540" w:type="dxa"/>
            <w:vAlign w:val="bottom"/>
          </w:tcPr>
          <w:p>
            <w:pPr>
              <w:jc w:val="right"/>
              <w:ind w:right="97"/>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18"/>
                <w:szCs w:val="18"/>
                <w:color w:val="auto"/>
              </w:rPr>
            </w:pPr>
          </w:p>
        </w:tc>
        <w:tc>
          <w:tcPr>
            <w:tcW w:w="640" w:type="dxa"/>
            <w:vAlign w:val="bottom"/>
          </w:tcPr>
          <w:p>
            <w:pPr>
              <w:jc w:val="right"/>
              <w:ind w:right="7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940" w:type="dxa"/>
            <w:vAlign w:val="bottom"/>
            <w:shd w:val="clear" w:color="auto" w:fill="E5E5E5"/>
          </w:tcPr>
          <w:p>
            <w:pPr>
              <w:spacing w:after="0"/>
              <w:rPr>
                <w:sz w:val="20"/>
                <w:szCs w:val="20"/>
                <w:color w:val="auto"/>
              </w:rPr>
            </w:pPr>
            <w:r>
              <w:rPr>
                <w:rFonts w:ascii="Arial" w:cs="Arial" w:eastAsia="Arial" w:hAnsi="Arial"/>
                <w:sz w:val="18"/>
                <w:szCs w:val="18"/>
                <w:color w:val="auto"/>
              </w:rPr>
              <w:t>Unrealized gains (losses) on securities underlying prepaid forward sale agreements</w:t>
            </w:r>
          </w:p>
        </w:tc>
        <w:tc>
          <w:tcPr>
            <w:tcW w:w="8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42</w:t>
            </w:r>
          </w:p>
        </w:tc>
        <w:tc>
          <w:tcPr>
            <w:tcW w:w="4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w w:val="93"/>
              </w:rPr>
              <w:t>Mark to market adjustments on derivative component of prepaid forward sale agreements and indexed debt instruments</w:t>
            </w:r>
          </w:p>
        </w:tc>
        <w:tc>
          <w:tcPr>
            <w:tcW w:w="880" w:type="dxa"/>
            <w:vAlign w:val="bottom"/>
          </w:tcPr>
          <w:p>
            <w:pPr>
              <w:spacing w:after="0"/>
              <w:rPr>
                <w:sz w:val="18"/>
                <w:szCs w:val="18"/>
                <w:color w:val="auto"/>
              </w:rPr>
            </w:pPr>
          </w:p>
        </w:tc>
        <w:tc>
          <w:tcPr>
            <w:tcW w:w="540" w:type="dxa"/>
            <w:vAlign w:val="bottom"/>
          </w:tcPr>
          <w:p>
            <w:pPr>
              <w:jc w:val="right"/>
              <w:ind w:right="97"/>
              <w:spacing w:after="0"/>
              <w:rPr>
                <w:sz w:val="20"/>
                <w:szCs w:val="20"/>
                <w:color w:val="auto"/>
              </w:rPr>
            </w:pPr>
            <w:r>
              <w:rPr>
                <w:rFonts w:ascii="Arial" w:cs="Arial" w:eastAsia="Arial" w:hAnsi="Arial"/>
                <w:sz w:val="18"/>
                <w:szCs w:val="18"/>
                <w:color w:val="auto"/>
              </w:rPr>
              <w:t>(38)</w:t>
            </w:r>
          </w:p>
        </w:tc>
        <w:tc>
          <w:tcPr>
            <w:tcW w:w="420" w:type="dxa"/>
            <w:vAlign w:val="bottom"/>
          </w:tcPr>
          <w:p>
            <w:pPr>
              <w:spacing w:after="0"/>
              <w:rPr>
                <w:sz w:val="18"/>
                <w:szCs w:val="18"/>
                <w:color w:val="auto"/>
              </w:rPr>
            </w:pPr>
          </w:p>
        </w:tc>
        <w:tc>
          <w:tcPr>
            <w:tcW w:w="640" w:type="dxa"/>
            <w:vAlign w:val="bottom"/>
          </w:tcPr>
          <w:p>
            <w:pPr>
              <w:jc w:val="right"/>
              <w:ind w:right="134"/>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8940" w:type="dxa"/>
            <w:vAlign w:val="bottom"/>
            <w:shd w:val="clear" w:color="auto" w:fill="E5E5E5"/>
          </w:tcPr>
          <w:p>
            <w:pPr>
              <w:spacing w:after="0"/>
              <w:rPr>
                <w:sz w:val="20"/>
                <w:szCs w:val="20"/>
                <w:color w:val="auto"/>
              </w:rPr>
            </w:pPr>
            <w:r>
              <w:rPr>
                <w:rFonts w:ascii="Arial" w:cs="Arial" w:eastAsia="Arial" w:hAnsi="Arial"/>
                <w:sz w:val="18"/>
                <w:szCs w:val="18"/>
                <w:color w:val="auto"/>
              </w:rPr>
              <w:t>Interest and dividend income</w:t>
            </w:r>
          </w:p>
        </w:tc>
        <w:tc>
          <w:tcPr>
            <w:tcW w:w="8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28</w:t>
            </w:r>
          </w:p>
        </w:tc>
        <w:tc>
          <w:tcPr>
            <w:tcW w:w="4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8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net</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16</w:t>
            </w:r>
          </w:p>
        </w:tc>
        <w:tc>
          <w:tcPr>
            <w:tcW w:w="4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7"/>
        </w:trPr>
        <w:tc>
          <w:tcPr>
            <w:tcW w:w="89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Investment income (loss), net</w:t>
            </w:r>
          </w:p>
        </w:tc>
        <w:tc>
          <w:tcPr>
            <w:tcW w:w="880" w:type="dxa"/>
            <w:vAlign w:val="bottom"/>
            <w:tcBorders>
              <w:bottom w:val="single" w:sz="8" w:color="auto"/>
            </w:tcBorders>
            <w:shd w:val="clear" w:color="auto" w:fill="E5E5E5"/>
          </w:tcPr>
          <w:p>
            <w:pPr>
              <w:jc w:val="right"/>
              <w:ind w:right="56"/>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33</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b w:val="1"/>
                <w:bCs w:val="1"/>
                <w:color w:val="auto"/>
              </w:rPr>
              <w:t>113</w:t>
            </w:r>
          </w:p>
        </w:tc>
        <w:tc>
          <w:tcPr>
            <w:tcW w:w="0" w:type="dxa"/>
            <w:vAlign w:val="bottom"/>
          </w:tcPr>
          <w:p>
            <w:pPr>
              <w:spacing w:after="0"/>
              <w:rPr>
                <w:sz w:val="1"/>
                <w:szCs w:val="1"/>
                <w:color w:val="auto"/>
              </w:rPr>
            </w:pPr>
          </w:p>
        </w:tc>
      </w:tr>
      <w:tr>
        <w:trPr>
          <w:trHeight w:val="363"/>
        </w:trPr>
        <w:tc>
          <w:tcPr>
            <w:tcW w:w="8940" w:type="dxa"/>
            <w:vAlign w:val="bottom"/>
          </w:tcPr>
          <w:p>
            <w:pPr>
              <w:ind w:left="5660"/>
              <w:spacing w:after="0"/>
              <w:rPr>
                <w:sz w:val="20"/>
                <w:szCs w:val="20"/>
                <w:color w:val="auto"/>
              </w:rPr>
            </w:pPr>
            <w:r>
              <w:rPr>
                <w:rFonts w:ascii="Arial" w:cs="Arial" w:eastAsia="Arial" w:hAnsi="Arial"/>
                <w:sz w:val="18"/>
                <w:szCs w:val="18"/>
                <w:color w:val="auto"/>
              </w:rPr>
              <w:t>8</w:t>
            </w: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Method</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March 31, 2015, we settled $517 million of our obligations under prepaid forward sale agreements by delivering equity securities.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2015, we have no remaining liabilities related to obligations under prepaid forward sale agreements.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AirTouch</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hold two series of preferred stock of AirTouch Communications, Inc. (“AirTouch”), a subsidiary of Verizon Communications Inc., which are redeemable in April 2020. As of March 31, 2015, the estimated fair values of the AirTouch preferred stock and the associated liability related to the redeemable subsidiary preferred shares issued by one of our consolidated subsidiaries were each $1.7 billion. The estimated fair values are based on Level 2 inputs that use pricing models whose inputs are derived primarily from or corroborated by observable market data through correlation or other means for substantially the full term of the financial instrument.</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Long-Term Debt</w:t>
      </w:r>
    </w:p>
    <w:p>
      <w:pPr>
        <w:spacing w:after="0" w:line="8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of March 31, 2015, our debt had a carrying value of $47.1 billion and an estimated fair value of $54.9 billion. The estimated fair value of our publicly traded debt is primarily based on Level 1 inputs that use quoted market values for the debt. The estimated fair value of debt for which there are no quoted market prices is based on Level 2 inputs that use interest rates available to us for debt with similar terms and remaining maturities.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Repayments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January 2015, we repaid at maturity $900 million aggregate principal amount of 6.50% senior notes due 2015. In April 2015, we repaid at maturity $1 billion aggregate principal amount of 3.65% senior notes due 2015.</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Facilities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2015, amounts available under our consolidated revolving credit facilities, net of amounts outstanding under our commercial paper programs and outstanding letters of credit, totaled $6.6 billion, which included $650 million available under NBCUniversal Enterprise Inc.’s (“NBCUniversal Enterprise”) revolving credit facility.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 Programs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2015, NBCUniversal Enterprise had $700 million face amount of commercial paper outstanding.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Fair Value Measurements</w:t>
      </w:r>
    </w:p>
    <w:p>
      <w:pPr>
        <w:spacing w:after="0" w:line="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Level 1 consists of financial instruments whose values are based on quoted market prices for identical financial instruments in an active market. Level 2 consists of financial instruments that are valued using models or other valuation methodologies. These models use inputs that are observable either directly or indirectly. Level 3 consists of financial instruments whose values are determined using pricing models that use significant inputs that are primarily unobservable, discounted cash flow methodologies or similar techniques, as well as instruments for which the determination of fair value requires significant management judgment or estimation. Our financial instruments that are accounted for at fair value on a recurring basis are presented in the table below.</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Recurring Fair Value Measures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color w:val="auto"/>
                <w:w w:val="89"/>
              </w:rPr>
              <w:t>Fair Value as of</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20" w:type="dxa"/>
            <w:vAlign w:val="bottom"/>
            <w:gridSpan w:val="2"/>
          </w:tcPr>
          <w:p>
            <w:pPr>
              <w:jc w:val="right"/>
              <w:ind w:right="752"/>
              <w:spacing w:after="0" w:line="131" w:lineRule="exact"/>
              <w:rPr>
                <w:sz w:val="20"/>
                <w:szCs w:val="20"/>
                <w:color w:val="auto"/>
              </w:rPr>
            </w:pPr>
            <w:r>
              <w:rPr>
                <w:rFonts w:ascii="Arial" w:cs="Arial" w:eastAsia="Arial" w:hAnsi="Arial"/>
                <w:sz w:val="14"/>
                <w:szCs w:val="14"/>
                <w:color w:val="auto"/>
                <w:w w:val="89"/>
              </w:rPr>
              <w:t>March 31,</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gridSpan w:val="2"/>
          </w:tcPr>
          <w:p>
            <w:pPr>
              <w:ind w:left="260"/>
              <w:spacing w:after="0" w:line="131" w:lineRule="exact"/>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color w:val="auto"/>
              </w:rPr>
              <w:t>2015</w:t>
            </w: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43"/>
        </w:trPr>
        <w:tc>
          <w:tcPr>
            <w:tcW w:w="6320" w:type="dxa"/>
            <w:vAlign w:val="bottom"/>
            <w:gridSpan w:val="2"/>
          </w:tcPr>
          <w:p>
            <w:pPr>
              <w:spacing w:after="0" w:line="143" w:lineRule="exact"/>
              <w:rPr>
                <w:sz w:val="20"/>
                <w:szCs w:val="20"/>
                <w:color w:val="auto"/>
              </w:rPr>
            </w:pPr>
            <w:r>
              <w:rPr>
                <w:rFonts w:ascii="Arial" w:cs="Arial" w:eastAsia="Arial" w:hAnsi="Arial"/>
                <w:sz w:val="14"/>
                <w:szCs w:val="14"/>
                <w:color w:val="auto"/>
              </w:rPr>
              <w:t>(in millions)</w:t>
            </w:r>
          </w:p>
        </w:tc>
        <w:tc>
          <w:tcPr>
            <w:tcW w:w="1060" w:type="dxa"/>
            <w:vAlign w:val="bottom"/>
            <w:gridSpan w:val="2"/>
          </w:tcPr>
          <w:p>
            <w:pPr>
              <w:ind w:left="400"/>
              <w:spacing w:after="0" w:line="143" w:lineRule="exact"/>
              <w:rPr>
                <w:sz w:val="20"/>
                <w:szCs w:val="20"/>
                <w:color w:val="auto"/>
              </w:rPr>
            </w:pPr>
            <w:r>
              <w:rPr>
                <w:rFonts w:ascii="Arial" w:cs="Arial" w:eastAsia="Arial" w:hAnsi="Arial"/>
                <w:sz w:val="14"/>
                <w:szCs w:val="14"/>
                <w:color w:val="auto"/>
              </w:rPr>
              <w:t>Level 1</w:t>
            </w:r>
          </w:p>
        </w:tc>
        <w:tc>
          <w:tcPr>
            <w:tcW w:w="700" w:type="dxa"/>
            <w:vAlign w:val="bottom"/>
            <w:gridSpan w:val="2"/>
          </w:tcPr>
          <w:p>
            <w:pPr>
              <w:ind w:left="260"/>
              <w:spacing w:after="0" w:line="143" w:lineRule="exact"/>
              <w:rPr>
                <w:sz w:val="20"/>
                <w:szCs w:val="20"/>
                <w:color w:val="auto"/>
              </w:rPr>
            </w:pPr>
            <w:r>
              <w:rPr>
                <w:rFonts w:ascii="Arial" w:cs="Arial" w:eastAsia="Arial" w:hAnsi="Arial"/>
                <w:sz w:val="14"/>
                <w:szCs w:val="14"/>
                <w:color w:val="auto"/>
                <w:w w:val="92"/>
              </w:rPr>
              <w:t>Level 2</w:t>
            </w:r>
          </w:p>
        </w:tc>
        <w:tc>
          <w:tcPr>
            <w:tcW w:w="1420" w:type="dxa"/>
            <w:vAlign w:val="bottom"/>
            <w:gridSpan w:val="2"/>
          </w:tcPr>
          <w:p>
            <w:pPr>
              <w:ind w:left="520"/>
              <w:spacing w:after="0" w:line="143" w:lineRule="exact"/>
              <w:rPr>
                <w:sz w:val="20"/>
                <w:szCs w:val="20"/>
                <w:color w:val="auto"/>
              </w:rPr>
            </w:pPr>
            <w:r>
              <w:rPr>
                <w:rFonts w:ascii="Arial" w:cs="Arial" w:eastAsia="Arial" w:hAnsi="Arial"/>
                <w:sz w:val="14"/>
                <w:szCs w:val="14"/>
                <w:color w:val="auto"/>
              </w:rPr>
              <w:t>Level 3</w:t>
            </w:r>
          </w:p>
        </w:tc>
        <w:tc>
          <w:tcPr>
            <w:tcW w:w="160" w:type="dxa"/>
            <w:vAlign w:val="bottom"/>
          </w:tcPr>
          <w:p>
            <w:pPr>
              <w:spacing w:after="0"/>
              <w:rPr>
                <w:sz w:val="12"/>
                <w:szCs w:val="12"/>
                <w:color w:val="auto"/>
              </w:rPr>
            </w:pPr>
          </w:p>
        </w:tc>
        <w:tc>
          <w:tcPr>
            <w:tcW w:w="640" w:type="dxa"/>
            <w:vAlign w:val="bottom"/>
          </w:tcPr>
          <w:p>
            <w:pPr>
              <w:jc w:val="right"/>
              <w:ind w:right="274"/>
              <w:spacing w:after="0" w:line="143" w:lineRule="exact"/>
              <w:rPr>
                <w:sz w:val="20"/>
                <w:szCs w:val="20"/>
                <w:color w:val="auto"/>
              </w:rPr>
            </w:pPr>
            <w:r>
              <w:rPr>
                <w:rFonts w:ascii="Arial" w:cs="Arial" w:eastAsia="Arial" w:hAnsi="Arial"/>
                <w:sz w:val="14"/>
                <w:szCs w:val="14"/>
                <w:color w:val="auto"/>
                <w:w w:val="83"/>
              </w:rPr>
              <w:t>Total</w:t>
            </w:r>
          </w:p>
        </w:tc>
        <w:tc>
          <w:tcPr>
            <w:tcW w:w="420" w:type="dxa"/>
            <w:vAlign w:val="bottom"/>
          </w:tcPr>
          <w:p>
            <w:pPr>
              <w:spacing w:after="0"/>
              <w:rPr>
                <w:sz w:val="12"/>
                <w:szCs w:val="12"/>
                <w:color w:val="auto"/>
              </w:rPr>
            </w:pPr>
          </w:p>
        </w:tc>
        <w:tc>
          <w:tcPr>
            <w:tcW w:w="700" w:type="dxa"/>
            <w:vAlign w:val="bottom"/>
          </w:tcPr>
          <w:p>
            <w:pPr>
              <w:jc w:val="right"/>
              <w:ind w:right="256"/>
              <w:spacing w:after="0" w:line="143"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56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16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4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Trading securities</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42</w:t>
            </w:r>
          </w:p>
        </w:tc>
        <w:tc>
          <w:tcPr>
            <w:tcW w:w="380" w:type="dxa"/>
            <w:vAlign w:val="bottom"/>
          </w:tcPr>
          <w:p>
            <w:pPr>
              <w:ind w:left="26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4"/>
              <w:spacing w:after="0"/>
              <w:rPr>
                <w:sz w:val="20"/>
                <w:szCs w:val="20"/>
                <w:color w:val="auto"/>
              </w:rPr>
            </w:pPr>
            <w:r>
              <w:rPr>
                <w:rFonts w:ascii="Arial" w:cs="Arial" w:eastAsia="Arial" w:hAnsi="Arial"/>
                <w:sz w:val="18"/>
                <w:szCs w:val="18"/>
                <w:color w:val="auto"/>
              </w:rPr>
              <w:t>42</w:t>
            </w:r>
          </w:p>
        </w:tc>
        <w:tc>
          <w:tcPr>
            <w:tcW w:w="420" w:type="dxa"/>
            <w:vAlign w:val="bottom"/>
          </w:tcPr>
          <w:p>
            <w:pPr>
              <w:ind w:left="2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5E5E5"/>
          </w:tcPr>
          <w:p>
            <w:pPr>
              <w:spacing w:after="0"/>
              <w:rPr>
                <w:sz w:val="20"/>
                <w:szCs w:val="20"/>
                <w:color w:val="auto"/>
              </w:rPr>
            </w:pPr>
            <w:r>
              <w:rPr>
                <w:rFonts w:ascii="Arial" w:cs="Arial" w:eastAsia="Arial" w:hAnsi="Arial"/>
                <w:sz w:val="18"/>
                <w:szCs w:val="18"/>
                <w:color w:val="auto"/>
              </w:rPr>
              <w:t>Available-for-sale securities</w:t>
            </w:r>
          </w:p>
        </w:tc>
        <w:tc>
          <w:tcPr>
            <w:tcW w:w="56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1</w:t>
            </w:r>
          </w:p>
        </w:tc>
        <w:tc>
          <w:tcPr>
            <w:tcW w:w="380" w:type="dxa"/>
            <w:vAlign w:val="bottom"/>
            <w:shd w:val="clear" w:color="auto" w:fill="E5E5E5"/>
          </w:tcPr>
          <w:p>
            <w:pPr>
              <w:spacing w:after="0"/>
              <w:rPr>
                <w:sz w:val="18"/>
                <w:szCs w:val="18"/>
                <w:color w:val="auto"/>
              </w:rPr>
            </w:pP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3"/>
              </w:rPr>
              <w:t>121</w:t>
            </w:r>
          </w:p>
        </w:tc>
        <w:tc>
          <w:tcPr>
            <w:tcW w:w="5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52"/>
              <w:spacing w:after="0"/>
              <w:rPr>
                <w:sz w:val="20"/>
                <w:szCs w:val="20"/>
                <w:color w:val="auto"/>
              </w:rPr>
            </w:pPr>
            <w:r>
              <w:rPr>
                <w:rFonts w:ascii="Arial" w:cs="Arial" w:eastAsia="Arial" w:hAnsi="Arial"/>
                <w:sz w:val="18"/>
                <w:szCs w:val="18"/>
                <w:color w:val="auto"/>
              </w:rPr>
              <w:t>10</w:t>
            </w:r>
          </w:p>
        </w:tc>
        <w:tc>
          <w:tcPr>
            <w:tcW w:w="1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132</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Interest rate swap agreements</w:t>
            </w:r>
          </w:p>
        </w:tc>
        <w:tc>
          <w:tcPr>
            <w:tcW w:w="560" w:type="dxa"/>
            <w:vAlign w:val="bottom"/>
          </w:tcPr>
          <w:p>
            <w:pPr>
              <w:spacing w:after="0"/>
              <w:rPr>
                <w:sz w:val="18"/>
                <w:szCs w:val="18"/>
                <w:color w:val="auto"/>
              </w:rPr>
            </w:pP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91</w:t>
            </w:r>
          </w:p>
        </w:tc>
        <w:tc>
          <w:tcPr>
            <w:tcW w:w="580" w:type="dxa"/>
            <w:vAlign w:val="bottom"/>
          </w:tcPr>
          <w:p>
            <w:pPr>
              <w:spacing w:after="0"/>
              <w:rPr>
                <w:sz w:val="18"/>
                <w:szCs w:val="18"/>
                <w:color w:val="auto"/>
              </w:rPr>
            </w:pPr>
          </w:p>
        </w:tc>
        <w:tc>
          <w:tcPr>
            <w:tcW w:w="84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ind w:right="154"/>
              <w:spacing w:after="0"/>
              <w:rPr>
                <w:sz w:val="20"/>
                <w:szCs w:val="20"/>
                <w:color w:val="auto"/>
              </w:rPr>
            </w:pPr>
            <w:r>
              <w:rPr>
                <w:rFonts w:ascii="Arial" w:cs="Arial" w:eastAsia="Arial" w:hAnsi="Arial"/>
                <w:sz w:val="18"/>
                <w:szCs w:val="18"/>
                <w:color w:val="auto"/>
              </w:rPr>
              <w:t>91</w:t>
            </w:r>
          </w:p>
        </w:tc>
        <w:tc>
          <w:tcPr>
            <w:tcW w:w="420" w:type="dxa"/>
            <w:vAlign w:val="bottom"/>
          </w:tcPr>
          <w:p>
            <w:pPr>
              <w:spacing w:after="0"/>
              <w:rPr>
                <w:sz w:val="18"/>
                <w:szCs w:val="18"/>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48</w:t>
            </w:r>
          </w:p>
        </w:tc>
        <w:tc>
          <w:tcPr>
            <w:tcW w:w="58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52"/>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56</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5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43</w:t>
            </w:r>
          </w:p>
        </w:tc>
        <w:tc>
          <w:tcPr>
            <w:tcW w:w="3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260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18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321</w:t>
            </w:r>
          </w:p>
        </w:tc>
        <w:tc>
          <w:tcPr>
            <w:tcW w:w="4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810</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w:t>
            </w:r>
          </w:p>
        </w:tc>
        <w:tc>
          <w:tcPr>
            <w:tcW w:w="5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w w:val="89"/>
              </w:rPr>
              <w:t>Derivative component of prepaid forward sale agreements and indexed debt instruments</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ind w:left="26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4"/>
              <w:spacing w:after="0"/>
              <w:rPr>
                <w:sz w:val="20"/>
                <w:szCs w:val="20"/>
                <w:color w:val="auto"/>
              </w:rPr>
            </w:pPr>
            <w:r>
              <w:rPr>
                <w:rFonts w:ascii="Arial" w:cs="Arial" w:eastAsia="Arial" w:hAnsi="Arial"/>
                <w:sz w:val="18"/>
                <w:szCs w:val="18"/>
                <w:color w:val="auto"/>
              </w:rPr>
              <w:t>3</w:t>
            </w:r>
          </w:p>
        </w:tc>
        <w:tc>
          <w:tcPr>
            <w:tcW w:w="420" w:type="dxa"/>
            <w:vAlign w:val="bottom"/>
          </w:tcPr>
          <w:p>
            <w:pPr>
              <w:ind w:left="2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5E5E5"/>
          </w:tcPr>
          <w:p>
            <w:pPr>
              <w:spacing w:after="0"/>
              <w:rPr>
                <w:sz w:val="20"/>
                <w:szCs w:val="20"/>
                <w:color w:val="auto"/>
              </w:rPr>
            </w:pPr>
            <w:r>
              <w:rPr>
                <w:rFonts w:ascii="Arial" w:cs="Arial" w:eastAsia="Arial" w:hAnsi="Arial"/>
                <w:sz w:val="18"/>
                <w:szCs w:val="18"/>
                <w:color w:val="auto"/>
              </w:rPr>
              <w:t>Contractual obligations</w:t>
            </w:r>
          </w:p>
        </w:tc>
        <w:tc>
          <w:tcPr>
            <w:tcW w:w="56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52"/>
              <w:spacing w:after="0"/>
              <w:rPr>
                <w:sz w:val="20"/>
                <w:szCs w:val="20"/>
                <w:color w:val="auto"/>
              </w:rPr>
            </w:pPr>
            <w:r>
              <w:rPr>
                <w:rFonts w:ascii="Arial" w:cs="Arial" w:eastAsia="Arial" w:hAnsi="Arial"/>
                <w:sz w:val="18"/>
                <w:szCs w:val="18"/>
                <w:color w:val="auto"/>
              </w:rPr>
              <w:t>904</w:t>
            </w:r>
          </w:p>
        </w:tc>
        <w:tc>
          <w:tcPr>
            <w:tcW w:w="1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904</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560" w:type="dxa"/>
            <w:vAlign w:val="bottom"/>
          </w:tcPr>
          <w:p>
            <w:pPr>
              <w:spacing w:after="0"/>
              <w:rPr>
                <w:sz w:val="18"/>
                <w:szCs w:val="18"/>
                <w:color w:val="auto"/>
              </w:rPr>
            </w:pP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40" w:type="dxa"/>
            <w:vAlign w:val="bottom"/>
          </w:tcPr>
          <w:p>
            <w:pPr>
              <w:jc w:val="right"/>
              <w:ind w:right="352"/>
              <w:spacing w:after="0"/>
              <w:rPr>
                <w:sz w:val="20"/>
                <w:szCs w:val="20"/>
                <w:color w:val="auto"/>
              </w:rPr>
            </w:pPr>
            <w:r>
              <w:rPr>
                <w:rFonts w:ascii="Arial" w:cs="Arial" w:eastAsia="Arial" w:hAnsi="Arial"/>
                <w:sz w:val="18"/>
                <w:szCs w:val="18"/>
                <w:color w:val="auto"/>
              </w:rPr>
              <w:t>632</w:t>
            </w:r>
          </w:p>
        </w:tc>
        <w:tc>
          <w:tcPr>
            <w:tcW w:w="160" w:type="dxa"/>
            <w:vAlign w:val="bottom"/>
          </w:tcPr>
          <w:p>
            <w:pPr>
              <w:spacing w:after="0"/>
              <w:rPr>
                <w:sz w:val="18"/>
                <w:szCs w:val="18"/>
                <w:color w:val="auto"/>
              </w:rPr>
            </w:pPr>
          </w:p>
        </w:tc>
        <w:tc>
          <w:tcPr>
            <w:tcW w:w="640" w:type="dxa"/>
            <w:vAlign w:val="bottom"/>
          </w:tcPr>
          <w:p>
            <w:pPr>
              <w:jc w:val="right"/>
              <w:ind w:right="154"/>
              <w:spacing w:after="0"/>
              <w:rPr>
                <w:sz w:val="20"/>
                <w:szCs w:val="20"/>
                <w:color w:val="auto"/>
              </w:rPr>
            </w:pPr>
            <w:r>
              <w:rPr>
                <w:rFonts w:ascii="Arial" w:cs="Arial" w:eastAsia="Arial" w:hAnsi="Arial"/>
                <w:sz w:val="18"/>
                <w:szCs w:val="18"/>
                <w:color w:val="auto"/>
              </w:rPr>
              <w:t>632</w:t>
            </w:r>
          </w:p>
        </w:tc>
        <w:tc>
          <w:tcPr>
            <w:tcW w:w="420" w:type="dxa"/>
            <w:vAlign w:val="bottom"/>
          </w:tcPr>
          <w:p>
            <w:pPr>
              <w:spacing w:after="0"/>
              <w:rPr>
                <w:sz w:val="18"/>
                <w:szCs w:val="18"/>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50</w:t>
            </w:r>
          </w:p>
        </w:tc>
        <w:tc>
          <w:tcPr>
            <w:tcW w:w="58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5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50</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5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w w:val="84"/>
              </w:rPr>
              <w:t>1,536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w w:val="84"/>
              </w:rPr>
              <w:t>1,589</w:t>
            </w:r>
          </w:p>
        </w:tc>
        <w:tc>
          <w:tcPr>
            <w:tcW w:w="4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1,896</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Contingent Consideration</w:t>
      </w:r>
    </w:p>
    <w:p>
      <w:pPr>
        <w:spacing w:after="0" w:line="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estimated fair values of the contractual obligations and contingent consideration in the table above are primarily based on certain expected future discounted cash flows, the determination of which involves the use of significant unobservable inputs. The most significant unobservable inputs we use include our estimates of the future revenue we expect to generate from certain NBCUniversal businesses, which are related to our contractual obligations, and future net tax benefits that will affect payments to General Electric Company (“GE”), which are related to our contingent consideration. The discount rates used in the measurements of fair value were between 5% and 13% and are based on the underlying risk associated with our estimate of future revenue, the terms of the respective contracts and the uncertainty in the timing of our payments to GE. The fair value adjustments to contractual obligations and contingent consideration are sensitive to the assumptions related to future revenue and tax benefits, respectively, as well as to current interest rates, and therefore the adjustments are recorded to other income (expense), net in our condensed consolidated statement of income.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in Contractual Obligations and Contingent Consideration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4600" w:type="dxa"/>
            <w:vAlign w:val="bottom"/>
            <w:gridSpan w:val="2"/>
          </w:tcPr>
          <w:p>
            <w:pPr>
              <w:ind w:left="3520"/>
              <w:spacing w:after="0"/>
              <w:rPr>
                <w:sz w:val="20"/>
                <w:szCs w:val="20"/>
                <w:color w:val="auto"/>
              </w:rPr>
            </w:pPr>
            <w:r>
              <w:rPr>
                <w:rFonts w:ascii="Arial" w:cs="Arial" w:eastAsia="Arial" w:hAnsi="Arial"/>
                <w:sz w:val="14"/>
                <w:szCs w:val="14"/>
                <w:color w:val="auto"/>
              </w:rPr>
              <w:t>Contractual</w:t>
            </w:r>
          </w:p>
        </w:tc>
        <w:tc>
          <w:tcPr>
            <w:tcW w:w="1260" w:type="dxa"/>
            <w:vAlign w:val="bottom"/>
            <w:gridSpan w:val="2"/>
          </w:tcPr>
          <w:p>
            <w:pPr>
              <w:jc w:val="right"/>
              <w:ind w:right="112"/>
              <w:spacing w:after="0"/>
              <w:rPr>
                <w:sz w:val="20"/>
                <w:szCs w:val="20"/>
                <w:color w:val="auto"/>
              </w:rPr>
            </w:pPr>
            <w:r>
              <w:rPr>
                <w:rFonts w:ascii="Arial" w:cs="Arial" w:eastAsia="Arial" w:hAnsi="Arial"/>
                <w:sz w:val="14"/>
                <w:szCs w:val="14"/>
                <w:color w:val="auto"/>
              </w:rPr>
              <w:t>Contingent</w:t>
            </w:r>
          </w:p>
        </w:tc>
      </w:tr>
      <w:tr>
        <w:trPr>
          <w:trHeight w:val="159"/>
        </w:trPr>
        <w:tc>
          <w:tcPr>
            <w:tcW w:w="55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4600" w:type="dxa"/>
            <w:vAlign w:val="bottom"/>
            <w:tcBorders>
              <w:bottom w:val="single" w:sz="8" w:color="auto"/>
            </w:tcBorders>
            <w:gridSpan w:val="2"/>
          </w:tcPr>
          <w:p>
            <w:pPr>
              <w:ind w:left="3520"/>
              <w:spacing w:after="0" w:line="159" w:lineRule="exact"/>
              <w:rPr>
                <w:sz w:val="20"/>
                <w:szCs w:val="20"/>
                <w:color w:val="auto"/>
              </w:rPr>
            </w:pPr>
            <w:r>
              <w:rPr>
                <w:rFonts w:ascii="Arial" w:cs="Arial" w:eastAsia="Arial" w:hAnsi="Arial"/>
                <w:sz w:val="14"/>
                <w:szCs w:val="14"/>
                <w:color w:val="auto"/>
              </w:rPr>
              <w:t>Obligations</w:t>
            </w:r>
          </w:p>
        </w:tc>
        <w:tc>
          <w:tcPr>
            <w:tcW w:w="1260" w:type="dxa"/>
            <w:vAlign w:val="bottom"/>
            <w:tcBorders>
              <w:bottom w:val="single" w:sz="8" w:color="auto"/>
            </w:tcBorders>
            <w:gridSpan w:val="2"/>
          </w:tcPr>
          <w:p>
            <w:pPr>
              <w:ind w:left="380"/>
              <w:spacing w:after="0" w:line="159" w:lineRule="exact"/>
              <w:rPr>
                <w:sz w:val="20"/>
                <w:szCs w:val="20"/>
                <w:color w:val="auto"/>
              </w:rPr>
            </w:pPr>
            <w:r>
              <w:rPr>
                <w:rFonts w:ascii="Arial" w:cs="Arial" w:eastAsia="Arial" w:hAnsi="Arial"/>
                <w:sz w:val="14"/>
                <w:szCs w:val="14"/>
                <w:color w:val="auto"/>
                <w:w w:val="99"/>
              </w:rPr>
              <w:t>Consideration</w:t>
            </w:r>
          </w:p>
        </w:tc>
      </w:tr>
      <w:tr>
        <w:trPr>
          <w:trHeight w:val="210"/>
        </w:trPr>
        <w:tc>
          <w:tcPr>
            <w:tcW w:w="556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2014</w:t>
            </w:r>
          </w:p>
        </w:tc>
        <w:tc>
          <w:tcPr>
            <w:tcW w:w="3740" w:type="dxa"/>
            <w:vAlign w:val="bottom"/>
            <w:shd w:val="clear" w:color="auto" w:fill="E5E5E5"/>
          </w:tcPr>
          <w:p>
            <w:pPr>
              <w:ind w:left="352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372"/>
              <w:spacing w:after="0"/>
              <w:rPr>
                <w:sz w:val="20"/>
                <w:szCs w:val="20"/>
                <w:color w:val="auto"/>
              </w:rPr>
            </w:pPr>
            <w:r>
              <w:rPr>
                <w:rFonts w:ascii="Arial" w:cs="Arial" w:eastAsia="Arial" w:hAnsi="Arial"/>
                <w:sz w:val="18"/>
                <w:szCs w:val="18"/>
                <w:color w:val="auto"/>
              </w:rPr>
              <w:t>883</w:t>
            </w:r>
          </w:p>
        </w:tc>
        <w:tc>
          <w:tcPr>
            <w:tcW w:w="680" w:type="dxa"/>
            <w:vAlign w:val="bottom"/>
            <w:shd w:val="clear" w:color="auto" w:fill="E5E5E5"/>
          </w:tcPr>
          <w:p>
            <w:pPr>
              <w:ind w:left="380"/>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644</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Fair value adjustments</w:t>
            </w:r>
          </w:p>
        </w:tc>
        <w:tc>
          <w:tcPr>
            <w:tcW w:w="3740" w:type="dxa"/>
            <w:vAlign w:val="bottom"/>
          </w:tcPr>
          <w:p>
            <w:pPr>
              <w:spacing w:after="0"/>
              <w:rPr>
                <w:sz w:val="18"/>
                <w:szCs w:val="18"/>
                <w:color w:val="auto"/>
              </w:rPr>
            </w:pPr>
          </w:p>
        </w:tc>
        <w:tc>
          <w:tcPr>
            <w:tcW w:w="860" w:type="dxa"/>
            <w:vAlign w:val="bottom"/>
          </w:tcPr>
          <w:p>
            <w:pPr>
              <w:jc w:val="right"/>
              <w:ind w:right="372"/>
              <w:spacing w:after="0"/>
              <w:rPr>
                <w:sz w:val="20"/>
                <w:szCs w:val="20"/>
                <w:color w:val="auto"/>
              </w:rPr>
            </w:pPr>
            <w:r>
              <w:rPr>
                <w:rFonts w:ascii="Arial" w:cs="Arial" w:eastAsia="Arial" w:hAnsi="Arial"/>
                <w:sz w:val="18"/>
                <w:szCs w:val="18"/>
                <w:color w:val="auto"/>
              </w:rPr>
              <w:t>40</w:t>
            </w:r>
          </w:p>
        </w:tc>
        <w:tc>
          <w:tcPr>
            <w:tcW w:w="68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16"/>
        </w:trPr>
        <w:tc>
          <w:tcPr>
            <w:tcW w:w="5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Payments</w:t>
            </w:r>
          </w:p>
        </w:tc>
        <w:tc>
          <w:tcPr>
            <w:tcW w:w="37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312"/>
              <w:spacing w:after="0"/>
              <w:rPr>
                <w:sz w:val="20"/>
                <w:szCs w:val="20"/>
                <w:color w:val="auto"/>
              </w:rPr>
            </w:pPr>
            <w:r>
              <w:rPr>
                <w:rFonts w:ascii="Arial" w:cs="Arial" w:eastAsia="Arial" w:hAnsi="Arial"/>
                <w:sz w:val="18"/>
                <w:szCs w:val="18"/>
                <w:color w:val="auto"/>
              </w:rPr>
              <w:t>(19)</w:t>
            </w:r>
          </w:p>
        </w:tc>
        <w:tc>
          <w:tcPr>
            <w:tcW w:w="6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(19)</w:t>
            </w:r>
          </w:p>
        </w:tc>
      </w:tr>
      <w:tr>
        <w:trPr>
          <w:trHeight w:val="217"/>
        </w:trPr>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March 31, 2015</w:t>
            </w:r>
          </w:p>
        </w:tc>
        <w:tc>
          <w:tcPr>
            <w:tcW w:w="3740" w:type="dxa"/>
            <w:vAlign w:val="bottom"/>
            <w:tcBorders>
              <w:bottom w:val="single" w:sz="8" w:color="auto"/>
            </w:tcBorders>
          </w:tcPr>
          <w:p>
            <w:pPr>
              <w:ind w:left="352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904</w:t>
            </w:r>
          </w:p>
        </w:tc>
        <w:tc>
          <w:tcPr>
            <w:tcW w:w="68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632</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Redeemable Subsidiary Preferred Stock</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2015, the fair value of the NBCUniversal Enterprise redeemable subsidiary preferred stock was $764 million. The estimated fair value is based on Level 2 inputs that use pricing models whose inputs are derived primarily from or corroborated by observable market data through correlation or other means for substantially the full term of the financial instrument.</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Share-Based Compensation</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share-based compensation primarily consists of awards of stock options and RSUs to certain employees and directors as part of our approach to long-term incentive compensation. Additionally, through our employee stock purchase plans, employees are able to purchase shares of Comcast Class A common stock at a discount through payroll deductions.</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March 2015, we granted 17.6 million stock options and 5.1 million RSUs related to our annual management awards. The weighted-average fair values associated with these grants were $11.79 per stock option and $59.50 per RSU.</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00" w:type="dxa"/>
            <w:vAlign w:val="bottom"/>
            <w:gridSpan w:val="3"/>
          </w:tcPr>
          <w:p>
            <w:pPr>
              <w:jc w:val="right"/>
              <w:ind w:right="296"/>
              <w:spacing w:after="0"/>
              <w:rPr>
                <w:sz w:val="20"/>
                <w:szCs w:val="20"/>
                <w:color w:val="auto"/>
              </w:rPr>
            </w:pPr>
            <w:r>
              <w:rPr>
                <w:rFonts w:ascii="Arial" w:cs="Arial" w:eastAsia="Arial" w:hAnsi="Arial"/>
                <w:sz w:val="14"/>
                <w:szCs w:val="14"/>
                <w:color w:val="auto"/>
                <w:w w:val="99"/>
              </w:rPr>
              <w:t>Three Months Ended</w:t>
            </w:r>
          </w:p>
        </w:tc>
        <w:tc>
          <w:tcPr>
            <w:tcW w:w="0" w:type="dxa"/>
            <w:vAlign w:val="bottom"/>
          </w:tcPr>
          <w:p>
            <w:pPr>
              <w:spacing w:after="0"/>
              <w:rPr>
                <w:sz w:val="1"/>
                <w:szCs w:val="1"/>
                <w:color w:val="auto"/>
              </w:rPr>
            </w:pPr>
          </w:p>
        </w:tc>
      </w:tr>
      <w:tr>
        <w:trPr>
          <w:trHeight w:val="159"/>
        </w:trPr>
        <w:tc>
          <w:tcPr>
            <w:tcW w:w="90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99"/>
              <w:spacing w:after="0" w:line="159" w:lineRule="exact"/>
              <w:rPr>
                <w:sz w:val="20"/>
                <w:szCs w:val="20"/>
                <w:color w:val="auto"/>
              </w:rPr>
            </w:pPr>
            <w:r>
              <w:rPr>
                <w:rFonts w:ascii="Arial" w:cs="Arial" w:eastAsia="Arial" w:hAnsi="Arial"/>
                <w:sz w:val="14"/>
                <w:szCs w:val="14"/>
                <w:color w:val="auto"/>
                <w:w w:val="89"/>
              </w:rPr>
              <w:t>March 31</w:t>
            </w: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08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color w:val="auto"/>
                <w:w w:val="89"/>
              </w:rPr>
              <w:t>2015</w:t>
            </w:r>
          </w:p>
        </w:tc>
        <w:tc>
          <w:tcPr>
            <w:tcW w:w="7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w w:val="89"/>
              </w:rPr>
              <w:t>2014</w:t>
            </w:r>
          </w:p>
        </w:tc>
        <w:tc>
          <w:tcPr>
            <w:tcW w:w="0" w:type="dxa"/>
            <w:vAlign w:val="bottom"/>
          </w:tcPr>
          <w:p>
            <w:pPr>
              <w:spacing w:after="0"/>
              <w:rPr>
                <w:sz w:val="1"/>
                <w:szCs w:val="1"/>
                <w:color w:val="auto"/>
              </w:rPr>
            </w:pPr>
          </w:p>
        </w:tc>
      </w:tr>
      <w:tr>
        <w:trPr>
          <w:trHeight w:val="210"/>
        </w:trPr>
        <w:tc>
          <w:tcPr>
            <w:tcW w:w="9080" w:type="dxa"/>
            <w:vAlign w:val="bottom"/>
            <w:shd w:val="clear" w:color="auto" w:fill="E5E5E5"/>
          </w:tcPr>
          <w:p>
            <w:pPr>
              <w:spacing w:after="0"/>
              <w:rPr>
                <w:sz w:val="20"/>
                <w:szCs w:val="20"/>
                <w:color w:val="auto"/>
              </w:rPr>
            </w:pPr>
            <w:r>
              <w:rPr>
                <w:rFonts w:ascii="Arial" w:cs="Arial" w:eastAsia="Arial" w:hAnsi="Arial"/>
                <w:sz w:val="18"/>
                <w:szCs w:val="18"/>
                <w:color w:val="auto"/>
              </w:rPr>
              <w:t>Stock options</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35</w:t>
            </w: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Restricted share units</w:t>
            </w:r>
          </w:p>
        </w:tc>
        <w:tc>
          <w:tcPr>
            <w:tcW w:w="6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w:t>
            </w:r>
          </w:p>
        </w:tc>
        <w:tc>
          <w:tcPr>
            <w:tcW w:w="720" w:type="dxa"/>
            <w:vAlign w:val="bottom"/>
          </w:tcPr>
          <w:p>
            <w:pPr>
              <w:spacing w:after="0"/>
              <w:rPr>
                <w:sz w:val="18"/>
                <w:szCs w:val="18"/>
                <w:color w:val="auto"/>
              </w:rPr>
            </w:pPr>
          </w:p>
        </w:tc>
        <w:tc>
          <w:tcPr>
            <w:tcW w:w="520" w:type="dxa"/>
            <w:vAlign w:val="bottom"/>
          </w:tcPr>
          <w:p>
            <w:pPr>
              <w:jc w:val="right"/>
              <w:ind w:right="16"/>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90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Employee stock purchase plans</w:t>
            </w:r>
          </w:p>
        </w:tc>
        <w:tc>
          <w:tcPr>
            <w:tcW w:w="64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w:t>
            </w:r>
          </w:p>
        </w:tc>
        <w:tc>
          <w:tcPr>
            <w:tcW w:w="7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7"/>
        </w:trPr>
        <w:tc>
          <w:tcPr>
            <w:tcW w:w="9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 of March 31, 2015, we had unrecognized pretax compensation expense of $461 million and $725 million related to nonvested stock options and nonvested RSUs,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Supplemental Financial Information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5520" w:type="dxa"/>
            <w:vAlign w:val="bottom"/>
            <w:gridSpan w:val="2"/>
          </w:tcPr>
          <w:p>
            <w:pPr>
              <w:ind w:left="4600"/>
              <w:spacing w:after="0"/>
              <w:rPr>
                <w:sz w:val="20"/>
                <w:szCs w:val="20"/>
                <w:color w:val="auto"/>
              </w:rPr>
            </w:pPr>
            <w:r>
              <w:rPr>
                <w:rFonts w:ascii="Arial" w:cs="Arial" w:eastAsia="Arial" w:hAnsi="Arial"/>
                <w:sz w:val="14"/>
                <w:szCs w:val="14"/>
                <w:color w:val="auto"/>
              </w:rPr>
              <w:t>March 31,</w:t>
            </w:r>
          </w:p>
        </w:tc>
        <w:tc>
          <w:tcPr>
            <w:tcW w:w="1240" w:type="dxa"/>
            <w:vAlign w:val="bottom"/>
            <w:gridSpan w:val="2"/>
          </w:tcPr>
          <w:p>
            <w:pPr>
              <w:ind w:left="380"/>
              <w:spacing w:after="0"/>
              <w:rPr>
                <w:sz w:val="20"/>
                <w:szCs w:val="20"/>
                <w:color w:val="auto"/>
              </w:rPr>
            </w:pPr>
            <w:r>
              <w:rPr>
                <w:rFonts w:ascii="Arial" w:cs="Arial" w:eastAsia="Arial" w:hAnsi="Arial"/>
                <w:sz w:val="14"/>
                <w:szCs w:val="14"/>
                <w:color w:val="auto"/>
                <w:w w:val="95"/>
              </w:rPr>
              <w:t>December 31,</w:t>
            </w:r>
          </w:p>
        </w:tc>
      </w:tr>
      <w:tr>
        <w:trPr>
          <w:trHeight w:val="159"/>
        </w:trPr>
        <w:tc>
          <w:tcPr>
            <w:tcW w:w="46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47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36"/>
              <w:spacing w:after="0" w:line="159" w:lineRule="exact"/>
              <w:rPr>
                <w:sz w:val="20"/>
                <w:szCs w:val="20"/>
                <w:color w:val="auto"/>
              </w:rPr>
            </w:pPr>
            <w:r>
              <w:rPr>
                <w:rFonts w:ascii="Arial" w:cs="Arial" w:eastAsia="Arial" w:hAnsi="Arial"/>
                <w:sz w:val="14"/>
                <w:szCs w:val="14"/>
                <w:color w:val="auto"/>
                <w:w w:val="89"/>
              </w:rPr>
              <w:t>2015</w:t>
            </w:r>
          </w:p>
        </w:tc>
        <w:tc>
          <w:tcPr>
            <w:tcW w:w="5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6"/>
              <w:spacing w:after="0" w:line="159" w:lineRule="exact"/>
              <w:rPr>
                <w:sz w:val="20"/>
                <w:szCs w:val="20"/>
                <w:color w:val="auto"/>
              </w:rPr>
            </w:pPr>
            <w:r>
              <w:rPr>
                <w:rFonts w:ascii="Arial" w:cs="Arial" w:eastAsia="Arial" w:hAnsi="Arial"/>
                <w:sz w:val="14"/>
                <w:szCs w:val="14"/>
                <w:color w:val="auto"/>
              </w:rPr>
              <w:t>2014</w:t>
            </w:r>
          </w:p>
        </w:tc>
      </w:tr>
      <w:tr>
        <w:trPr>
          <w:trHeight w:val="210"/>
        </w:trPr>
        <w:tc>
          <w:tcPr>
            <w:tcW w:w="4660" w:type="dxa"/>
            <w:vAlign w:val="bottom"/>
            <w:shd w:val="clear" w:color="auto" w:fill="E5E5E5"/>
          </w:tcPr>
          <w:p>
            <w:pPr>
              <w:spacing w:after="0"/>
              <w:rPr>
                <w:sz w:val="20"/>
                <w:szCs w:val="20"/>
                <w:color w:val="auto"/>
              </w:rPr>
            </w:pPr>
            <w:r>
              <w:rPr>
                <w:rFonts w:ascii="Arial" w:cs="Arial" w:eastAsia="Arial" w:hAnsi="Arial"/>
                <w:sz w:val="18"/>
                <w:szCs w:val="18"/>
                <w:color w:val="auto"/>
              </w:rPr>
              <w:t>Receivables, gross</w:t>
            </w:r>
          </w:p>
        </w:tc>
        <w:tc>
          <w:tcPr>
            <w:tcW w:w="4700" w:type="dxa"/>
            <w:vAlign w:val="bottom"/>
            <w:shd w:val="clear" w:color="auto" w:fill="E5E5E5"/>
          </w:tcPr>
          <w:p>
            <w:pPr>
              <w:ind w:left="458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w w:val="97"/>
              </w:rPr>
              <w:t>6,634</w:t>
            </w:r>
          </w:p>
        </w:tc>
        <w:tc>
          <w:tcPr>
            <w:tcW w:w="540" w:type="dxa"/>
            <w:vAlign w:val="bottom"/>
            <w:shd w:val="clear" w:color="auto" w:fill="E5E5E5"/>
          </w:tcPr>
          <w:p>
            <w:pPr>
              <w:ind w:left="38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6,885</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Less: Allowance for returns and customer incentives</w:t>
            </w:r>
          </w:p>
        </w:tc>
        <w:tc>
          <w:tcPr>
            <w:tcW w:w="4700" w:type="dxa"/>
            <w:vAlign w:val="bottom"/>
          </w:tcPr>
          <w:p>
            <w:pPr>
              <w:spacing w:after="0"/>
              <w:rPr>
                <w:sz w:val="18"/>
                <w:szCs w:val="18"/>
                <w:color w:val="auto"/>
              </w:rPr>
            </w:pPr>
          </w:p>
        </w:tc>
        <w:tc>
          <w:tcPr>
            <w:tcW w:w="820" w:type="dxa"/>
            <w:vAlign w:val="bottom"/>
          </w:tcPr>
          <w:p>
            <w:pPr>
              <w:jc w:val="right"/>
              <w:ind w:right="276"/>
              <w:spacing w:after="0"/>
              <w:rPr>
                <w:sz w:val="20"/>
                <w:szCs w:val="20"/>
                <w:color w:val="auto"/>
              </w:rPr>
            </w:pPr>
            <w:r>
              <w:rPr>
                <w:rFonts w:ascii="Arial" w:cs="Arial" w:eastAsia="Arial" w:hAnsi="Arial"/>
                <w:sz w:val="18"/>
                <w:szCs w:val="18"/>
                <w:color w:val="auto"/>
              </w:rPr>
              <w:t>297</w:t>
            </w:r>
          </w:p>
        </w:tc>
        <w:tc>
          <w:tcPr>
            <w:tcW w:w="540" w:type="dxa"/>
            <w:vAlign w:val="bottom"/>
          </w:tcPr>
          <w:p>
            <w:pPr>
              <w:spacing w:after="0"/>
              <w:rPr>
                <w:sz w:val="18"/>
                <w:szCs w:val="18"/>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359</w:t>
            </w:r>
          </w:p>
        </w:tc>
      </w:tr>
      <w:tr>
        <w:trPr>
          <w:trHeight w:val="216"/>
        </w:trPr>
        <w:tc>
          <w:tcPr>
            <w:tcW w:w="46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Allowance for doubtful accounts</w:t>
            </w:r>
          </w:p>
        </w:tc>
        <w:tc>
          <w:tcPr>
            <w:tcW w:w="470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276"/>
              <w:spacing w:after="0"/>
              <w:rPr>
                <w:sz w:val="20"/>
                <w:szCs w:val="20"/>
                <w:color w:val="auto"/>
              </w:rPr>
            </w:pPr>
            <w:r>
              <w:rPr>
                <w:rFonts w:ascii="Arial" w:cs="Arial" w:eastAsia="Arial" w:hAnsi="Arial"/>
                <w:sz w:val="18"/>
                <w:szCs w:val="18"/>
                <w:color w:val="auto"/>
              </w:rPr>
              <w:t>193</w:t>
            </w:r>
          </w:p>
        </w:tc>
        <w:tc>
          <w:tcPr>
            <w:tcW w:w="5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205</w:t>
            </w:r>
          </w:p>
        </w:tc>
      </w:tr>
      <w:tr>
        <w:trPr>
          <w:trHeight w:val="217"/>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Receivables, net</w:t>
            </w:r>
          </w:p>
        </w:tc>
        <w:tc>
          <w:tcPr>
            <w:tcW w:w="4700" w:type="dxa"/>
            <w:vAlign w:val="bottom"/>
            <w:tcBorders>
              <w:bottom w:val="single" w:sz="8" w:color="auto"/>
            </w:tcBorders>
          </w:tcPr>
          <w:p>
            <w:pPr>
              <w:ind w:left="458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b w:val="1"/>
                <w:bCs w:val="1"/>
                <w:color w:val="auto"/>
                <w:w w:val="97"/>
              </w:rPr>
              <w:t>6,144</w:t>
            </w:r>
          </w:p>
        </w:tc>
        <w:tc>
          <w:tcPr>
            <w:tcW w:w="5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6,321</w:t>
            </w:r>
          </w:p>
        </w:tc>
      </w:tr>
      <w:tr>
        <w:trPr>
          <w:trHeight w:val="363"/>
        </w:trPr>
        <w:tc>
          <w:tcPr>
            <w:tcW w:w="4660" w:type="dxa"/>
            <w:vAlign w:val="bottom"/>
          </w:tcPr>
          <w:p>
            <w:pPr>
              <w:spacing w:after="0"/>
              <w:rPr>
                <w:sz w:val="24"/>
                <w:szCs w:val="24"/>
                <w:color w:val="auto"/>
              </w:rPr>
            </w:pPr>
          </w:p>
        </w:tc>
        <w:tc>
          <w:tcPr>
            <w:tcW w:w="4700" w:type="dxa"/>
            <w:vAlign w:val="bottom"/>
          </w:tcPr>
          <w:p>
            <w:pPr>
              <w:jc w:val="right"/>
              <w:ind w:right="3457"/>
              <w:spacing w:after="0"/>
              <w:rPr>
                <w:sz w:val="20"/>
                <w:szCs w:val="20"/>
                <w:color w:val="auto"/>
              </w:rPr>
            </w:pPr>
            <w:r>
              <w:rPr>
                <w:rFonts w:ascii="Arial" w:cs="Arial" w:eastAsia="Arial" w:hAnsi="Arial"/>
                <w:sz w:val="18"/>
                <w:szCs w:val="18"/>
                <w:color w:val="auto"/>
              </w:rPr>
              <w:t>11</w:t>
            </w: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color w:val="auto"/>
              </w:rPr>
              <w:t>March 31,</w:t>
            </w:r>
          </w:p>
        </w:tc>
        <w:tc>
          <w:tcPr>
            <w:tcW w:w="880" w:type="dxa"/>
            <w:vAlign w:val="bottom"/>
            <w:gridSpan w:val="2"/>
          </w:tcPr>
          <w:p>
            <w:pPr>
              <w:ind w:left="220"/>
              <w:spacing w:after="0"/>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59"/>
        </w:trPr>
        <w:tc>
          <w:tcPr>
            <w:tcW w:w="936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180" w:type="dxa"/>
            <w:vAlign w:val="bottom"/>
            <w:tcBorders>
              <w:bottom w:val="single" w:sz="8" w:color="auto"/>
            </w:tcBorders>
            <w:gridSpan w:val="2"/>
          </w:tcPr>
          <w:p>
            <w:pPr>
              <w:jc w:val="right"/>
              <w:ind w:right="517"/>
              <w:spacing w:after="0" w:line="159" w:lineRule="exact"/>
              <w:rPr>
                <w:sz w:val="20"/>
                <w:szCs w:val="20"/>
                <w:color w:val="auto"/>
              </w:rPr>
            </w:pPr>
            <w:r>
              <w:rPr>
                <w:rFonts w:ascii="Arial" w:cs="Arial" w:eastAsia="Arial" w:hAnsi="Arial"/>
                <w:sz w:val="14"/>
                <w:szCs w:val="14"/>
                <w:color w:val="auto"/>
              </w:rPr>
              <w:t>2015</w:t>
            </w:r>
          </w:p>
        </w:tc>
        <w:tc>
          <w:tcPr>
            <w:tcW w:w="3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74"/>
              <w:spacing w:after="0" w:line="159" w:lineRule="exact"/>
              <w:rPr>
                <w:sz w:val="20"/>
                <w:szCs w:val="20"/>
                <w:color w:val="auto"/>
              </w:rPr>
            </w:pPr>
            <w:r>
              <w:rPr>
                <w:rFonts w:ascii="Arial" w:cs="Arial" w:eastAsia="Arial" w:hAnsi="Arial"/>
                <w:sz w:val="14"/>
                <w:szCs w:val="14"/>
                <w:color w:val="auto"/>
                <w:w w:val="83"/>
              </w:rPr>
              <w:t>2014</w:t>
            </w:r>
          </w:p>
        </w:tc>
        <w:tc>
          <w:tcPr>
            <w:tcW w:w="0" w:type="dxa"/>
            <w:vAlign w:val="bottom"/>
          </w:tcPr>
          <w:p>
            <w:pPr>
              <w:spacing w:after="0"/>
              <w:rPr>
                <w:sz w:val="1"/>
                <w:szCs w:val="1"/>
                <w:color w:val="auto"/>
              </w:rPr>
            </w:pPr>
          </w:p>
        </w:tc>
      </w:tr>
      <w:tr>
        <w:trPr>
          <w:trHeight w:val="210"/>
        </w:trPr>
        <w:tc>
          <w:tcPr>
            <w:tcW w:w="936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Unrealized gains (losses) on marketable securities</w:t>
            </w:r>
          </w:p>
        </w:tc>
        <w:tc>
          <w:tcPr>
            <w:tcW w:w="360" w:type="dxa"/>
            <w:vAlign w:val="bottom"/>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ind w:right="357"/>
              <w:spacing w:after="0"/>
              <w:rPr>
                <w:sz w:val="20"/>
                <w:szCs w:val="20"/>
                <w:color w:val="auto"/>
              </w:rPr>
            </w:pPr>
            <w:r>
              <w:rPr>
                <w:rFonts w:ascii="Arial" w:cs="Arial" w:eastAsia="Arial" w:hAnsi="Arial"/>
                <w:sz w:val="18"/>
                <w:szCs w:val="18"/>
                <w:color w:val="auto"/>
              </w:rPr>
              <w:t>1</w:t>
            </w:r>
          </w:p>
        </w:tc>
        <w:tc>
          <w:tcPr>
            <w:tcW w:w="3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Deferred gains (losses) on cash flow hedges</w:t>
            </w:r>
          </w:p>
        </w:tc>
        <w:tc>
          <w:tcPr>
            <w:tcW w:w="360" w:type="dxa"/>
            <w:vAlign w:val="bottom"/>
          </w:tcPr>
          <w:p>
            <w:pPr>
              <w:spacing w:after="0"/>
              <w:rPr>
                <w:sz w:val="18"/>
                <w:szCs w:val="18"/>
                <w:color w:val="auto"/>
              </w:rPr>
            </w:pPr>
          </w:p>
        </w:tc>
        <w:tc>
          <w:tcPr>
            <w:tcW w:w="820" w:type="dxa"/>
            <w:vAlign w:val="bottom"/>
          </w:tcPr>
          <w:p>
            <w:pPr>
              <w:jc w:val="right"/>
              <w:ind w:right="297"/>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Unrecognized gains (losses) on employee benefit obligations</w:t>
            </w:r>
          </w:p>
        </w:tc>
        <w:tc>
          <w:tcPr>
            <w:tcW w:w="36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(68)</w:t>
            </w:r>
          </w:p>
        </w:tc>
        <w:tc>
          <w:tcPr>
            <w:tcW w:w="34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9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Cumulative translation adjustments</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8"/>
                <w:szCs w:val="18"/>
                <w:color w:val="auto"/>
                <w:w w:val="99"/>
              </w:rPr>
              <w:t>(115)</w:t>
            </w:r>
          </w:p>
        </w:tc>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7"/>
        </w:trPr>
        <w:tc>
          <w:tcPr>
            <w:tcW w:w="936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Accumulated other comprehensive income (loss), net of deferred taxes</w:t>
            </w:r>
          </w:p>
        </w:tc>
        <w:tc>
          <w:tcPr>
            <w:tcW w:w="3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E5E5E5"/>
          </w:tcPr>
          <w:p>
            <w:pPr>
              <w:jc w:val="right"/>
              <w:ind w:right="297"/>
              <w:spacing w:after="0"/>
              <w:rPr>
                <w:sz w:val="20"/>
                <w:szCs w:val="20"/>
                <w:color w:val="auto"/>
              </w:rPr>
            </w:pPr>
            <w:r>
              <w:rPr>
                <w:rFonts w:ascii="Arial" w:cs="Arial" w:eastAsia="Arial" w:hAnsi="Arial"/>
                <w:sz w:val="18"/>
                <w:szCs w:val="18"/>
                <w:b w:val="1"/>
                <w:bCs w:val="1"/>
                <w:color w:val="auto"/>
                <w:w w:val="99"/>
              </w:rPr>
              <w:t>(188)</w:t>
            </w:r>
          </w:p>
        </w:tc>
        <w:tc>
          <w:tcPr>
            <w:tcW w:w="3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403"/>
        </w:trPr>
        <w:tc>
          <w:tcPr>
            <w:tcW w:w="9360" w:type="dxa"/>
            <w:vAlign w:val="bottom"/>
            <w:gridSpan w:val="2"/>
          </w:tcPr>
          <w:p>
            <w:pPr>
              <w:ind w:left="396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9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00" w:type="dxa"/>
            <w:vAlign w:val="bottom"/>
            <w:gridSpan w:val="3"/>
          </w:tcPr>
          <w:p>
            <w:pPr>
              <w:jc w:val="right"/>
              <w:ind w:right="254"/>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93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37"/>
              <w:spacing w:after="0" w:line="159" w:lineRule="exact"/>
              <w:rPr>
                <w:sz w:val="20"/>
                <w:szCs w:val="20"/>
                <w:color w:val="auto"/>
              </w:rPr>
            </w:pPr>
            <w:r>
              <w:rPr>
                <w:rFonts w:ascii="Arial" w:cs="Arial" w:eastAsia="Arial" w:hAnsi="Arial"/>
                <w:sz w:val="14"/>
                <w:szCs w:val="14"/>
                <w:color w:val="auto"/>
              </w:rPr>
              <w:t>March 31</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360" w:type="dxa"/>
            <w:vAlign w:val="bottom"/>
            <w:tcBorders>
              <w:bottom w:val="single" w:sz="8" w:color="auto"/>
            </w:tcBorders>
            <w:gridSpan w:val="2"/>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color w:val="auto"/>
              </w:rPr>
              <w:t>2015</w:t>
            </w:r>
          </w:p>
        </w:tc>
        <w:tc>
          <w:tcPr>
            <w:tcW w:w="880" w:type="dxa"/>
            <w:vAlign w:val="bottom"/>
            <w:tcBorders>
              <w:bottom w:val="single" w:sz="8" w:color="auto"/>
            </w:tcBorders>
            <w:gridSpan w:val="2"/>
          </w:tcPr>
          <w:p>
            <w:pPr>
              <w:jc w:val="right"/>
              <w:ind w:right="274"/>
              <w:spacing w:after="0" w:line="142"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10"/>
        </w:trPr>
        <w:tc>
          <w:tcPr>
            <w:tcW w:w="936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w w:val="99"/>
              </w:rPr>
              <w:t>$ 2,141</w:t>
            </w:r>
          </w:p>
        </w:tc>
        <w:tc>
          <w:tcPr>
            <w:tcW w:w="880" w:type="dxa"/>
            <w:vAlign w:val="bottom"/>
            <w:gridSpan w:val="2"/>
            <w:shd w:val="clear" w:color="auto" w:fill="E5E5E5"/>
          </w:tcPr>
          <w:p>
            <w:pPr>
              <w:jc w:val="right"/>
              <w:ind w:right="134"/>
              <w:spacing w:after="0"/>
              <w:rPr>
                <w:sz w:val="20"/>
                <w:szCs w:val="20"/>
                <w:color w:val="auto"/>
              </w:rPr>
            </w:pPr>
            <w:r>
              <w:rPr>
                <w:rFonts w:ascii="Arial" w:cs="Arial" w:eastAsia="Arial" w:hAnsi="Arial"/>
                <w:sz w:val="18"/>
                <w:szCs w:val="18"/>
                <w:color w:val="auto"/>
              </w:rPr>
              <w:t>$ 1,938</w:t>
            </w:r>
          </w:p>
        </w:tc>
        <w:tc>
          <w:tcPr>
            <w:tcW w:w="0" w:type="dxa"/>
            <w:vAlign w:val="bottom"/>
          </w:tcPr>
          <w:p>
            <w:pPr>
              <w:spacing w:after="0"/>
              <w:rPr>
                <w:sz w:val="1"/>
                <w:szCs w:val="1"/>
                <w:color w:val="auto"/>
              </w:rPr>
            </w:pP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2,066</w:t>
            </w:r>
          </w:p>
        </w:tc>
        <w:tc>
          <w:tcPr>
            <w:tcW w:w="880" w:type="dxa"/>
            <w:vAlign w:val="bottom"/>
            <w:gridSpan w:val="2"/>
            <w:shd w:val="clear" w:color="auto" w:fill="E5E5E5"/>
          </w:tcPr>
          <w:p>
            <w:pPr>
              <w:jc w:val="right"/>
              <w:ind w:right="134"/>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16"/>
        </w:trPr>
        <w:tc>
          <w:tcPr>
            <w:tcW w:w="9360" w:type="dxa"/>
            <w:vAlign w:val="bottom"/>
            <w:gridSpan w:val="2"/>
          </w:tcPr>
          <w:p>
            <w:pPr>
              <w:ind w:left="440"/>
              <w:spacing w:after="0"/>
              <w:rPr>
                <w:sz w:val="20"/>
                <w:szCs w:val="20"/>
                <w:color w:val="auto"/>
              </w:rPr>
            </w:pPr>
            <w:r>
              <w:rPr>
                <w:rFonts w:ascii="Arial" w:cs="Arial" w:eastAsia="Arial" w:hAnsi="Arial"/>
                <w:sz w:val="18"/>
                <w:szCs w:val="18"/>
                <w:color w:val="auto"/>
              </w:rPr>
              <w:t>Share-based compensation</w:t>
            </w:r>
          </w:p>
        </w:tc>
        <w:tc>
          <w:tcPr>
            <w:tcW w:w="360" w:type="dxa"/>
            <w:vAlign w:val="bottom"/>
          </w:tcPr>
          <w:p>
            <w:pPr>
              <w:spacing w:after="0"/>
              <w:rPr>
                <w:sz w:val="18"/>
                <w:szCs w:val="18"/>
                <w:color w:val="auto"/>
              </w:rPr>
            </w:pPr>
          </w:p>
        </w:tc>
        <w:tc>
          <w:tcPr>
            <w:tcW w:w="820" w:type="dxa"/>
            <w:vAlign w:val="bottom"/>
          </w:tcPr>
          <w:p>
            <w:pPr>
              <w:jc w:val="right"/>
              <w:ind w:right="117"/>
              <w:spacing w:after="0"/>
              <w:rPr>
                <w:sz w:val="20"/>
                <w:szCs w:val="20"/>
                <w:color w:val="auto"/>
              </w:rPr>
            </w:pPr>
            <w:r>
              <w:rPr>
                <w:rFonts w:ascii="Arial" w:cs="Arial" w:eastAsia="Arial" w:hAnsi="Arial"/>
                <w:sz w:val="18"/>
                <w:szCs w:val="18"/>
                <w:color w:val="auto"/>
              </w:rPr>
              <w:t>135</w:t>
            </w:r>
          </w:p>
        </w:tc>
        <w:tc>
          <w:tcPr>
            <w:tcW w:w="340" w:type="dxa"/>
            <w:vAlign w:val="bottom"/>
          </w:tcPr>
          <w:p>
            <w:pPr>
              <w:spacing w:after="0"/>
              <w:rPr>
                <w:sz w:val="18"/>
                <w:szCs w:val="18"/>
                <w:color w:val="auto"/>
              </w:rPr>
            </w:pPr>
          </w:p>
        </w:tc>
        <w:tc>
          <w:tcPr>
            <w:tcW w:w="540" w:type="dxa"/>
            <w:vAlign w:val="bottom"/>
          </w:tcPr>
          <w:p>
            <w:pPr>
              <w:jc w:val="right"/>
              <w:ind w:right="134"/>
              <w:spacing w:after="0"/>
              <w:rPr>
                <w:sz w:val="20"/>
                <w:szCs w:val="20"/>
                <w:color w:val="auto"/>
              </w:rPr>
            </w:pPr>
            <w:r>
              <w:rPr>
                <w:rFonts w:ascii="Arial" w:cs="Arial" w:eastAsia="Arial" w:hAnsi="Arial"/>
                <w:sz w:val="18"/>
                <w:szCs w:val="18"/>
                <w:color w:val="auto"/>
                <w:w w:val="99"/>
              </w:rPr>
              <w:t>119</w:t>
            </w: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Noncash interest expense (income), net</w:t>
            </w:r>
          </w:p>
        </w:tc>
        <w:tc>
          <w:tcPr>
            <w:tcW w:w="36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51</w:t>
            </w:r>
          </w:p>
        </w:tc>
        <w:tc>
          <w:tcPr>
            <w:tcW w:w="34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9360" w:type="dxa"/>
            <w:vAlign w:val="bottom"/>
            <w:gridSpan w:val="2"/>
          </w:tcPr>
          <w:p>
            <w:pPr>
              <w:ind w:left="440"/>
              <w:spacing w:after="0"/>
              <w:rPr>
                <w:sz w:val="20"/>
                <w:szCs w:val="20"/>
                <w:color w:val="auto"/>
              </w:rPr>
            </w:pPr>
            <w:r>
              <w:rPr>
                <w:rFonts w:ascii="Arial" w:cs="Arial" w:eastAsia="Arial" w:hAnsi="Arial"/>
                <w:sz w:val="18"/>
                <w:szCs w:val="18"/>
                <w:color w:val="auto"/>
              </w:rPr>
              <w:t>Equity in net (income) losses of investees, net</w:t>
            </w:r>
          </w:p>
        </w:tc>
        <w:tc>
          <w:tcPr>
            <w:tcW w:w="360" w:type="dxa"/>
            <w:vAlign w:val="bottom"/>
          </w:tcPr>
          <w:p>
            <w:pPr>
              <w:spacing w:after="0"/>
              <w:rPr>
                <w:sz w:val="18"/>
                <w:szCs w:val="18"/>
                <w:color w:val="auto"/>
              </w:rPr>
            </w:pPr>
          </w:p>
        </w:tc>
        <w:tc>
          <w:tcPr>
            <w:tcW w:w="820" w:type="dxa"/>
            <w:vAlign w:val="bottom"/>
          </w:tcPr>
          <w:p>
            <w:pPr>
              <w:jc w:val="right"/>
              <w:ind w:right="57"/>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8"/>
                <w:szCs w:val="18"/>
                <w:color w:val="auto"/>
              </w:rPr>
            </w:pPr>
          </w:p>
        </w:tc>
        <w:tc>
          <w:tcPr>
            <w:tcW w:w="540" w:type="dxa"/>
            <w:vAlign w:val="bottom"/>
          </w:tcPr>
          <w:p>
            <w:pPr>
              <w:jc w:val="right"/>
              <w:ind w:right="74"/>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Cash received from investees</w:t>
            </w:r>
          </w:p>
        </w:tc>
        <w:tc>
          <w:tcPr>
            <w:tcW w:w="36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22</w:t>
            </w:r>
          </w:p>
        </w:tc>
        <w:tc>
          <w:tcPr>
            <w:tcW w:w="34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9360" w:type="dxa"/>
            <w:vAlign w:val="bottom"/>
            <w:gridSpan w:val="2"/>
          </w:tcPr>
          <w:p>
            <w:pPr>
              <w:ind w:left="440"/>
              <w:spacing w:after="0"/>
              <w:rPr>
                <w:sz w:val="20"/>
                <w:szCs w:val="20"/>
                <w:color w:val="auto"/>
              </w:rPr>
            </w:pPr>
            <w:r>
              <w:rPr>
                <w:rFonts w:ascii="Arial" w:cs="Arial" w:eastAsia="Arial" w:hAnsi="Arial"/>
                <w:sz w:val="18"/>
                <w:szCs w:val="18"/>
                <w:color w:val="auto"/>
              </w:rPr>
              <w:t>Net (gain) loss on investment activity and other</w:t>
            </w:r>
          </w:p>
        </w:tc>
        <w:tc>
          <w:tcPr>
            <w:tcW w:w="360" w:type="dxa"/>
            <w:vAlign w:val="bottom"/>
          </w:tcPr>
          <w:p>
            <w:pPr>
              <w:spacing w:after="0"/>
              <w:rPr>
                <w:sz w:val="18"/>
                <w:szCs w:val="18"/>
                <w:color w:val="auto"/>
              </w:rPr>
            </w:pPr>
          </w:p>
        </w:tc>
        <w:tc>
          <w:tcPr>
            <w:tcW w:w="820" w:type="dxa"/>
            <w:vAlign w:val="bottom"/>
          </w:tcPr>
          <w:p>
            <w:pPr>
              <w:jc w:val="right"/>
              <w:ind w:right="57"/>
              <w:spacing w:after="0"/>
              <w:rPr>
                <w:sz w:val="20"/>
                <w:szCs w:val="20"/>
                <w:color w:val="auto"/>
              </w:rPr>
            </w:pPr>
            <w:r>
              <w:rPr>
                <w:rFonts w:ascii="Arial" w:cs="Arial" w:eastAsia="Arial" w:hAnsi="Arial"/>
                <w:sz w:val="18"/>
                <w:szCs w:val="18"/>
                <w:color w:val="auto"/>
              </w:rPr>
              <w:t>(121)</w:t>
            </w:r>
          </w:p>
        </w:tc>
        <w:tc>
          <w:tcPr>
            <w:tcW w:w="340" w:type="dxa"/>
            <w:vAlign w:val="bottom"/>
          </w:tcPr>
          <w:p>
            <w:pPr>
              <w:spacing w:after="0"/>
              <w:rPr>
                <w:sz w:val="18"/>
                <w:szCs w:val="18"/>
                <w:color w:val="auto"/>
              </w:rPr>
            </w:pPr>
          </w:p>
        </w:tc>
        <w:tc>
          <w:tcPr>
            <w:tcW w:w="540" w:type="dxa"/>
            <w:vAlign w:val="bottom"/>
          </w:tcPr>
          <w:p>
            <w:pPr>
              <w:jc w:val="right"/>
              <w:ind w:right="74"/>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(119)</w:t>
            </w:r>
          </w:p>
        </w:tc>
        <w:tc>
          <w:tcPr>
            <w:tcW w:w="34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w w:val="85"/>
              </w:rPr>
              <w:t>(226)</w:t>
            </w:r>
          </w:p>
        </w:tc>
        <w:tc>
          <w:tcPr>
            <w:tcW w:w="0" w:type="dxa"/>
            <w:vAlign w:val="bottom"/>
          </w:tcPr>
          <w:p>
            <w:pPr>
              <w:spacing w:after="0"/>
              <w:rPr>
                <w:sz w:val="1"/>
                <w:szCs w:val="1"/>
                <w:color w:val="auto"/>
              </w:rPr>
            </w:pP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Current and noncurrent receivables, net</w:t>
            </w:r>
          </w:p>
        </w:tc>
        <w:tc>
          <w:tcPr>
            <w:tcW w:w="36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119</w:t>
            </w:r>
          </w:p>
        </w:tc>
        <w:tc>
          <w:tcPr>
            <w:tcW w:w="34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w w:val="99"/>
              </w:rPr>
              <w:t>195</w:t>
            </w:r>
          </w:p>
        </w:tc>
        <w:tc>
          <w:tcPr>
            <w:tcW w:w="0" w:type="dxa"/>
            <w:vAlign w:val="bottom"/>
          </w:tcPr>
          <w:p>
            <w:pPr>
              <w:spacing w:after="0"/>
              <w:rPr>
                <w:sz w:val="1"/>
                <w:szCs w:val="1"/>
                <w:color w:val="auto"/>
              </w:rPr>
            </w:pPr>
          </w:p>
        </w:tc>
      </w:tr>
      <w:tr>
        <w:trPr>
          <w:trHeight w:val="216"/>
        </w:trPr>
        <w:tc>
          <w:tcPr>
            <w:tcW w:w="9360" w:type="dxa"/>
            <w:vAlign w:val="bottom"/>
            <w:gridSpan w:val="2"/>
          </w:tcPr>
          <w:p>
            <w:pPr>
              <w:ind w:left="440"/>
              <w:spacing w:after="0"/>
              <w:rPr>
                <w:sz w:val="20"/>
                <w:szCs w:val="20"/>
                <w:color w:val="auto"/>
              </w:rPr>
            </w:pPr>
            <w:r>
              <w:rPr>
                <w:rFonts w:ascii="Arial" w:cs="Arial" w:eastAsia="Arial" w:hAnsi="Arial"/>
                <w:sz w:val="18"/>
                <w:szCs w:val="18"/>
                <w:color w:val="auto"/>
              </w:rPr>
              <w:t>Film and television costs, net</w:t>
            </w:r>
          </w:p>
        </w:tc>
        <w:tc>
          <w:tcPr>
            <w:tcW w:w="360" w:type="dxa"/>
            <w:vAlign w:val="bottom"/>
          </w:tcPr>
          <w:p>
            <w:pPr>
              <w:spacing w:after="0"/>
              <w:rPr>
                <w:sz w:val="18"/>
                <w:szCs w:val="18"/>
                <w:color w:val="auto"/>
              </w:rPr>
            </w:pPr>
          </w:p>
        </w:tc>
        <w:tc>
          <w:tcPr>
            <w:tcW w:w="820" w:type="dxa"/>
            <w:vAlign w:val="bottom"/>
          </w:tcPr>
          <w:p>
            <w:pPr>
              <w:jc w:val="right"/>
              <w:ind w:right="57"/>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18"/>
                <w:szCs w:val="18"/>
                <w:color w:val="auto"/>
              </w:rPr>
            </w:pPr>
          </w:p>
        </w:tc>
        <w:tc>
          <w:tcPr>
            <w:tcW w:w="540" w:type="dxa"/>
            <w:vAlign w:val="bottom"/>
          </w:tcPr>
          <w:p>
            <w:pPr>
              <w:jc w:val="right"/>
              <w:ind w:right="134"/>
              <w:spacing w:after="0"/>
              <w:rPr>
                <w:sz w:val="20"/>
                <w:szCs w:val="20"/>
                <w:color w:val="auto"/>
              </w:rPr>
            </w:pPr>
            <w:r>
              <w:rPr>
                <w:rFonts w:ascii="Arial" w:cs="Arial" w:eastAsia="Arial" w:hAnsi="Arial"/>
                <w:sz w:val="18"/>
                <w:szCs w:val="18"/>
                <w:color w:val="auto"/>
                <w:w w:val="99"/>
              </w:rPr>
              <w:t>154</w:t>
            </w: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36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372</w:t>
            </w:r>
          </w:p>
        </w:tc>
        <w:tc>
          <w:tcPr>
            <w:tcW w:w="34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936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Other operating assets and liabilities</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650</w:t>
            </w:r>
          </w:p>
        </w:tc>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99"/>
              </w:rPr>
              <w:t>285</w:t>
            </w:r>
          </w:p>
        </w:tc>
        <w:tc>
          <w:tcPr>
            <w:tcW w:w="0" w:type="dxa"/>
            <w:vAlign w:val="bottom"/>
          </w:tcPr>
          <w:p>
            <w:pPr>
              <w:spacing w:after="0"/>
              <w:rPr>
                <w:sz w:val="1"/>
                <w:szCs w:val="1"/>
                <w:color w:val="auto"/>
              </w:rPr>
            </w:pPr>
          </w:p>
        </w:tc>
      </w:tr>
      <w:tr>
        <w:trPr>
          <w:trHeight w:val="217"/>
        </w:trPr>
        <w:tc>
          <w:tcPr>
            <w:tcW w:w="936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b w:val="1"/>
                <w:bCs w:val="1"/>
                <w:color w:val="auto"/>
                <w:w w:val="99"/>
              </w:rPr>
              <w:t>$ 5,245</w:t>
            </w:r>
          </w:p>
        </w:tc>
        <w:tc>
          <w:tcPr>
            <w:tcW w:w="880" w:type="dxa"/>
            <w:vAlign w:val="bottom"/>
            <w:tcBorders>
              <w:bottom w:val="single" w:sz="8" w:color="auto"/>
            </w:tcBorders>
            <w:gridSpan w:val="2"/>
            <w:shd w:val="clear" w:color="auto" w:fill="E5E5E5"/>
          </w:tcPr>
          <w:p>
            <w:pPr>
              <w:jc w:val="right"/>
              <w:ind w:right="134"/>
              <w:spacing w:after="0"/>
              <w:rPr>
                <w:sz w:val="20"/>
                <w:szCs w:val="20"/>
                <w:color w:val="auto"/>
              </w:rPr>
            </w:pPr>
            <w:r>
              <w:rPr>
                <w:rFonts w:ascii="Arial" w:cs="Arial" w:eastAsia="Arial" w:hAnsi="Arial"/>
                <w:sz w:val="18"/>
                <w:szCs w:val="18"/>
                <w:b w:val="1"/>
                <w:bCs w:val="1"/>
                <w:color w:val="auto"/>
              </w:rPr>
              <w:t>$ 4,486</w:t>
            </w:r>
          </w:p>
        </w:tc>
        <w:tc>
          <w:tcPr>
            <w:tcW w:w="0" w:type="dxa"/>
            <w:vAlign w:val="bottom"/>
          </w:tcPr>
          <w:p>
            <w:pPr>
              <w:spacing w:after="0"/>
              <w:rPr>
                <w:sz w:val="1"/>
                <w:szCs w:val="1"/>
                <w:color w:val="auto"/>
              </w:rPr>
            </w:pPr>
          </w:p>
        </w:tc>
      </w:tr>
      <w:tr>
        <w:trPr>
          <w:trHeight w:val="403"/>
        </w:trPr>
        <w:tc>
          <w:tcPr>
            <w:tcW w:w="9360" w:type="dxa"/>
            <w:vAlign w:val="bottom"/>
            <w:gridSpan w:val="2"/>
          </w:tcPr>
          <w:p>
            <w:pPr>
              <w:ind w:left="3800"/>
              <w:spacing w:after="0"/>
              <w:rPr>
                <w:sz w:val="20"/>
                <w:szCs w:val="20"/>
                <w:color w:val="auto"/>
              </w:rPr>
            </w:pPr>
            <w:r>
              <w:rPr>
                <w:rFonts w:ascii="Arial" w:cs="Arial" w:eastAsia="Arial" w:hAnsi="Arial"/>
                <w:sz w:val="18"/>
                <w:szCs w:val="18"/>
                <w:b w:val="1"/>
                <w:bCs w:val="1"/>
                <w:color w:val="auto"/>
              </w:rPr>
              <w:t>Cash Payments for Interest and Income Taxes</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9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00" w:type="dxa"/>
            <w:vAlign w:val="bottom"/>
            <w:gridSpan w:val="3"/>
          </w:tcPr>
          <w:p>
            <w:pPr>
              <w:jc w:val="right"/>
              <w:ind w:right="294"/>
              <w:spacing w:after="0"/>
              <w:rPr>
                <w:sz w:val="20"/>
                <w:szCs w:val="20"/>
                <w:color w:val="auto"/>
              </w:rPr>
            </w:pPr>
            <w:r>
              <w:rPr>
                <w:rFonts w:ascii="Arial" w:cs="Arial" w:eastAsia="Arial" w:hAnsi="Arial"/>
                <w:sz w:val="14"/>
                <w:szCs w:val="14"/>
                <w:color w:val="auto"/>
                <w:w w:val="99"/>
              </w:rPr>
              <w:t>Three Months Ended</w:t>
            </w:r>
          </w:p>
        </w:tc>
        <w:tc>
          <w:tcPr>
            <w:tcW w:w="0" w:type="dxa"/>
            <w:vAlign w:val="bottom"/>
          </w:tcPr>
          <w:p>
            <w:pPr>
              <w:spacing w:after="0"/>
              <w:rPr>
                <w:sz w:val="1"/>
                <w:szCs w:val="1"/>
                <w:color w:val="auto"/>
              </w:rPr>
            </w:pPr>
          </w:p>
        </w:tc>
      </w:tr>
      <w:tr>
        <w:trPr>
          <w:trHeight w:val="159"/>
        </w:trPr>
        <w:tc>
          <w:tcPr>
            <w:tcW w:w="90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77"/>
              <w:spacing w:after="0" w:line="159" w:lineRule="exact"/>
              <w:rPr>
                <w:sz w:val="20"/>
                <w:szCs w:val="20"/>
                <w:color w:val="auto"/>
              </w:rPr>
            </w:pPr>
            <w:r>
              <w:rPr>
                <w:rFonts w:ascii="Arial" w:cs="Arial" w:eastAsia="Arial" w:hAnsi="Arial"/>
                <w:sz w:val="14"/>
                <w:szCs w:val="14"/>
                <w:color w:val="auto"/>
              </w:rPr>
              <w:t>March 31</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0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37"/>
              <w:spacing w:after="0" w:line="142" w:lineRule="exact"/>
              <w:rPr>
                <w:sz w:val="20"/>
                <w:szCs w:val="20"/>
                <w:color w:val="auto"/>
              </w:rPr>
            </w:pPr>
            <w:r>
              <w:rPr>
                <w:rFonts w:ascii="Arial" w:cs="Arial" w:eastAsia="Arial" w:hAnsi="Arial"/>
                <w:sz w:val="14"/>
                <w:szCs w:val="14"/>
                <w:color w:val="auto"/>
                <w:w w:val="89"/>
              </w:rPr>
              <w:t>2015</w:t>
            </w:r>
          </w:p>
        </w:tc>
        <w:tc>
          <w:tcPr>
            <w:tcW w:w="3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w w:val="96"/>
              </w:rPr>
              <w:t>2014</w:t>
            </w:r>
          </w:p>
        </w:tc>
        <w:tc>
          <w:tcPr>
            <w:tcW w:w="0" w:type="dxa"/>
            <w:vAlign w:val="bottom"/>
          </w:tcPr>
          <w:p>
            <w:pPr>
              <w:spacing w:after="0"/>
              <w:rPr>
                <w:sz w:val="1"/>
                <w:szCs w:val="1"/>
                <w:color w:val="auto"/>
              </w:rPr>
            </w:pPr>
          </w:p>
        </w:tc>
      </w:tr>
      <w:tr>
        <w:trPr>
          <w:trHeight w:val="210"/>
        </w:trPr>
        <w:tc>
          <w:tcPr>
            <w:tcW w:w="936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Interest</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691</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9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taxes</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8"/>
                <w:szCs w:val="18"/>
                <w:color w:val="auto"/>
              </w:rPr>
              <w:t>118</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2015:</w:t>
      </w:r>
    </w:p>
    <w:p>
      <w:pPr>
        <w:spacing w:after="0" w:line="77" w:lineRule="exact"/>
        <w:rPr>
          <w:sz w:val="20"/>
          <w:szCs w:val="20"/>
          <w:color w:val="auto"/>
        </w:rPr>
      </w:pPr>
    </w:p>
    <w:p>
      <w:pPr>
        <w:ind w:left="1020" w:hanging="21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acquired $978 million of property and equipment and intangible assets that were accrued but unpaid</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recorded a liability of $630 million for a quarterly cash dividend of $0.25 per common share paid in April 2015</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used $517 million of equity securities to settle our obligations under prepaid forward sale agreements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recorded a liability of $123 million for a capital contribution for an investment that was accrued but unpaid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Commitments and Contingencies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and technology vendors under applicable contractual indemnification provisions.</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also subject to other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time-consuming and injure our reputation.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Financial Data by Business Segment</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present our operations in five reportable business segments:</w:t>
      </w:r>
    </w:p>
    <w:p>
      <w:pPr>
        <w:spacing w:after="0" w:line="71" w:lineRule="exact"/>
        <w:rPr>
          <w:sz w:val="20"/>
          <w:szCs w:val="20"/>
          <w:color w:val="auto"/>
        </w:rPr>
      </w:pPr>
    </w:p>
    <w:p>
      <w:pPr>
        <w:jc w:val="both"/>
        <w:ind w:left="1020" w:right="1240" w:hanging="215"/>
        <w:spacing w:after="0" w:line="262"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the nation’s largest provider of video, high-speed</w:t>
      </w:r>
      <w:r>
        <w:rPr>
          <w:rFonts w:ascii="Arial" w:cs="Arial" w:eastAsia="Arial" w:hAnsi="Arial"/>
          <w:sz w:val="18"/>
          <w:szCs w:val="18"/>
          <w:b w:val="1"/>
          <w:bCs w:val="1"/>
          <w:color w:val="auto"/>
        </w:rPr>
        <w:t xml:space="preserve"> </w:t>
      </w:r>
      <w:r>
        <w:rPr>
          <w:rFonts w:ascii="Arial" w:cs="Arial" w:eastAsia="Arial" w:hAnsi="Arial"/>
          <w:sz w:val="18"/>
          <w:szCs w:val="18"/>
          <w:color w:val="auto"/>
        </w:rPr>
        <w:t>Internet and voice services (“cable services”) to residential customers under the XFINITY brand; we also provide similar and other services to small and medium-sized businesses and sell advertising.</w:t>
      </w:r>
    </w:p>
    <w:p>
      <w:pPr>
        <w:spacing w:after="0" w:line="37" w:lineRule="exact"/>
        <w:rPr>
          <w:rFonts w:ascii="Arial" w:cs="Arial" w:eastAsia="Arial" w:hAnsi="Arial"/>
          <w:sz w:val="18"/>
          <w:szCs w:val="18"/>
          <w:color w:val="auto"/>
        </w:rPr>
      </w:pPr>
    </w:p>
    <w:p>
      <w:pPr>
        <w:ind w:left="1020" w:right="1240" w:hanging="215"/>
        <w:spacing w:after="0" w:line="275"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 international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cable networks and our cable television production operations.</w:t>
      </w:r>
    </w:p>
    <w:p>
      <w:pPr>
        <w:spacing w:after="0" w:line="25" w:lineRule="exact"/>
        <w:rPr>
          <w:rFonts w:ascii="Arial" w:cs="Arial" w:eastAsia="Arial" w:hAnsi="Arial"/>
          <w:sz w:val="18"/>
          <w:szCs w:val="18"/>
          <w:color w:val="auto"/>
        </w:rPr>
      </w:pPr>
    </w:p>
    <w:p>
      <w:pPr>
        <w:ind w:left="1020" w:right="1260" w:hanging="215"/>
        <w:spacing w:after="0" w:line="325"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Broadcast Television: </w:t>
      </w:r>
      <w:r>
        <w:rPr>
          <w:rFonts w:ascii="Arial" w:cs="Arial" w:eastAsia="Arial" w:hAnsi="Arial"/>
          <w:sz w:val="16"/>
          <w:szCs w:val="16"/>
          <w:color w:val="auto"/>
        </w:rPr>
        <w:t>Consists primarily of the NBC and Telemundo broadcast networks, our NBC and Telemundo owned local</w:t>
      </w:r>
      <w:r>
        <w:rPr>
          <w:rFonts w:ascii="Arial" w:cs="Arial" w:eastAsia="Arial" w:hAnsi="Arial"/>
          <w:sz w:val="16"/>
          <w:szCs w:val="16"/>
          <w:b w:val="1"/>
          <w:bCs w:val="1"/>
          <w:color w:val="auto"/>
        </w:rPr>
        <w:t xml:space="preserve"> </w:t>
      </w:r>
      <w:r>
        <w:rPr>
          <w:rFonts w:ascii="Arial" w:cs="Arial" w:eastAsia="Arial" w:hAnsi="Arial"/>
          <w:sz w:val="16"/>
          <w:szCs w:val="16"/>
          <w:color w:val="auto"/>
        </w:rPr>
        <w:t>broadcast television stations, the NBC Universo national cable network, and our broadcast television production operations.</w:t>
      </w:r>
    </w:p>
    <w:p>
      <w:pPr>
        <w:spacing w:after="0" w:line="1" w:lineRule="exact"/>
        <w:rPr>
          <w:rFonts w:ascii="Arial" w:cs="Arial" w:eastAsia="Arial" w:hAnsi="Arial"/>
          <w:sz w:val="16"/>
          <w:szCs w:val="16"/>
          <w:color w:val="auto"/>
        </w:rPr>
      </w:pPr>
    </w:p>
    <w:p>
      <w:pPr>
        <w:ind w:left="1020" w:right="1240" w:hanging="215"/>
        <w:spacing w:after="0" w:line="275"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Filmed Entertainment: </w:t>
      </w:r>
      <w:r>
        <w:rPr>
          <w:rFonts w:ascii="Arial" w:cs="Arial" w:eastAsia="Arial" w:hAnsi="Arial"/>
          <w:sz w:val="18"/>
          <w:szCs w:val="18"/>
          <w:color w:val="auto"/>
        </w:rPr>
        <w:t>Consists primarily of the studio operations of Universal Pictures, which produces, acquires, markets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distributes filmed entertainment worldwide.</w:t>
      </w:r>
    </w:p>
    <w:p>
      <w:pPr>
        <w:spacing w:after="0" w:line="25" w:lineRule="exact"/>
        <w:rPr>
          <w:rFonts w:ascii="Arial" w:cs="Arial" w:eastAsia="Arial" w:hAnsi="Arial"/>
          <w:sz w:val="18"/>
          <w:szCs w:val="18"/>
          <w:color w:val="auto"/>
        </w:rPr>
      </w:pPr>
    </w:p>
    <w:p>
      <w:pPr>
        <w:ind w:left="1020" w:hanging="21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Florida and Hollywood, California.</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evaluating the profitability of our operating segments, the components of net income (loss) below operating income (loss) before depreciation and amortization are not separately evaluated by our management. Our financial data by business segment is presented in the tables below.</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color w:val="auto"/>
              </w:rPr>
              <w:t>Three Months Ended March 31, 2015</w:t>
            </w:r>
          </w:p>
        </w:tc>
        <w:tc>
          <w:tcPr>
            <w:tcW w:w="1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9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200" w:type="dxa"/>
            <w:vAlign w:val="bottom"/>
            <w:gridSpan w:val="2"/>
          </w:tcPr>
          <w:p>
            <w:pPr>
              <w:ind w:left="460"/>
              <w:spacing w:after="0" w:line="131" w:lineRule="exact"/>
              <w:rPr>
                <w:sz w:val="20"/>
                <w:szCs w:val="20"/>
                <w:color w:val="auto"/>
              </w:rPr>
            </w:pPr>
            <w:r>
              <w:rPr>
                <w:rFonts w:ascii="Arial" w:cs="Arial" w:eastAsia="Arial" w:hAnsi="Arial"/>
                <w:sz w:val="14"/>
                <w:szCs w:val="14"/>
                <w:color w:val="auto"/>
              </w:rPr>
              <w:t>Operating Income (Loss)</w:t>
            </w:r>
          </w:p>
        </w:tc>
        <w:tc>
          <w:tcPr>
            <w:tcW w:w="1540" w:type="dxa"/>
            <w:vAlign w:val="bottom"/>
            <w:gridSpan w:val="2"/>
          </w:tcPr>
          <w:p>
            <w:pPr>
              <w:ind w:left="340"/>
              <w:spacing w:after="0" w:line="131" w:lineRule="exact"/>
              <w:rPr>
                <w:sz w:val="20"/>
                <w:szCs w:val="20"/>
                <w:color w:val="auto"/>
              </w:rPr>
            </w:pPr>
            <w:r>
              <w:rPr>
                <w:rFonts w:ascii="Arial" w:cs="Arial" w:eastAsia="Arial" w:hAnsi="Arial"/>
                <w:sz w:val="14"/>
                <w:szCs w:val="14"/>
                <w:color w:val="auto"/>
              </w:rPr>
              <w:t>Depreciation</w:t>
            </w:r>
          </w:p>
        </w:tc>
        <w:tc>
          <w:tcPr>
            <w:tcW w:w="1120" w:type="dxa"/>
            <w:vAlign w:val="bottom"/>
          </w:tcPr>
          <w:p>
            <w:pPr>
              <w:jc w:val="center"/>
              <w:ind w:right="97"/>
              <w:spacing w:after="0" w:line="131" w:lineRule="exact"/>
              <w:rPr>
                <w:sz w:val="20"/>
                <w:szCs w:val="20"/>
                <w:color w:val="auto"/>
              </w:rPr>
            </w:pPr>
            <w:r>
              <w:rPr>
                <w:rFonts w:ascii="Arial" w:cs="Arial" w:eastAsia="Arial" w:hAnsi="Arial"/>
                <w:sz w:val="14"/>
                <w:szCs w:val="14"/>
                <w:color w:val="auto"/>
                <w:w w:val="87"/>
              </w:rPr>
              <w:t>Operating</w:t>
            </w: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980" w:type="dxa"/>
            <w:vAlign w:val="bottom"/>
          </w:tcPr>
          <w:p>
            <w:pPr>
              <w:spacing w:after="0"/>
              <w:rPr>
                <w:sz w:val="11"/>
                <w:szCs w:val="11"/>
                <w:color w:val="auto"/>
              </w:rPr>
            </w:pPr>
          </w:p>
        </w:tc>
        <w:tc>
          <w:tcPr>
            <w:tcW w:w="1440" w:type="dxa"/>
            <w:vAlign w:val="bottom"/>
            <w:vMerge w:val="restart"/>
          </w:tcPr>
          <w:p>
            <w:pPr>
              <w:jc w:val="right"/>
              <w:ind w:right="154"/>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(d)</w:t>
            </w:r>
          </w:p>
        </w:tc>
        <w:tc>
          <w:tcPr>
            <w:tcW w:w="2200" w:type="dxa"/>
            <w:vAlign w:val="bottom"/>
            <w:gridSpan w:val="2"/>
          </w:tcPr>
          <w:p>
            <w:pPr>
              <w:ind w:left="480"/>
              <w:spacing w:after="0" w:line="133" w:lineRule="exact"/>
              <w:rPr>
                <w:sz w:val="20"/>
                <w:szCs w:val="20"/>
                <w:color w:val="auto"/>
              </w:rPr>
            </w:pPr>
            <w:r>
              <w:rPr>
                <w:rFonts w:ascii="Arial" w:cs="Arial" w:eastAsia="Arial" w:hAnsi="Arial"/>
                <w:sz w:val="14"/>
                <w:szCs w:val="14"/>
                <w:color w:val="auto"/>
              </w:rPr>
              <w:t>Before Depreciation and</w:t>
            </w:r>
          </w:p>
        </w:tc>
        <w:tc>
          <w:tcPr>
            <w:tcW w:w="500" w:type="dxa"/>
            <w:vAlign w:val="bottom"/>
          </w:tcPr>
          <w:p>
            <w:pPr>
              <w:spacing w:after="0"/>
              <w:rPr>
                <w:sz w:val="11"/>
                <w:szCs w:val="11"/>
                <w:color w:val="auto"/>
              </w:rPr>
            </w:pPr>
          </w:p>
        </w:tc>
        <w:tc>
          <w:tcPr>
            <w:tcW w:w="1040" w:type="dxa"/>
            <w:vAlign w:val="bottom"/>
          </w:tcPr>
          <w:p>
            <w:pPr>
              <w:jc w:val="right"/>
              <w:ind w:right="654"/>
              <w:spacing w:after="0" w:line="133" w:lineRule="exact"/>
              <w:rPr>
                <w:sz w:val="20"/>
                <w:szCs w:val="20"/>
                <w:color w:val="auto"/>
              </w:rPr>
            </w:pPr>
            <w:r>
              <w:rPr>
                <w:rFonts w:ascii="Arial" w:cs="Arial" w:eastAsia="Arial" w:hAnsi="Arial"/>
                <w:sz w:val="14"/>
                <w:szCs w:val="14"/>
                <w:color w:val="auto"/>
              </w:rPr>
              <w:t>and</w:t>
            </w:r>
          </w:p>
        </w:tc>
        <w:tc>
          <w:tcPr>
            <w:tcW w:w="1120" w:type="dxa"/>
            <w:vAlign w:val="bottom"/>
          </w:tcPr>
          <w:p>
            <w:pPr>
              <w:jc w:val="center"/>
              <w:ind w:right="77"/>
              <w:spacing w:after="0" w:line="133" w:lineRule="exact"/>
              <w:rPr>
                <w:sz w:val="20"/>
                <w:szCs w:val="20"/>
                <w:color w:val="auto"/>
              </w:rPr>
            </w:pPr>
            <w:r>
              <w:rPr>
                <w:rFonts w:ascii="Arial" w:cs="Arial" w:eastAsia="Arial" w:hAnsi="Arial"/>
                <w:sz w:val="14"/>
                <w:szCs w:val="14"/>
                <w:color w:val="auto"/>
                <w:w w:val="87"/>
              </w:rPr>
              <w:t>Income</w:t>
            </w:r>
          </w:p>
        </w:tc>
        <w:tc>
          <w:tcPr>
            <w:tcW w:w="460" w:type="dxa"/>
            <w:vAlign w:val="bottom"/>
          </w:tcPr>
          <w:p>
            <w:pPr>
              <w:spacing w:after="0"/>
              <w:rPr>
                <w:sz w:val="11"/>
                <w:szCs w:val="11"/>
                <w:color w:val="auto"/>
              </w:rPr>
            </w:pPr>
          </w:p>
        </w:tc>
        <w:tc>
          <w:tcPr>
            <w:tcW w:w="680" w:type="dxa"/>
            <w:vAlign w:val="bottom"/>
          </w:tcPr>
          <w:p>
            <w:pPr>
              <w:jc w:val="right"/>
              <w:ind w:right="174"/>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44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556"/>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(e)</w:t>
            </w:r>
          </w:p>
        </w:tc>
        <w:tc>
          <w:tcPr>
            <w:tcW w:w="154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color w:val="auto"/>
              </w:rPr>
              <w:t>Amortization</w:t>
            </w:r>
          </w:p>
        </w:tc>
        <w:tc>
          <w:tcPr>
            <w:tcW w:w="11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color w:val="auto"/>
                <w:w w:val="87"/>
              </w:rPr>
              <w:t>(Loss)</w:t>
            </w:r>
          </w:p>
        </w:tc>
        <w:tc>
          <w:tcPr>
            <w:tcW w:w="114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3980" w:type="dxa"/>
            <w:vAlign w:val="bottom"/>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14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$ 11,430</w:t>
            </w:r>
          </w:p>
        </w:tc>
        <w:tc>
          <w:tcPr>
            <w:tcW w:w="640" w:type="dxa"/>
            <w:vAlign w:val="bottom"/>
            <w:shd w:val="clear" w:color="auto" w:fill="E5E5E5"/>
          </w:tcPr>
          <w:p>
            <w:pPr>
              <w:ind w:left="4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E5E5E5"/>
          </w:tcPr>
          <w:p>
            <w:pPr>
              <w:jc w:val="right"/>
              <w:ind w:right="296"/>
              <w:spacing w:after="0"/>
              <w:rPr>
                <w:sz w:val="20"/>
                <w:szCs w:val="20"/>
                <w:color w:val="auto"/>
              </w:rPr>
            </w:pPr>
            <w:r>
              <w:rPr>
                <w:rFonts w:ascii="Arial" w:cs="Arial" w:eastAsia="Arial" w:hAnsi="Arial"/>
                <w:sz w:val="18"/>
                <w:szCs w:val="18"/>
                <w:color w:val="auto"/>
              </w:rPr>
              <w:t>4,674</w:t>
            </w:r>
          </w:p>
        </w:tc>
        <w:tc>
          <w:tcPr>
            <w:tcW w:w="50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394"/>
              <w:spacing w:after="0"/>
              <w:rPr>
                <w:sz w:val="20"/>
                <w:szCs w:val="20"/>
                <w:color w:val="auto"/>
              </w:rPr>
            </w:pPr>
            <w:r>
              <w:rPr>
                <w:rFonts w:ascii="Arial" w:cs="Arial" w:eastAsia="Arial" w:hAnsi="Arial"/>
                <w:sz w:val="18"/>
                <w:szCs w:val="18"/>
                <w:color w:val="auto"/>
              </w:rPr>
              <w:t>1,675</w:t>
            </w:r>
          </w:p>
        </w:tc>
        <w:tc>
          <w:tcPr>
            <w:tcW w:w="112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$ 2,999</w:t>
            </w:r>
          </w:p>
        </w:tc>
        <w:tc>
          <w:tcPr>
            <w:tcW w:w="46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NBCUniversal</w:t>
            </w:r>
          </w:p>
        </w:tc>
        <w:tc>
          <w:tcPr>
            <w:tcW w:w="1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14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2,359</w:t>
            </w:r>
          </w:p>
        </w:tc>
        <w:tc>
          <w:tcPr>
            <w:tcW w:w="64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96"/>
              <w:spacing w:after="0"/>
              <w:rPr>
                <w:sz w:val="20"/>
                <w:szCs w:val="20"/>
                <w:color w:val="auto"/>
              </w:rPr>
            </w:pPr>
            <w:r>
              <w:rPr>
                <w:rFonts w:ascii="Arial" w:cs="Arial" w:eastAsia="Arial" w:hAnsi="Arial"/>
                <w:sz w:val="18"/>
                <w:szCs w:val="18"/>
                <w:color w:val="auto"/>
              </w:rPr>
              <w:t>898</w:t>
            </w:r>
          </w:p>
        </w:tc>
        <w:tc>
          <w:tcPr>
            <w:tcW w:w="500" w:type="dxa"/>
            <w:vAlign w:val="bottom"/>
            <w:shd w:val="clear" w:color="auto" w:fill="E5E5E5"/>
          </w:tcPr>
          <w:p>
            <w:pPr>
              <w:spacing w:after="0"/>
              <w:rPr>
                <w:sz w:val="18"/>
                <w:szCs w:val="18"/>
                <w:color w:val="auto"/>
              </w:rPr>
            </w:pPr>
          </w:p>
        </w:tc>
        <w:tc>
          <w:tcPr>
            <w:tcW w:w="1040" w:type="dxa"/>
            <w:vAlign w:val="bottom"/>
            <w:shd w:val="clear" w:color="auto" w:fill="E5E5E5"/>
          </w:tcPr>
          <w:p>
            <w:pPr>
              <w:jc w:val="right"/>
              <w:ind w:right="394"/>
              <w:spacing w:after="0"/>
              <w:rPr>
                <w:sz w:val="20"/>
                <w:szCs w:val="20"/>
                <w:color w:val="auto"/>
              </w:rPr>
            </w:pPr>
            <w:r>
              <w:rPr>
                <w:rFonts w:ascii="Arial" w:cs="Arial" w:eastAsia="Arial" w:hAnsi="Arial"/>
                <w:sz w:val="18"/>
                <w:szCs w:val="18"/>
                <w:color w:val="auto"/>
              </w:rPr>
              <w:t>184</w:t>
            </w:r>
          </w:p>
        </w:tc>
        <w:tc>
          <w:tcPr>
            <w:tcW w:w="112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714</w:t>
            </w:r>
          </w:p>
        </w:tc>
        <w:tc>
          <w:tcPr>
            <w:tcW w:w="4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1440" w:type="dxa"/>
            <w:vAlign w:val="bottom"/>
          </w:tcPr>
          <w:p>
            <w:pPr>
              <w:jc w:val="right"/>
              <w:ind w:right="154"/>
              <w:spacing w:after="0"/>
              <w:rPr>
                <w:sz w:val="20"/>
                <w:szCs w:val="20"/>
                <w:color w:val="auto"/>
              </w:rPr>
            </w:pPr>
            <w:r>
              <w:rPr>
                <w:rFonts w:ascii="Arial" w:cs="Arial" w:eastAsia="Arial" w:hAnsi="Arial"/>
                <w:sz w:val="18"/>
                <w:szCs w:val="18"/>
                <w:color w:val="auto"/>
              </w:rPr>
              <w:t>2,248</w:t>
            </w:r>
          </w:p>
        </w:tc>
        <w:tc>
          <w:tcPr>
            <w:tcW w:w="640" w:type="dxa"/>
            <w:vAlign w:val="bottom"/>
          </w:tcPr>
          <w:p>
            <w:pPr>
              <w:spacing w:after="0"/>
              <w:rPr>
                <w:sz w:val="18"/>
                <w:szCs w:val="18"/>
                <w:color w:val="auto"/>
              </w:rPr>
            </w:pPr>
          </w:p>
        </w:tc>
        <w:tc>
          <w:tcPr>
            <w:tcW w:w="1560" w:type="dxa"/>
            <w:vAlign w:val="bottom"/>
          </w:tcPr>
          <w:p>
            <w:pPr>
              <w:jc w:val="right"/>
              <w:ind w:right="296"/>
              <w:spacing w:after="0"/>
              <w:rPr>
                <w:sz w:val="20"/>
                <w:szCs w:val="20"/>
                <w:color w:val="auto"/>
              </w:rPr>
            </w:pPr>
            <w:r>
              <w:rPr>
                <w:rFonts w:ascii="Arial" w:cs="Arial" w:eastAsia="Arial" w:hAnsi="Arial"/>
                <w:sz w:val="18"/>
                <w:szCs w:val="18"/>
                <w:color w:val="auto"/>
              </w:rPr>
              <w:t>182</w:t>
            </w:r>
          </w:p>
        </w:tc>
        <w:tc>
          <w:tcPr>
            <w:tcW w:w="500" w:type="dxa"/>
            <w:vAlign w:val="bottom"/>
          </w:tcPr>
          <w:p>
            <w:pPr>
              <w:spacing w:after="0"/>
              <w:rPr>
                <w:sz w:val="18"/>
                <w:szCs w:val="18"/>
                <w:color w:val="auto"/>
              </w:rPr>
            </w:pPr>
          </w:p>
        </w:tc>
        <w:tc>
          <w:tcPr>
            <w:tcW w:w="1040" w:type="dxa"/>
            <w:vAlign w:val="bottom"/>
          </w:tcPr>
          <w:p>
            <w:pPr>
              <w:jc w:val="right"/>
              <w:ind w:right="394"/>
              <w:spacing w:after="0"/>
              <w:rPr>
                <w:sz w:val="20"/>
                <w:szCs w:val="20"/>
                <w:color w:val="auto"/>
              </w:rPr>
            </w:pPr>
            <w:r>
              <w:rPr>
                <w:rFonts w:ascii="Arial" w:cs="Arial" w:eastAsia="Arial" w:hAnsi="Arial"/>
                <w:sz w:val="18"/>
                <w:szCs w:val="18"/>
                <w:color w:val="auto"/>
              </w:rPr>
              <w:t>29</w:t>
            </w:r>
          </w:p>
        </w:tc>
        <w:tc>
          <w:tcPr>
            <w:tcW w:w="1120" w:type="dxa"/>
            <w:vAlign w:val="bottom"/>
          </w:tcPr>
          <w:p>
            <w:pPr>
              <w:jc w:val="right"/>
              <w:ind w:right="297"/>
              <w:spacing w:after="0"/>
              <w:rPr>
                <w:sz w:val="20"/>
                <w:szCs w:val="20"/>
                <w:color w:val="auto"/>
              </w:rPr>
            </w:pPr>
            <w:r>
              <w:rPr>
                <w:rFonts w:ascii="Arial" w:cs="Arial" w:eastAsia="Arial" w:hAnsi="Arial"/>
                <w:sz w:val="18"/>
                <w:szCs w:val="18"/>
                <w:color w:val="auto"/>
              </w:rPr>
              <w:t>153</w:t>
            </w:r>
          </w:p>
        </w:tc>
        <w:tc>
          <w:tcPr>
            <w:tcW w:w="46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14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1,446</w:t>
            </w:r>
          </w:p>
        </w:tc>
        <w:tc>
          <w:tcPr>
            <w:tcW w:w="64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96"/>
              <w:spacing w:after="0"/>
              <w:rPr>
                <w:sz w:val="20"/>
                <w:szCs w:val="20"/>
                <w:color w:val="auto"/>
              </w:rPr>
            </w:pPr>
            <w:r>
              <w:rPr>
                <w:rFonts w:ascii="Arial" w:cs="Arial" w:eastAsia="Arial" w:hAnsi="Arial"/>
                <w:sz w:val="18"/>
                <w:szCs w:val="18"/>
                <w:color w:val="auto"/>
              </w:rPr>
              <w:t>293</w:t>
            </w:r>
          </w:p>
        </w:tc>
        <w:tc>
          <w:tcPr>
            <w:tcW w:w="500" w:type="dxa"/>
            <w:vAlign w:val="bottom"/>
            <w:shd w:val="clear" w:color="auto" w:fill="E5E5E5"/>
          </w:tcPr>
          <w:p>
            <w:pPr>
              <w:spacing w:after="0"/>
              <w:rPr>
                <w:sz w:val="18"/>
                <w:szCs w:val="18"/>
                <w:color w:val="auto"/>
              </w:rPr>
            </w:pPr>
          </w:p>
        </w:tc>
        <w:tc>
          <w:tcPr>
            <w:tcW w:w="1040" w:type="dxa"/>
            <w:vAlign w:val="bottom"/>
            <w:shd w:val="clear" w:color="auto" w:fill="E5E5E5"/>
          </w:tcPr>
          <w:p>
            <w:pPr>
              <w:jc w:val="right"/>
              <w:ind w:right="394"/>
              <w:spacing w:after="0"/>
              <w:rPr>
                <w:sz w:val="20"/>
                <w:szCs w:val="20"/>
                <w:color w:val="auto"/>
              </w:rPr>
            </w:pPr>
            <w:r>
              <w:rPr>
                <w:rFonts w:ascii="Arial" w:cs="Arial" w:eastAsia="Arial" w:hAnsi="Arial"/>
                <w:sz w:val="18"/>
                <w:szCs w:val="18"/>
                <w:color w:val="auto"/>
              </w:rPr>
              <w:t>5</w:t>
            </w:r>
          </w:p>
        </w:tc>
        <w:tc>
          <w:tcPr>
            <w:tcW w:w="112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288</w:t>
            </w:r>
          </w:p>
        </w:tc>
        <w:tc>
          <w:tcPr>
            <w:tcW w:w="4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1440" w:type="dxa"/>
            <w:vAlign w:val="bottom"/>
          </w:tcPr>
          <w:p>
            <w:pPr>
              <w:jc w:val="right"/>
              <w:ind w:right="154"/>
              <w:spacing w:after="0"/>
              <w:rPr>
                <w:sz w:val="20"/>
                <w:szCs w:val="20"/>
                <w:color w:val="auto"/>
              </w:rPr>
            </w:pPr>
            <w:r>
              <w:rPr>
                <w:rFonts w:ascii="Arial" w:cs="Arial" w:eastAsia="Arial" w:hAnsi="Arial"/>
                <w:sz w:val="18"/>
                <w:szCs w:val="18"/>
                <w:color w:val="auto"/>
              </w:rPr>
              <w:t>651</w:t>
            </w:r>
          </w:p>
        </w:tc>
        <w:tc>
          <w:tcPr>
            <w:tcW w:w="640" w:type="dxa"/>
            <w:vAlign w:val="bottom"/>
          </w:tcPr>
          <w:p>
            <w:pPr>
              <w:spacing w:after="0"/>
              <w:rPr>
                <w:sz w:val="18"/>
                <w:szCs w:val="18"/>
                <w:color w:val="auto"/>
              </w:rPr>
            </w:pPr>
          </w:p>
        </w:tc>
        <w:tc>
          <w:tcPr>
            <w:tcW w:w="1560" w:type="dxa"/>
            <w:vAlign w:val="bottom"/>
          </w:tcPr>
          <w:p>
            <w:pPr>
              <w:jc w:val="right"/>
              <w:ind w:right="296"/>
              <w:spacing w:after="0"/>
              <w:rPr>
                <w:sz w:val="20"/>
                <w:szCs w:val="20"/>
                <w:color w:val="auto"/>
              </w:rPr>
            </w:pPr>
            <w:r>
              <w:rPr>
                <w:rFonts w:ascii="Arial" w:cs="Arial" w:eastAsia="Arial" w:hAnsi="Arial"/>
                <w:sz w:val="18"/>
                <w:szCs w:val="18"/>
                <w:color w:val="auto"/>
              </w:rPr>
              <w:t>263</w:t>
            </w:r>
          </w:p>
        </w:tc>
        <w:tc>
          <w:tcPr>
            <w:tcW w:w="500" w:type="dxa"/>
            <w:vAlign w:val="bottom"/>
          </w:tcPr>
          <w:p>
            <w:pPr>
              <w:spacing w:after="0"/>
              <w:rPr>
                <w:sz w:val="18"/>
                <w:szCs w:val="18"/>
                <w:color w:val="auto"/>
              </w:rPr>
            </w:pPr>
          </w:p>
        </w:tc>
        <w:tc>
          <w:tcPr>
            <w:tcW w:w="1040" w:type="dxa"/>
            <w:vAlign w:val="bottom"/>
          </w:tcPr>
          <w:p>
            <w:pPr>
              <w:jc w:val="right"/>
              <w:ind w:right="394"/>
              <w:spacing w:after="0"/>
              <w:rPr>
                <w:sz w:val="20"/>
                <w:szCs w:val="20"/>
                <w:color w:val="auto"/>
              </w:rPr>
            </w:pPr>
            <w:r>
              <w:rPr>
                <w:rFonts w:ascii="Arial" w:cs="Arial" w:eastAsia="Arial" w:hAnsi="Arial"/>
                <w:sz w:val="18"/>
                <w:szCs w:val="18"/>
                <w:color w:val="auto"/>
              </w:rPr>
              <w:t>66</w:t>
            </w:r>
          </w:p>
        </w:tc>
        <w:tc>
          <w:tcPr>
            <w:tcW w:w="1120" w:type="dxa"/>
            <w:vAlign w:val="bottom"/>
          </w:tcPr>
          <w:p>
            <w:pPr>
              <w:jc w:val="right"/>
              <w:ind w:right="297"/>
              <w:spacing w:after="0"/>
              <w:rPr>
                <w:sz w:val="20"/>
                <w:szCs w:val="20"/>
                <w:color w:val="auto"/>
              </w:rPr>
            </w:pPr>
            <w:r>
              <w:rPr>
                <w:rFonts w:ascii="Arial" w:cs="Arial" w:eastAsia="Arial" w:hAnsi="Arial"/>
                <w:sz w:val="18"/>
                <w:szCs w:val="18"/>
                <w:color w:val="auto"/>
              </w:rPr>
              <w:t>197</w:t>
            </w:r>
          </w:p>
        </w:tc>
        <w:tc>
          <w:tcPr>
            <w:tcW w:w="46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3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(b)</w:t>
            </w:r>
          </w:p>
        </w:tc>
        <w:tc>
          <w:tcPr>
            <w:tcW w:w="14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4</w:t>
            </w:r>
          </w:p>
        </w:tc>
        <w:tc>
          <w:tcPr>
            <w:tcW w:w="64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(140)</w:t>
            </w:r>
          </w:p>
        </w:tc>
        <w:tc>
          <w:tcPr>
            <w:tcW w:w="500" w:type="dxa"/>
            <w:vAlign w:val="bottom"/>
            <w:shd w:val="clear" w:color="auto" w:fill="E5E5E5"/>
          </w:tcPr>
          <w:p>
            <w:pPr>
              <w:spacing w:after="0"/>
              <w:rPr>
                <w:sz w:val="18"/>
                <w:szCs w:val="18"/>
                <w:color w:val="auto"/>
              </w:rPr>
            </w:pPr>
          </w:p>
        </w:tc>
        <w:tc>
          <w:tcPr>
            <w:tcW w:w="1040" w:type="dxa"/>
            <w:vAlign w:val="bottom"/>
            <w:shd w:val="clear" w:color="auto" w:fill="E5E5E5"/>
          </w:tcPr>
          <w:p>
            <w:pPr>
              <w:jc w:val="right"/>
              <w:ind w:right="394"/>
              <w:spacing w:after="0"/>
              <w:rPr>
                <w:sz w:val="20"/>
                <w:szCs w:val="20"/>
                <w:color w:val="auto"/>
              </w:rPr>
            </w:pPr>
            <w:r>
              <w:rPr>
                <w:rFonts w:ascii="Arial" w:cs="Arial" w:eastAsia="Arial" w:hAnsi="Arial"/>
                <w:sz w:val="18"/>
                <w:szCs w:val="18"/>
                <w:color w:val="auto"/>
              </w:rPr>
              <w:t>80</w:t>
            </w:r>
          </w:p>
        </w:tc>
        <w:tc>
          <w:tcPr>
            <w:tcW w:w="1120" w:type="dxa"/>
            <w:vAlign w:val="bottom"/>
            <w:shd w:val="clear" w:color="auto" w:fill="E5E5E5"/>
          </w:tcPr>
          <w:p>
            <w:pPr>
              <w:jc w:val="right"/>
              <w:ind w:right="237"/>
              <w:spacing w:after="0"/>
              <w:rPr>
                <w:sz w:val="20"/>
                <w:szCs w:val="20"/>
                <w:color w:val="auto"/>
              </w:rPr>
            </w:pPr>
            <w:r>
              <w:rPr>
                <w:rFonts w:ascii="Arial" w:cs="Arial" w:eastAsia="Arial" w:hAnsi="Arial"/>
                <w:sz w:val="18"/>
                <w:szCs w:val="18"/>
                <w:color w:val="auto"/>
              </w:rPr>
              <w:t>(220)</w:t>
            </w:r>
          </w:p>
        </w:tc>
        <w:tc>
          <w:tcPr>
            <w:tcW w:w="4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14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(104)</w:t>
            </w:r>
          </w:p>
        </w:tc>
        <w:tc>
          <w:tcPr>
            <w:tcW w:w="6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rPr>
              <w:t>(2)</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rPr>
              <w:t>(2)</w:t>
            </w:r>
          </w:p>
        </w:tc>
        <w:tc>
          <w:tcPr>
            <w:tcW w:w="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8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14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6,604</w:t>
            </w:r>
          </w:p>
        </w:tc>
        <w:tc>
          <w:tcPr>
            <w:tcW w:w="64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96"/>
              <w:spacing w:after="0"/>
              <w:rPr>
                <w:sz w:val="20"/>
                <w:szCs w:val="20"/>
                <w:color w:val="auto"/>
              </w:rPr>
            </w:pPr>
            <w:r>
              <w:rPr>
                <w:rFonts w:ascii="Arial" w:cs="Arial" w:eastAsia="Arial" w:hAnsi="Arial"/>
                <w:sz w:val="18"/>
                <w:szCs w:val="18"/>
                <w:color w:val="auto"/>
              </w:rPr>
              <w:t>1,494</w:t>
            </w:r>
          </w:p>
        </w:tc>
        <w:tc>
          <w:tcPr>
            <w:tcW w:w="500" w:type="dxa"/>
            <w:vAlign w:val="bottom"/>
            <w:shd w:val="clear" w:color="auto" w:fill="E5E5E5"/>
          </w:tcPr>
          <w:p>
            <w:pPr>
              <w:spacing w:after="0"/>
              <w:rPr>
                <w:sz w:val="18"/>
                <w:szCs w:val="18"/>
                <w:color w:val="auto"/>
              </w:rPr>
            </w:pPr>
          </w:p>
        </w:tc>
        <w:tc>
          <w:tcPr>
            <w:tcW w:w="1040" w:type="dxa"/>
            <w:vAlign w:val="bottom"/>
            <w:shd w:val="clear" w:color="auto" w:fill="E5E5E5"/>
          </w:tcPr>
          <w:p>
            <w:pPr>
              <w:jc w:val="right"/>
              <w:ind w:right="394"/>
              <w:spacing w:after="0"/>
              <w:rPr>
                <w:sz w:val="20"/>
                <w:szCs w:val="20"/>
                <w:color w:val="auto"/>
              </w:rPr>
            </w:pPr>
            <w:r>
              <w:rPr>
                <w:rFonts w:ascii="Arial" w:cs="Arial" w:eastAsia="Arial" w:hAnsi="Arial"/>
                <w:sz w:val="18"/>
                <w:szCs w:val="18"/>
                <w:color w:val="auto"/>
              </w:rPr>
              <w:t>364</w:t>
            </w:r>
          </w:p>
        </w:tc>
        <w:tc>
          <w:tcPr>
            <w:tcW w:w="112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1,130</w:t>
            </w:r>
          </w:p>
        </w:tc>
        <w:tc>
          <w:tcPr>
            <w:tcW w:w="4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Corporate and Other</w:t>
            </w:r>
          </w:p>
        </w:tc>
        <w:tc>
          <w:tcPr>
            <w:tcW w:w="1440" w:type="dxa"/>
            <w:vAlign w:val="bottom"/>
          </w:tcPr>
          <w:p>
            <w:pPr>
              <w:jc w:val="right"/>
              <w:ind w:right="154"/>
              <w:spacing w:after="0"/>
              <w:rPr>
                <w:sz w:val="20"/>
                <w:szCs w:val="20"/>
                <w:color w:val="auto"/>
              </w:rPr>
            </w:pPr>
            <w:r>
              <w:rPr>
                <w:rFonts w:ascii="Arial" w:cs="Arial" w:eastAsia="Arial" w:hAnsi="Arial"/>
                <w:sz w:val="18"/>
                <w:szCs w:val="18"/>
                <w:color w:val="auto"/>
              </w:rPr>
              <w:t>204</w:t>
            </w:r>
          </w:p>
        </w:tc>
        <w:tc>
          <w:tcPr>
            <w:tcW w:w="640" w:type="dxa"/>
            <w:vAlign w:val="bottom"/>
          </w:tcPr>
          <w:p>
            <w:pPr>
              <w:spacing w:after="0"/>
              <w:rPr>
                <w:sz w:val="18"/>
                <w:szCs w:val="18"/>
                <w:color w:val="auto"/>
              </w:rPr>
            </w:pPr>
          </w:p>
        </w:tc>
        <w:tc>
          <w:tcPr>
            <w:tcW w:w="1560" w:type="dxa"/>
            <w:vAlign w:val="bottom"/>
          </w:tcPr>
          <w:p>
            <w:pPr>
              <w:jc w:val="right"/>
              <w:ind w:right="236"/>
              <w:spacing w:after="0"/>
              <w:rPr>
                <w:sz w:val="20"/>
                <w:szCs w:val="20"/>
                <w:color w:val="auto"/>
              </w:rPr>
            </w:pPr>
            <w:r>
              <w:rPr>
                <w:rFonts w:ascii="Arial" w:cs="Arial" w:eastAsia="Arial" w:hAnsi="Arial"/>
                <w:sz w:val="18"/>
                <w:szCs w:val="18"/>
                <w:color w:val="auto"/>
              </w:rPr>
              <w:t>(225)</w:t>
            </w:r>
          </w:p>
        </w:tc>
        <w:tc>
          <w:tcPr>
            <w:tcW w:w="500" w:type="dxa"/>
            <w:vAlign w:val="bottom"/>
          </w:tcPr>
          <w:p>
            <w:pPr>
              <w:spacing w:after="0"/>
              <w:rPr>
                <w:sz w:val="18"/>
                <w:szCs w:val="18"/>
                <w:color w:val="auto"/>
              </w:rPr>
            </w:pPr>
          </w:p>
        </w:tc>
        <w:tc>
          <w:tcPr>
            <w:tcW w:w="1040" w:type="dxa"/>
            <w:vAlign w:val="bottom"/>
          </w:tcPr>
          <w:p>
            <w:pPr>
              <w:jc w:val="right"/>
              <w:ind w:right="394"/>
              <w:spacing w:after="0"/>
              <w:rPr>
                <w:sz w:val="20"/>
                <w:szCs w:val="20"/>
                <w:color w:val="auto"/>
              </w:rPr>
            </w:pPr>
            <w:r>
              <w:rPr>
                <w:rFonts w:ascii="Arial" w:cs="Arial" w:eastAsia="Arial" w:hAnsi="Arial"/>
                <w:sz w:val="18"/>
                <w:szCs w:val="18"/>
                <w:color w:val="auto"/>
              </w:rPr>
              <w:t>27</w:t>
            </w:r>
          </w:p>
        </w:tc>
        <w:tc>
          <w:tcPr>
            <w:tcW w:w="1120" w:type="dxa"/>
            <w:vAlign w:val="bottom"/>
          </w:tcPr>
          <w:p>
            <w:pPr>
              <w:jc w:val="right"/>
              <w:ind w:right="237"/>
              <w:spacing w:after="0"/>
              <w:rPr>
                <w:sz w:val="20"/>
                <w:szCs w:val="20"/>
                <w:color w:val="auto"/>
              </w:rPr>
            </w:pPr>
            <w:r>
              <w:rPr>
                <w:rFonts w:ascii="Arial" w:cs="Arial" w:eastAsia="Arial" w:hAnsi="Arial"/>
                <w:sz w:val="18"/>
                <w:szCs w:val="18"/>
                <w:color w:val="auto"/>
              </w:rPr>
              <w:t>(252)</w:t>
            </w:r>
          </w:p>
        </w:tc>
        <w:tc>
          <w:tcPr>
            <w:tcW w:w="46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144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(385)</w:t>
            </w:r>
          </w:p>
        </w:tc>
        <w:tc>
          <w:tcPr>
            <w:tcW w:w="640" w:type="dxa"/>
            <w:vAlign w:val="bottom"/>
            <w:tcBorders>
              <w:bottom w:val="single" w:sz="8" w:color="auto"/>
            </w:tcBorders>
            <w:shd w:val="clear" w:color="auto" w:fill="E5E5E5"/>
          </w:tcPr>
          <w:p>
            <w:pPr>
              <w:spacing w:after="0"/>
              <w:rPr>
                <w:sz w:val="18"/>
                <w:szCs w:val="18"/>
                <w:color w:val="auto"/>
              </w:rPr>
            </w:pPr>
          </w:p>
        </w:tc>
        <w:tc>
          <w:tcPr>
            <w:tcW w:w="1560" w:type="dxa"/>
            <w:vAlign w:val="bottom"/>
            <w:tcBorders>
              <w:bottom w:val="single" w:sz="8" w:color="auto"/>
            </w:tcBorders>
            <w:shd w:val="clear" w:color="auto" w:fill="E5E5E5"/>
          </w:tcPr>
          <w:p>
            <w:pPr>
              <w:jc w:val="right"/>
              <w:ind w:right="296"/>
              <w:spacing w:after="0"/>
              <w:rPr>
                <w:sz w:val="20"/>
                <w:szCs w:val="20"/>
                <w:color w:val="auto"/>
              </w:rPr>
            </w:pPr>
            <w:r>
              <w:rPr>
                <w:rFonts w:ascii="Arial" w:cs="Arial" w:eastAsia="Arial" w:hAnsi="Arial"/>
                <w:sz w:val="18"/>
                <w:szCs w:val="18"/>
                <w:color w:val="auto"/>
              </w:rPr>
              <w:t>13</w:t>
            </w:r>
          </w:p>
        </w:tc>
        <w:tc>
          <w:tcPr>
            <w:tcW w:w="500" w:type="dxa"/>
            <w:vAlign w:val="bottom"/>
            <w:tcBorders>
              <w:bottom w:val="single" w:sz="8" w:color="auto"/>
            </w:tcBorders>
            <w:shd w:val="clear" w:color="auto" w:fill="E5E5E5"/>
          </w:tcPr>
          <w:p>
            <w:pPr>
              <w:spacing w:after="0"/>
              <w:rPr>
                <w:sz w:val="18"/>
                <w:szCs w:val="18"/>
                <w:color w:val="auto"/>
              </w:rPr>
            </w:pPr>
          </w:p>
        </w:tc>
        <w:tc>
          <w:tcPr>
            <w:tcW w:w="1040" w:type="dxa"/>
            <w:vAlign w:val="bottom"/>
            <w:tcBorders>
              <w:bottom w:val="single" w:sz="8" w:color="auto"/>
            </w:tcBorders>
            <w:shd w:val="clear" w:color="auto" w:fill="E5E5E5"/>
          </w:tcPr>
          <w:p>
            <w:pPr>
              <w:jc w:val="right"/>
              <w:ind w:right="394"/>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E5E5E5"/>
          </w:tcPr>
          <w:p>
            <w:pPr>
              <w:jc w:val="right"/>
              <w:ind w:right="297"/>
              <w:spacing w:after="0"/>
              <w:rPr>
                <w:sz w:val="20"/>
                <w:szCs w:val="20"/>
                <w:color w:val="auto"/>
              </w:rPr>
            </w:pPr>
            <w:r>
              <w:rPr>
                <w:rFonts w:ascii="Arial" w:cs="Arial" w:eastAsia="Arial" w:hAnsi="Arial"/>
                <w:sz w:val="18"/>
                <w:szCs w:val="18"/>
                <w:color w:val="auto"/>
              </w:rPr>
              <w:t>13</w:t>
            </w:r>
          </w:p>
        </w:tc>
        <w:tc>
          <w:tcPr>
            <w:tcW w:w="4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Comcast Consolidated</w:t>
            </w:r>
          </w:p>
        </w:tc>
        <w:tc>
          <w:tcPr>
            <w:tcW w:w="14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$ 17,853</w:t>
            </w: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b w:val="1"/>
                <w:bCs w:val="1"/>
                <w:color w:val="auto"/>
              </w:rPr>
              <w:t>5,956</w:t>
            </w:r>
          </w:p>
        </w:tc>
        <w:tc>
          <w:tcPr>
            <w:tcW w:w="5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b w:val="1"/>
                <w:bCs w:val="1"/>
                <w:color w:val="auto"/>
              </w:rPr>
              <w:t>2,066</w:t>
            </w:r>
          </w:p>
        </w:tc>
        <w:tc>
          <w:tcPr>
            <w:tcW w:w="1120" w:type="dxa"/>
            <w:vAlign w:val="bottom"/>
            <w:tcBorders>
              <w:bottom w:val="single" w:sz="8" w:color="auto"/>
            </w:tcBorders>
          </w:tcPr>
          <w:p>
            <w:pPr>
              <w:jc w:val="right"/>
              <w:ind w:right="297"/>
              <w:spacing w:after="0"/>
              <w:rPr>
                <w:sz w:val="20"/>
                <w:szCs w:val="20"/>
                <w:color w:val="auto"/>
              </w:rPr>
            </w:pPr>
            <w:r>
              <w:rPr>
                <w:rFonts w:ascii="Arial" w:cs="Arial" w:eastAsia="Arial" w:hAnsi="Arial"/>
                <w:sz w:val="18"/>
                <w:szCs w:val="18"/>
                <w:b w:val="1"/>
                <w:bCs w:val="1"/>
                <w:color w:val="auto"/>
              </w:rPr>
              <w:t>$ 3,890</w:t>
            </w:r>
          </w:p>
        </w:tc>
        <w:tc>
          <w:tcPr>
            <w:tcW w:w="4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1,726</w:t>
            </w:r>
          </w:p>
        </w:tc>
        <w:tc>
          <w:tcPr>
            <w:tcW w:w="0" w:type="dxa"/>
            <w:vAlign w:val="bottom"/>
          </w:tcPr>
          <w:p>
            <w:pPr>
              <w:spacing w:after="0"/>
              <w:rPr>
                <w:sz w:val="1"/>
                <w:szCs w:val="1"/>
                <w:color w:val="auto"/>
              </w:rPr>
            </w:pPr>
          </w:p>
        </w:tc>
      </w:tr>
      <w:tr>
        <w:trPr>
          <w:trHeight w:val="363"/>
        </w:trPr>
        <w:tc>
          <w:tcPr>
            <w:tcW w:w="3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13</w:t>
            </w: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color w:val="auto"/>
              </w:rPr>
              <w:t>Three Months Ended March 31, 2014</w:t>
            </w:r>
          </w:p>
        </w:tc>
        <w:tc>
          <w:tcPr>
            <w:tcW w:w="1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9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060" w:type="dxa"/>
            <w:vAlign w:val="bottom"/>
            <w:gridSpan w:val="2"/>
          </w:tcPr>
          <w:p>
            <w:pPr>
              <w:ind w:left="320"/>
              <w:spacing w:after="0" w:line="131" w:lineRule="exact"/>
              <w:rPr>
                <w:sz w:val="20"/>
                <w:szCs w:val="20"/>
                <w:color w:val="auto"/>
              </w:rPr>
            </w:pPr>
            <w:r>
              <w:rPr>
                <w:rFonts w:ascii="Arial" w:cs="Arial" w:eastAsia="Arial" w:hAnsi="Arial"/>
                <w:sz w:val="14"/>
                <w:szCs w:val="14"/>
                <w:color w:val="auto"/>
              </w:rPr>
              <w:t>Operating Income (Loss)</w:t>
            </w:r>
          </w:p>
        </w:tc>
        <w:tc>
          <w:tcPr>
            <w:tcW w:w="1540" w:type="dxa"/>
            <w:vAlign w:val="bottom"/>
            <w:gridSpan w:val="2"/>
          </w:tcPr>
          <w:p>
            <w:pPr>
              <w:ind w:left="340"/>
              <w:spacing w:after="0" w:line="131" w:lineRule="exact"/>
              <w:rPr>
                <w:sz w:val="20"/>
                <w:szCs w:val="20"/>
                <w:color w:val="auto"/>
              </w:rPr>
            </w:pPr>
            <w:r>
              <w:rPr>
                <w:rFonts w:ascii="Arial" w:cs="Arial" w:eastAsia="Arial" w:hAnsi="Arial"/>
                <w:sz w:val="14"/>
                <w:szCs w:val="14"/>
                <w:color w:val="auto"/>
              </w:rPr>
              <w:t>Depreciation</w:t>
            </w:r>
          </w:p>
        </w:tc>
        <w:tc>
          <w:tcPr>
            <w:tcW w:w="1120" w:type="dxa"/>
            <w:vAlign w:val="bottom"/>
          </w:tcPr>
          <w:p>
            <w:pPr>
              <w:jc w:val="center"/>
              <w:ind w:right="97"/>
              <w:spacing w:after="0" w:line="131" w:lineRule="exact"/>
              <w:rPr>
                <w:sz w:val="20"/>
                <w:szCs w:val="20"/>
                <w:color w:val="auto"/>
              </w:rPr>
            </w:pPr>
            <w:r>
              <w:rPr>
                <w:rFonts w:ascii="Arial" w:cs="Arial" w:eastAsia="Arial" w:hAnsi="Arial"/>
                <w:sz w:val="14"/>
                <w:szCs w:val="14"/>
                <w:color w:val="auto"/>
                <w:w w:val="87"/>
              </w:rPr>
              <w:t>Operating</w:t>
            </w: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980" w:type="dxa"/>
            <w:vAlign w:val="bottom"/>
          </w:tcPr>
          <w:p>
            <w:pPr>
              <w:spacing w:after="0"/>
              <w:rPr>
                <w:sz w:val="11"/>
                <w:szCs w:val="11"/>
                <w:color w:val="auto"/>
              </w:rPr>
            </w:pPr>
          </w:p>
        </w:tc>
        <w:tc>
          <w:tcPr>
            <w:tcW w:w="1580" w:type="dxa"/>
            <w:vAlign w:val="bottom"/>
            <w:vMerge w:val="restart"/>
          </w:tcPr>
          <w:p>
            <w:pPr>
              <w:jc w:val="right"/>
              <w:ind w:right="294"/>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(d)</w:t>
            </w:r>
          </w:p>
        </w:tc>
        <w:tc>
          <w:tcPr>
            <w:tcW w:w="2060" w:type="dxa"/>
            <w:vAlign w:val="bottom"/>
            <w:gridSpan w:val="2"/>
          </w:tcPr>
          <w:p>
            <w:pPr>
              <w:ind w:left="340"/>
              <w:spacing w:after="0" w:line="133" w:lineRule="exact"/>
              <w:rPr>
                <w:sz w:val="20"/>
                <w:szCs w:val="20"/>
                <w:color w:val="auto"/>
              </w:rPr>
            </w:pPr>
            <w:r>
              <w:rPr>
                <w:rFonts w:ascii="Arial" w:cs="Arial" w:eastAsia="Arial" w:hAnsi="Arial"/>
                <w:sz w:val="14"/>
                <w:szCs w:val="14"/>
                <w:color w:val="auto"/>
              </w:rPr>
              <w:t>Before Depreciation and</w:t>
            </w:r>
          </w:p>
        </w:tc>
        <w:tc>
          <w:tcPr>
            <w:tcW w:w="500" w:type="dxa"/>
            <w:vAlign w:val="bottom"/>
          </w:tcPr>
          <w:p>
            <w:pPr>
              <w:spacing w:after="0"/>
              <w:rPr>
                <w:sz w:val="11"/>
                <w:szCs w:val="11"/>
                <w:color w:val="auto"/>
              </w:rPr>
            </w:pPr>
          </w:p>
        </w:tc>
        <w:tc>
          <w:tcPr>
            <w:tcW w:w="1040" w:type="dxa"/>
            <w:vAlign w:val="bottom"/>
          </w:tcPr>
          <w:p>
            <w:pPr>
              <w:jc w:val="right"/>
              <w:ind w:right="654"/>
              <w:spacing w:after="0" w:line="133" w:lineRule="exact"/>
              <w:rPr>
                <w:sz w:val="20"/>
                <w:szCs w:val="20"/>
                <w:color w:val="auto"/>
              </w:rPr>
            </w:pPr>
            <w:r>
              <w:rPr>
                <w:rFonts w:ascii="Arial" w:cs="Arial" w:eastAsia="Arial" w:hAnsi="Arial"/>
                <w:sz w:val="14"/>
                <w:szCs w:val="14"/>
                <w:color w:val="auto"/>
              </w:rPr>
              <w:t>and</w:t>
            </w:r>
          </w:p>
        </w:tc>
        <w:tc>
          <w:tcPr>
            <w:tcW w:w="1120" w:type="dxa"/>
            <w:vAlign w:val="bottom"/>
          </w:tcPr>
          <w:p>
            <w:pPr>
              <w:jc w:val="center"/>
              <w:ind w:right="77"/>
              <w:spacing w:after="0" w:line="133" w:lineRule="exact"/>
              <w:rPr>
                <w:sz w:val="20"/>
                <w:szCs w:val="20"/>
                <w:color w:val="auto"/>
              </w:rPr>
            </w:pPr>
            <w:r>
              <w:rPr>
                <w:rFonts w:ascii="Arial" w:cs="Arial" w:eastAsia="Arial" w:hAnsi="Arial"/>
                <w:sz w:val="14"/>
                <w:szCs w:val="14"/>
                <w:color w:val="auto"/>
                <w:w w:val="87"/>
              </w:rPr>
              <w:t>Income</w:t>
            </w:r>
          </w:p>
        </w:tc>
        <w:tc>
          <w:tcPr>
            <w:tcW w:w="460" w:type="dxa"/>
            <w:vAlign w:val="bottom"/>
          </w:tcPr>
          <w:p>
            <w:pPr>
              <w:spacing w:after="0"/>
              <w:rPr>
                <w:sz w:val="11"/>
                <w:szCs w:val="11"/>
                <w:color w:val="auto"/>
              </w:rPr>
            </w:pPr>
          </w:p>
        </w:tc>
        <w:tc>
          <w:tcPr>
            <w:tcW w:w="680" w:type="dxa"/>
            <w:vAlign w:val="bottom"/>
          </w:tcPr>
          <w:p>
            <w:pPr>
              <w:jc w:val="right"/>
              <w:ind w:right="174"/>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58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556"/>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(e)</w:t>
            </w:r>
          </w:p>
        </w:tc>
        <w:tc>
          <w:tcPr>
            <w:tcW w:w="154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color w:val="auto"/>
              </w:rPr>
              <w:t>Amortization</w:t>
            </w:r>
          </w:p>
        </w:tc>
        <w:tc>
          <w:tcPr>
            <w:tcW w:w="11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color w:val="auto"/>
                <w:w w:val="87"/>
              </w:rPr>
              <w:t>(Loss)</w:t>
            </w:r>
          </w:p>
        </w:tc>
        <w:tc>
          <w:tcPr>
            <w:tcW w:w="114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3980" w:type="dxa"/>
            <w:vAlign w:val="bottom"/>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1580" w:type="dxa"/>
            <w:vAlign w:val="bottom"/>
            <w:shd w:val="clear" w:color="auto" w:fill="E5E5E5"/>
          </w:tcPr>
          <w:p>
            <w:pPr>
              <w:jc w:val="right"/>
              <w:ind w:right="294"/>
              <w:spacing w:after="0"/>
              <w:rPr>
                <w:sz w:val="20"/>
                <w:szCs w:val="20"/>
                <w:color w:val="auto"/>
              </w:rPr>
            </w:pPr>
            <w:r>
              <w:rPr>
                <w:rFonts w:ascii="Arial" w:cs="Arial" w:eastAsia="Arial" w:hAnsi="Arial"/>
                <w:sz w:val="18"/>
                <w:szCs w:val="18"/>
                <w:color w:val="auto"/>
              </w:rPr>
              <w:t>$ 10,757</w:t>
            </w:r>
          </w:p>
        </w:tc>
        <w:tc>
          <w:tcPr>
            <w:tcW w:w="50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E5E5E5"/>
          </w:tcPr>
          <w:p>
            <w:pPr>
              <w:jc w:val="right"/>
              <w:ind w:right="296"/>
              <w:spacing w:after="0"/>
              <w:rPr>
                <w:sz w:val="20"/>
                <w:szCs w:val="20"/>
                <w:color w:val="auto"/>
              </w:rPr>
            </w:pPr>
            <w:r>
              <w:rPr>
                <w:rFonts w:ascii="Arial" w:cs="Arial" w:eastAsia="Arial" w:hAnsi="Arial"/>
                <w:sz w:val="18"/>
                <w:szCs w:val="18"/>
                <w:color w:val="auto"/>
              </w:rPr>
              <w:t>4,400</w:t>
            </w:r>
          </w:p>
        </w:tc>
        <w:tc>
          <w:tcPr>
            <w:tcW w:w="50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394"/>
              <w:spacing w:after="0"/>
              <w:rPr>
                <w:sz w:val="20"/>
                <w:szCs w:val="20"/>
                <w:color w:val="auto"/>
              </w:rPr>
            </w:pPr>
            <w:r>
              <w:rPr>
                <w:rFonts w:ascii="Arial" w:cs="Arial" w:eastAsia="Arial" w:hAnsi="Arial"/>
                <w:sz w:val="18"/>
                <w:szCs w:val="18"/>
                <w:color w:val="auto"/>
              </w:rPr>
              <w:t>1,584</w:t>
            </w:r>
          </w:p>
        </w:tc>
        <w:tc>
          <w:tcPr>
            <w:tcW w:w="112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$ 2,816</w:t>
            </w:r>
          </w:p>
        </w:tc>
        <w:tc>
          <w:tcPr>
            <w:tcW w:w="46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NBCUniversal</w:t>
            </w: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1580" w:type="dxa"/>
            <w:vAlign w:val="bottom"/>
            <w:shd w:val="clear" w:color="auto" w:fill="E5E5E5"/>
          </w:tcPr>
          <w:p>
            <w:pPr>
              <w:jc w:val="right"/>
              <w:ind w:right="294"/>
              <w:spacing w:after="0"/>
              <w:rPr>
                <w:sz w:val="20"/>
                <w:szCs w:val="20"/>
                <w:color w:val="auto"/>
              </w:rPr>
            </w:pPr>
            <w:r>
              <w:rPr>
                <w:rFonts w:ascii="Arial" w:cs="Arial" w:eastAsia="Arial" w:hAnsi="Arial"/>
                <w:sz w:val="18"/>
                <w:szCs w:val="18"/>
                <w:color w:val="auto"/>
              </w:rPr>
              <w:t>2,505</w:t>
            </w:r>
          </w:p>
        </w:tc>
        <w:tc>
          <w:tcPr>
            <w:tcW w:w="50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96"/>
              <w:spacing w:after="0"/>
              <w:rPr>
                <w:sz w:val="20"/>
                <w:szCs w:val="20"/>
                <w:color w:val="auto"/>
              </w:rPr>
            </w:pPr>
            <w:r>
              <w:rPr>
                <w:rFonts w:ascii="Arial" w:cs="Arial" w:eastAsia="Arial" w:hAnsi="Arial"/>
                <w:sz w:val="18"/>
                <w:szCs w:val="18"/>
                <w:color w:val="auto"/>
              </w:rPr>
              <w:t>895</w:t>
            </w:r>
          </w:p>
        </w:tc>
        <w:tc>
          <w:tcPr>
            <w:tcW w:w="500" w:type="dxa"/>
            <w:vAlign w:val="bottom"/>
            <w:shd w:val="clear" w:color="auto" w:fill="E5E5E5"/>
          </w:tcPr>
          <w:p>
            <w:pPr>
              <w:spacing w:after="0"/>
              <w:rPr>
                <w:sz w:val="18"/>
                <w:szCs w:val="18"/>
                <w:color w:val="auto"/>
              </w:rPr>
            </w:pPr>
          </w:p>
        </w:tc>
        <w:tc>
          <w:tcPr>
            <w:tcW w:w="1040" w:type="dxa"/>
            <w:vAlign w:val="bottom"/>
            <w:shd w:val="clear" w:color="auto" w:fill="E5E5E5"/>
          </w:tcPr>
          <w:p>
            <w:pPr>
              <w:jc w:val="right"/>
              <w:ind w:right="394"/>
              <w:spacing w:after="0"/>
              <w:rPr>
                <w:sz w:val="20"/>
                <w:szCs w:val="20"/>
                <w:color w:val="auto"/>
              </w:rPr>
            </w:pPr>
            <w:r>
              <w:rPr>
                <w:rFonts w:ascii="Arial" w:cs="Arial" w:eastAsia="Arial" w:hAnsi="Arial"/>
                <w:sz w:val="18"/>
                <w:szCs w:val="18"/>
                <w:color w:val="auto"/>
              </w:rPr>
              <w:t>189</w:t>
            </w:r>
          </w:p>
        </w:tc>
        <w:tc>
          <w:tcPr>
            <w:tcW w:w="112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706</w:t>
            </w:r>
          </w:p>
        </w:tc>
        <w:tc>
          <w:tcPr>
            <w:tcW w:w="4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1580" w:type="dxa"/>
            <w:vAlign w:val="bottom"/>
          </w:tcPr>
          <w:p>
            <w:pPr>
              <w:jc w:val="right"/>
              <w:ind w:right="294"/>
              <w:spacing w:after="0"/>
              <w:rPr>
                <w:sz w:val="20"/>
                <w:szCs w:val="20"/>
                <w:color w:val="auto"/>
              </w:rPr>
            </w:pPr>
            <w:r>
              <w:rPr>
                <w:rFonts w:ascii="Arial" w:cs="Arial" w:eastAsia="Arial" w:hAnsi="Arial"/>
                <w:sz w:val="18"/>
                <w:szCs w:val="18"/>
                <w:color w:val="auto"/>
              </w:rPr>
              <w:t>2,621</w:t>
            </w:r>
          </w:p>
        </w:tc>
        <w:tc>
          <w:tcPr>
            <w:tcW w:w="500" w:type="dxa"/>
            <w:vAlign w:val="bottom"/>
          </w:tcPr>
          <w:p>
            <w:pPr>
              <w:spacing w:after="0"/>
              <w:rPr>
                <w:sz w:val="18"/>
                <w:szCs w:val="18"/>
                <w:color w:val="auto"/>
              </w:rPr>
            </w:pPr>
          </w:p>
        </w:tc>
        <w:tc>
          <w:tcPr>
            <w:tcW w:w="1560" w:type="dxa"/>
            <w:vAlign w:val="bottom"/>
          </w:tcPr>
          <w:p>
            <w:pPr>
              <w:jc w:val="right"/>
              <w:ind w:right="296"/>
              <w:spacing w:after="0"/>
              <w:rPr>
                <w:sz w:val="20"/>
                <w:szCs w:val="20"/>
                <w:color w:val="auto"/>
              </w:rPr>
            </w:pPr>
            <w:r>
              <w:rPr>
                <w:rFonts w:ascii="Arial" w:cs="Arial" w:eastAsia="Arial" w:hAnsi="Arial"/>
                <w:sz w:val="18"/>
                <w:szCs w:val="18"/>
                <w:color w:val="auto"/>
              </w:rPr>
              <w:t>122</w:t>
            </w:r>
          </w:p>
        </w:tc>
        <w:tc>
          <w:tcPr>
            <w:tcW w:w="500" w:type="dxa"/>
            <w:vAlign w:val="bottom"/>
          </w:tcPr>
          <w:p>
            <w:pPr>
              <w:spacing w:after="0"/>
              <w:rPr>
                <w:sz w:val="18"/>
                <w:szCs w:val="18"/>
                <w:color w:val="auto"/>
              </w:rPr>
            </w:pPr>
          </w:p>
        </w:tc>
        <w:tc>
          <w:tcPr>
            <w:tcW w:w="1040" w:type="dxa"/>
            <w:vAlign w:val="bottom"/>
          </w:tcPr>
          <w:p>
            <w:pPr>
              <w:jc w:val="right"/>
              <w:ind w:right="394"/>
              <w:spacing w:after="0"/>
              <w:rPr>
                <w:sz w:val="20"/>
                <w:szCs w:val="20"/>
                <w:color w:val="auto"/>
              </w:rPr>
            </w:pPr>
            <w:r>
              <w:rPr>
                <w:rFonts w:ascii="Arial" w:cs="Arial" w:eastAsia="Arial" w:hAnsi="Arial"/>
                <w:sz w:val="18"/>
                <w:szCs w:val="18"/>
                <w:color w:val="auto"/>
              </w:rPr>
              <w:t>27</w:t>
            </w:r>
          </w:p>
        </w:tc>
        <w:tc>
          <w:tcPr>
            <w:tcW w:w="1120" w:type="dxa"/>
            <w:vAlign w:val="bottom"/>
          </w:tcPr>
          <w:p>
            <w:pPr>
              <w:jc w:val="right"/>
              <w:ind w:right="297"/>
              <w:spacing w:after="0"/>
              <w:rPr>
                <w:sz w:val="20"/>
                <w:szCs w:val="20"/>
                <w:color w:val="auto"/>
              </w:rPr>
            </w:pPr>
            <w:r>
              <w:rPr>
                <w:rFonts w:ascii="Arial" w:cs="Arial" w:eastAsia="Arial" w:hAnsi="Arial"/>
                <w:sz w:val="18"/>
                <w:szCs w:val="18"/>
                <w:color w:val="auto"/>
              </w:rPr>
              <w:t>95</w:t>
            </w:r>
          </w:p>
        </w:tc>
        <w:tc>
          <w:tcPr>
            <w:tcW w:w="46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1580" w:type="dxa"/>
            <w:vAlign w:val="bottom"/>
            <w:shd w:val="clear" w:color="auto" w:fill="E5E5E5"/>
          </w:tcPr>
          <w:p>
            <w:pPr>
              <w:jc w:val="right"/>
              <w:ind w:right="294"/>
              <w:spacing w:after="0"/>
              <w:rPr>
                <w:sz w:val="20"/>
                <w:szCs w:val="20"/>
                <w:color w:val="auto"/>
              </w:rPr>
            </w:pPr>
            <w:r>
              <w:rPr>
                <w:rFonts w:ascii="Arial" w:cs="Arial" w:eastAsia="Arial" w:hAnsi="Arial"/>
                <w:sz w:val="18"/>
                <w:szCs w:val="18"/>
                <w:color w:val="auto"/>
              </w:rPr>
              <w:t>1,351</w:t>
            </w:r>
          </w:p>
        </w:tc>
        <w:tc>
          <w:tcPr>
            <w:tcW w:w="50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96"/>
              <w:spacing w:after="0"/>
              <w:rPr>
                <w:sz w:val="20"/>
                <w:szCs w:val="20"/>
                <w:color w:val="auto"/>
              </w:rPr>
            </w:pPr>
            <w:r>
              <w:rPr>
                <w:rFonts w:ascii="Arial" w:cs="Arial" w:eastAsia="Arial" w:hAnsi="Arial"/>
                <w:sz w:val="18"/>
                <w:szCs w:val="18"/>
                <w:color w:val="auto"/>
              </w:rPr>
              <w:t>288</w:t>
            </w:r>
          </w:p>
        </w:tc>
        <w:tc>
          <w:tcPr>
            <w:tcW w:w="500" w:type="dxa"/>
            <w:vAlign w:val="bottom"/>
            <w:shd w:val="clear" w:color="auto" w:fill="E5E5E5"/>
          </w:tcPr>
          <w:p>
            <w:pPr>
              <w:spacing w:after="0"/>
              <w:rPr>
                <w:sz w:val="18"/>
                <w:szCs w:val="18"/>
                <w:color w:val="auto"/>
              </w:rPr>
            </w:pPr>
          </w:p>
        </w:tc>
        <w:tc>
          <w:tcPr>
            <w:tcW w:w="1040" w:type="dxa"/>
            <w:vAlign w:val="bottom"/>
            <w:shd w:val="clear" w:color="auto" w:fill="E5E5E5"/>
          </w:tcPr>
          <w:p>
            <w:pPr>
              <w:jc w:val="right"/>
              <w:ind w:right="394"/>
              <w:spacing w:after="0"/>
              <w:rPr>
                <w:sz w:val="20"/>
                <w:szCs w:val="20"/>
                <w:color w:val="auto"/>
              </w:rPr>
            </w:pPr>
            <w:r>
              <w:rPr>
                <w:rFonts w:ascii="Arial" w:cs="Arial" w:eastAsia="Arial" w:hAnsi="Arial"/>
                <w:sz w:val="18"/>
                <w:szCs w:val="18"/>
                <w:color w:val="auto"/>
              </w:rPr>
              <w:t>5</w:t>
            </w:r>
          </w:p>
        </w:tc>
        <w:tc>
          <w:tcPr>
            <w:tcW w:w="112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283</w:t>
            </w:r>
          </w:p>
        </w:tc>
        <w:tc>
          <w:tcPr>
            <w:tcW w:w="4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1580" w:type="dxa"/>
            <w:vAlign w:val="bottom"/>
          </w:tcPr>
          <w:p>
            <w:pPr>
              <w:jc w:val="right"/>
              <w:ind w:right="294"/>
              <w:spacing w:after="0"/>
              <w:rPr>
                <w:sz w:val="20"/>
                <w:szCs w:val="20"/>
                <w:color w:val="auto"/>
              </w:rPr>
            </w:pPr>
            <w:r>
              <w:rPr>
                <w:rFonts w:ascii="Arial" w:cs="Arial" w:eastAsia="Arial" w:hAnsi="Arial"/>
                <w:sz w:val="18"/>
                <w:szCs w:val="18"/>
                <w:color w:val="auto"/>
              </w:rPr>
              <w:t>487</w:t>
            </w:r>
          </w:p>
        </w:tc>
        <w:tc>
          <w:tcPr>
            <w:tcW w:w="500" w:type="dxa"/>
            <w:vAlign w:val="bottom"/>
          </w:tcPr>
          <w:p>
            <w:pPr>
              <w:spacing w:after="0"/>
              <w:rPr>
                <w:sz w:val="18"/>
                <w:szCs w:val="18"/>
                <w:color w:val="auto"/>
              </w:rPr>
            </w:pPr>
          </w:p>
        </w:tc>
        <w:tc>
          <w:tcPr>
            <w:tcW w:w="1560" w:type="dxa"/>
            <w:vAlign w:val="bottom"/>
          </w:tcPr>
          <w:p>
            <w:pPr>
              <w:jc w:val="right"/>
              <w:ind w:right="296"/>
              <w:spacing w:after="0"/>
              <w:rPr>
                <w:sz w:val="20"/>
                <w:szCs w:val="20"/>
                <w:color w:val="auto"/>
              </w:rPr>
            </w:pPr>
            <w:r>
              <w:rPr>
                <w:rFonts w:ascii="Arial" w:cs="Arial" w:eastAsia="Arial" w:hAnsi="Arial"/>
                <w:sz w:val="18"/>
                <w:szCs w:val="18"/>
                <w:color w:val="auto"/>
              </w:rPr>
              <w:t>170</w:t>
            </w:r>
          </w:p>
        </w:tc>
        <w:tc>
          <w:tcPr>
            <w:tcW w:w="500" w:type="dxa"/>
            <w:vAlign w:val="bottom"/>
          </w:tcPr>
          <w:p>
            <w:pPr>
              <w:spacing w:after="0"/>
              <w:rPr>
                <w:sz w:val="18"/>
                <w:szCs w:val="18"/>
                <w:color w:val="auto"/>
              </w:rPr>
            </w:pPr>
          </w:p>
        </w:tc>
        <w:tc>
          <w:tcPr>
            <w:tcW w:w="1040" w:type="dxa"/>
            <w:vAlign w:val="bottom"/>
          </w:tcPr>
          <w:p>
            <w:pPr>
              <w:jc w:val="right"/>
              <w:ind w:right="394"/>
              <w:spacing w:after="0"/>
              <w:rPr>
                <w:sz w:val="20"/>
                <w:szCs w:val="20"/>
                <w:color w:val="auto"/>
              </w:rPr>
            </w:pPr>
            <w:r>
              <w:rPr>
                <w:rFonts w:ascii="Arial" w:cs="Arial" w:eastAsia="Arial" w:hAnsi="Arial"/>
                <w:sz w:val="18"/>
                <w:szCs w:val="18"/>
                <w:color w:val="auto"/>
              </w:rPr>
              <w:t>69</w:t>
            </w:r>
          </w:p>
        </w:tc>
        <w:tc>
          <w:tcPr>
            <w:tcW w:w="1120" w:type="dxa"/>
            <w:vAlign w:val="bottom"/>
          </w:tcPr>
          <w:p>
            <w:pPr>
              <w:jc w:val="right"/>
              <w:ind w:right="297"/>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3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(b)</w:t>
            </w:r>
          </w:p>
        </w:tc>
        <w:tc>
          <w:tcPr>
            <w:tcW w:w="1580" w:type="dxa"/>
            <w:vAlign w:val="bottom"/>
            <w:shd w:val="clear" w:color="auto" w:fill="E5E5E5"/>
          </w:tcPr>
          <w:p>
            <w:pPr>
              <w:jc w:val="right"/>
              <w:ind w:right="294"/>
              <w:spacing w:after="0"/>
              <w:rPr>
                <w:sz w:val="20"/>
                <w:szCs w:val="20"/>
                <w:color w:val="auto"/>
              </w:rPr>
            </w:pPr>
            <w:r>
              <w:rPr>
                <w:rFonts w:ascii="Arial" w:cs="Arial" w:eastAsia="Arial" w:hAnsi="Arial"/>
                <w:sz w:val="18"/>
                <w:szCs w:val="18"/>
                <w:color w:val="auto"/>
              </w:rPr>
              <w:t>2</w:t>
            </w:r>
          </w:p>
        </w:tc>
        <w:tc>
          <w:tcPr>
            <w:tcW w:w="50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(163)</w:t>
            </w:r>
          </w:p>
        </w:tc>
        <w:tc>
          <w:tcPr>
            <w:tcW w:w="500" w:type="dxa"/>
            <w:vAlign w:val="bottom"/>
            <w:shd w:val="clear" w:color="auto" w:fill="E5E5E5"/>
          </w:tcPr>
          <w:p>
            <w:pPr>
              <w:spacing w:after="0"/>
              <w:rPr>
                <w:sz w:val="18"/>
                <w:szCs w:val="18"/>
                <w:color w:val="auto"/>
              </w:rPr>
            </w:pPr>
          </w:p>
        </w:tc>
        <w:tc>
          <w:tcPr>
            <w:tcW w:w="1040" w:type="dxa"/>
            <w:vAlign w:val="bottom"/>
            <w:shd w:val="clear" w:color="auto" w:fill="E5E5E5"/>
          </w:tcPr>
          <w:p>
            <w:pPr>
              <w:jc w:val="right"/>
              <w:ind w:right="394"/>
              <w:spacing w:after="0"/>
              <w:rPr>
                <w:sz w:val="20"/>
                <w:szCs w:val="20"/>
                <w:color w:val="auto"/>
              </w:rPr>
            </w:pPr>
            <w:r>
              <w:rPr>
                <w:rFonts w:ascii="Arial" w:cs="Arial" w:eastAsia="Arial" w:hAnsi="Arial"/>
                <w:sz w:val="18"/>
                <w:szCs w:val="18"/>
                <w:color w:val="auto"/>
              </w:rPr>
              <w:t>75</w:t>
            </w:r>
          </w:p>
        </w:tc>
        <w:tc>
          <w:tcPr>
            <w:tcW w:w="1120" w:type="dxa"/>
            <w:vAlign w:val="bottom"/>
            <w:shd w:val="clear" w:color="auto" w:fill="E5E5E5"/>
          </w:tcPr>
          <w:p>
            <w:pPr>
              <w:jc w:val="right"/>
              <w:ind w:right="237"/>
              <w:spacing w:after="0"/>
              <w:rPr>
                <w:sz w:val="20"/>
                <w:szCs w:val="20"/>
                <w:color w:val="auto"/>
              </w:rPr>
            </w:pPr>
            <w:r>
              <w:rPr>
                <w:rFonts w:ascii="Arial" w:cs="Arial" w:eastAsia="Arial" w:hAnsi="Arial"/>
                <w:sz w:val="18"/>
                <w:szCs w:val="18"/>
                <w:color w:val="auto"/>
              </w:rPr>
              <w:t>(238)</w:t>
            </w:r>
          </w:p>
        </w:tc>
        <w:tc>
          <w:tcPr>
            <w:tcW w:w="4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158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(90)</w:t>
            </w:r>
          </w:p>
        </w:tc>
        <w:tc>
          <w:tcPr>
            <w:tcW w:w="5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rPr>
              <w:t>(1)</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8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1580" w:type="dxa"/>
            <w:vAlign w:val="bottom"/>
            <w:shd w:val="clear" w:color="auto" w:fill="E5E5E5"/>
          </w:tcPr>
          <w:p>
            <w:pPr>
              <w:jc w:val="right"/>
              <w:ind w:right="294"/>
              <w:spacing w:after="0"/>
              <w:rPr>
                <w:sz w:val="20"/>
                <w:szCs w:val="20"/>
                <w:color w:val="auto"/>
              </w:rPr>
            </w:pPr>
            <w:r>
              <w:rPr>
                <w:rFonts w:ascii="Arial" w:cs="Arial" w:eastAsia="Arial" w:hAnsi="Arial"/>
                <w:sz w:val="18"/>
                <w:szCs w:val="18"/>
                <w:color w:val="auto"/>
              </w:rPr>
              <w:t>6,876</w:t>
            </w:r>
          </w:p>
        </w:tc>
        <w:tc>
          <w:tcPr>
            <w:tcW w:w="50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96"/>
              <w:spacing w:after="0"/>
              <w:rPr>
                <w:sz w:val="20"/>
                <w:szCs w:val="20"/>
                <w:color w:val="auto"/>
              </w:rPr>
            </w:pPr>
            <w:r>
              <w:rPr>
                <w:rFonts w:ascii="Arial" w:cs="Arial" w:eastAsia="Arial" w:hAnsi="Arial"/>
                <w:sz w:val="18"/>
                <w:szCs w:val="18"/>
                <w:color w:val="auto"/>
              </w:rPr>
              <w:t>1,311</w:t>
            </w:r>
          </w:p>
        </w:tc>
        <w:tc>
          <w:tcPr>
            <w:tcW w:w="500" w:type="dxa"/>
            <w:vAlign w:val="bottom"/>
            <w:shd w:val="clear" w:color="auto" w:fill="E5E5E5"/>
          </w:tcPr>
          <w:p>
            <w:pPr>
              <w:spacing w:after="0"/>
              <w:rPr>
                <w:sz w:val="18"/>
                <w:szCs w:val="18"/>
                <w:color w:val="auto"/>
              </w:rPr>
            </w:pPr>
          </w:p>
        </w:tc>
        <w:tc>
          <w:tcPr>
            <w:tcW w:w="1040" w:type="dxa"/>
            <w:vAlign w:val="bottom"/>
            <w:shd w:val="clear" w:color="auto" w:fill="E5E5E5"/>
          </w:tcPr>
          <w:p>
            <w:pPr>
              <w:jc w:val="right"/>
              <w:ind w:right="394"/>
              <w:spacing w:after="0"/>
              <w:rPr>
                <w:sz w:val="20"/>
                <w:szCs w:val="20"/>
                <w:color w:val="auto"/>
              </w:rPr>
            </w:pPr>
            <w:r>
              <w:rPr>
                <w:rFonts w:ascii="Arial" w:cs="Arial" w:eastAsia="Arial" w:hAnsi="Arial"/>
                <w:sz w:val="18"/>
                <w:szCs w:val="18"/>
                <w:color w:val="auto"/>
              </w:rPr>
              <w:t>365</w:t>
            </w:r>
          </w:p>
        </w:tc>
        <w:tc>
          <w:tcPr>
            <w:tcW w:w="112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946</w:t>
            </w:r>
          </w:p>
        </w:tc>
        <w:tc>
          <w:tcPr>
            <w:tcW w:w="4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Corporate and Other</w:t>
            </w:r>
          </w:p>
        </w:tc>
        <w:tc>
          <w:tcPr>
            <w:tcW w:w="1580" w:type="dxa"/>
            <w:vAlign w:val="bottom"/>
          </w:tcPr>
          <w:p>
            <w:pPr>
              <w:jc w:val="right"/>
              <w:ind w:right="294"/>
              <w:spacing w:after="0"/>
              <w:rPr>
                <w:sz w:val="20"/>
                <w:szCs w:val="20"/>
                <w:color w:val="auto"/>
              </w:rPr>
            </w:pPr>
            <w:r>
              <w:rPr>
                <w:rFonts w:ascii="Arial" w:cs="Arial" w:eastAsia="Arial" w:hAnsi="Arial"/>
                <w:sz w:val="18"/>
                <w:szCs w:val="18"/>
                <w:color w:val="auto"/>
              </w:rPr>
              <w:t>174</w:t>
            </w:r>
          </w:p>
        </w:tc>
        <w:tc>
          <w:tcPr>
            <w:tcW w:w="500" w:type="dxa"/>
            <w:vAlign w:val="bottom"/>
          </w:tcPr>
          <w:p>
            <w:pPr>
              <w:spacing w:after="0"/>
              <w:rPr>
                <w:sz w:val="18"/>
                <w:szCs w:val="18"/>
                <w:color w:val="auto"/>
              </w:rPr>
            </w:pPr>
          </w:p>
        </w:tc>
        <w:tc>
          <w:tcPr>
            <w:tcW w:w="1560" w:type="dxa"/>
            <w:vAlign w:val="bottom"/>
          </w:tcPr>
          <w:p>
            <w:pPr>
              <w:jc w:val="right"/>
              <w:ind w:right="236"/>
              <w:spacing w:after="0"/>
              <w:rPr>
                <w:sz w:val="20"/>
                <w:szCs w:val="20"/>
                <w:color w:val="auto"/>
              </w:rPr>
            </w:pPr>
            <w:r>
              <w:rPr>
                <w:rFonts w:ascii="Arial" w:cs="Arial" w:eastAsia="Arial" w:hAnsi="Arial"/>
                <w:sz w:val="18"/>
                <w:szCs w:val="18"/>
                <w:color w:val="auto"/>
              </w:rPr>
              <w:t>(153)</w:t>
            </w:r>
          </w:p>
        </w:tc>
        <w:tc>
          <w:tcPr>
            <w:tcW w:w="500" w:type="dxa"/>
            <w:vAlign w:val="bottom"/>
          </w:tcPr>
          <w:p>
            <w:pPr>
              <w:spacing w:after="0"/>
              <w:rPr>
                <w:sz w:val="18"/>
                <w:szCs w:val="18"/>
                <w:color w:val="auto"/>
              </w:rPr>
            </w:pPr>
          </w:p>
        </w:tc>
        <w:tc>
          <w:tcPr>
            <w:tcW w:w="1040" w:type="dxa"/>
            <w:vAlign w:val="bottom"/>
          </w:tcPr>
          <w:p>
            <w:pPr>
              <w:jc w:val="right"/>
              <w:ind w:right="394"/>
              <w:spacing w:after="0"/>
              <w:rPr>
                <w:sz w:val="20"/>
                <w:szCs w:val="20"/>
                <w:color w:val="auto"/>
              </w:rPr>
            </w:pPr>
            <w:r>
              <w:rPr>
                <w:rFonts w:ascii="Arial" w:cs="Arial" w:eastAsia="Arial" w:hAnsi="Arial"/>
                <w:sz w:val="18"/>
                <w:szCs w:val="18"/>
                <w:color w:val="auto"/>
              </w:rPr>
              <w:t>21</w:t>
            </w:r>
          </w:p>
        </w:tc>
        <w:tc>
          <w:tcPr>
            <w:tcW w:w="1120" w:type="dxa"/>
            <w:vAlign w:val="bottom"/>
          </w:tcPr>
          <w:p>
            <w:pPr>
              <w:jc w:val="right"/>
              <w:ind w:right="237"/>
              <w:spacing w:after="0"/>
              <w:rPr>
                <w:sz w:val="20"/>
                <w:szCs w:val="20"/>
                <w:color w:val="auto"/>
              </w:rPr>
            </w:pPr>
            <w:r>
              <w:rPr>
                <w:rFonts w:ascii="Arial" w:cs="Arial" w:eastAsia="Arial" w:hAnsi="Arial"/>
                <w:sz w:val="18"/>
                <w:szCs w:val="18"/>
                <w:color w:val="auto"/>
              </w:rPr>
              <w:t>(174)</w:t>
            </w:r>
          </w:p>
        </w:tc>
        <w:tc>
          <w:tcPr>
            <w:tcW w:w="46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1580" w:type="dxa"/>
            <w:vAlign w:val="bottom"/>
            <w:tcBorders>
              <w:bottom w:val="single" w:sz="8" w:color="auto"/>
            </w:tcBorders>
            <w:shd w:val="clear" w:color="auto" w:fill="E5E5E5"/>
          </w:tcPr>
          <w:p>
            <w:pPr>
              <w:jc w:val="right"/>
              <w:ind w:right="234"/>
              <w:spacing w:after="0"/>
              <w:rPr>
                <w:sz w:val="20"/>
                <w:szCs w:val="20"/>
                <w:color w:val="auto"/>
              </w:rPr>
            </w:pPr>
            <w:r>
              <w:rPr>
                <w:rFonts w:ascii="Arial" w:cs="Arial" w:eastAsia="Arial" w:hAnsi="Arial"/>
                <w:sz w:val="18"/>
                <w:szCs w:val="18"/>
                <w:color w:val="auto"/>
              </w:rPr>
              <w:t>(399)</w:t>
            </w:r>
          </w:p>
        </w:tc>
        <w:tc>
          <w:tcPr>
            <w:tcW w:w="500" w:type="dxa"/>
            <w:vAlign w:val="bottom"/>
            <w:tcBorders>
              <w:bottom w:val="single" w:sz="8" w:color="auto"/>
            </w:tcBorders>
            <w:shd w:val="clear" w:color="auto" w:fill="E5E5E5"/>
          </w:tcPr>
          <w:p>
            <w:pPr>
              <w:spacing w:after="0"/>
              <w:rPr>
                <w:sz w:val="18"/>
                <w:szCs w:val="18"/>
                <w:color w:val="auto"/>
              </w:rPr>
            </w:pPr>
          </w:p>
        </w:tc>
        <w:tc>
          <w:tcPr>
            <w:tcW w:w="1560" w:type="dxa"/>
            <w:vAlign w:val="bottom"/>
            <w:tcBorders>
              <w:bottom w:val="single" w:sz="8" w:color="auto"/>
            </w:tcBorders>
            <w:shd w:val="clear" w:color="auto" w:fill="E5E5E5"/>
          </w:tcPr>
          <w:p>
            <w:pPr>
              <w:jc w:val="right"/>
              <w:ind w:right="236"/>
              <w:spacing w:after="0"/>
              <w:rPr>
                <w:sz w:val="20"/>
                <w:szCs w:val="20"/>
                <w:color w:val="auto"/>
              </w:rPr>
            </w:pPr>
            <w:r>
              <w:rPr>
                <w:rFonts w:ascii="Arial" w:cs="Arial" w:eastAsia="Arial" w:hAnsi="Arial"/>
                <w:sz w:val="18"/>
                <w:szCs w:val="18"/>
                <w:color w:val="auto"/>
              </w:rPr>
              <w:t>(20)</w:t>
            </w:r>
          </w:p>
        </w:tc>
        <w:tc>
          <w:tcPr>
            <w:tcW w:w="500" w:type="dxa"/>
            <w:vAlign w:val="bottom"/>
            <w:tcBorders>
              <w:bottom w:val="single" w:sz="8" w:color="auto"/>
            </w:tcBorders>
            <w:shd w:val="clear" w:color="auto" w:fill="E5E5E5"/>
          </w:tcPr>
          <w:p>
            <w:pPr>
              <w:spacing w:after="0"/>
              <w:rPr>
                <w:sz w:val="18"/>
                <w:szCs w:val="18"/>
                <w:color w:val="auto"/>
              </w:rPr>
            </w:pPr>
          </w:p>
        </w:tc>
        <w:tc>
          <w:tcPr>
            <w:tcW w:w="1040" w:type="dxa"/>
            <w:vAlign w:val="bottom"/>
            <w:tcBorders>
              <w:bottom w:val="single" w:sz="8" w:color="auto"/>
            </w:tcBorders>
            <w:shd w:val="clear" w:color="auto" w:fill="E5E5E5"/>
          </w:tcPr>
          <w:p>
            <w:pPr>
              <w:jc w:val="right"/>
              <w:ind w:right="394"/>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E5E5E5"/>
          </w:tcPr>
          <w:p>
            <w:pPr>
              <w:jc w:val="right"/>
              <w:ind w:right="237"/>
              <w:spacing w:after="0"/>
              <w:rPr>
                <w:sz w:val="20"/>
                <w:szCs w:val="20"/>
                <w:color w:val="auto"/>
              </w:rPr>
            </w:pPr>
            <w:r>
              <w:rPr>
                <w:rFonts w:ascii="Arial" w:cs="Arial" w:eastAsia="Arial" w:hAnsi="Arial"/>
                <w:sz w:val="18"/>
                <w:szCs w:val="18"/>
                <w:color w:val="auto"/>
              </w:rPr>
              <w:t>(20)</w:t>
            </w:r>
          </w:p>
        </w:tc>
        <w:tc>
          <w:tcPr>
            <w:tcW w:w="4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Comcast Consolidated</w:t>
            </w:r>
          </w:p>
        </w:tc>
        <w:tc>
          <w:tcPr>
            <w:tcW w:w="158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b w:val="1"/>
                <w:bCs w:val="1"/>
                <w:color w:val="auto"/>
              </w:rPr>
              <w:t>$ 17,408</w:t>
            </w:r>
          </w:p>
        </w:tc>
        <w:tc>
          <w:tcPr>
            <w:tcW w:w="5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b w:val="1"/>
                <w:bCs w:val="1"/>
                <w:color w:val="auto"/>
              </w:rPr>
              <w:t>5,538</w:t>
            </w:r>
          </w:p>
        </w:tc>
        <w:tc>
          <w:tcPr>
            <w:tcW w:w="5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b w:val="1"/>
                <w:bCs w:val="1"/>
                <w:color w:val="auto"/>
              </w:rPr>
              <w:t>1,970</w:t>
            </w:r>
          </w:p>
        </w:tc>
        <w:tc>
          <w:tcPr>
            <w:tcW w:w="1120" w:type="dxa"/>
            <w:vAlign w:val="bottom"/>
            <w:tcBorders>
              <w:bottom w:val="single" w:sz="8" w:color="auto"/>
            </w:tcBorders>
          </w:tcPr>
          <w:p>
            <w:pPr>
              <w:jc w:val="right"/>
              <w:ind w:right="297"/>
              <w:spacing w:after="0"/>
              <w:rPr>
                <w:sz w:val="20"/>
                <w:szCs w:val="20"/>
                <w:color w:val="auto"/>
              </w:rPr>
            </w:pPr>
            <w:r>
              <w:rPr>
                <w:rFonts w:ascii="Arial" w:cs="Arial" w:eastAsia="Arial" w:hAnsi="Arial"/>
                <w:sz w:val="18"/>
                <w:szCs w:val="18"/>
                <w:b w:val="1"/>
                <w:bCs w:val="1"/>
                <w:color w:val="auto"/>
              </w:rPr>
              <w:t>$ 3,568</w:t>
            </w:r>
          </w:p>
        </w:tc>
        <w:tc>
          <w:tcPr>
            <w:tcW w:w="4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1,448</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the three months ended March 31, 2015 and 2014, Cable Communications segment revenue was derived from the following sources:</w:t>
      </w:r>
    </w:p>
    <w:p>
      <w:pPr>
        <w:spacing w:after="0" w:line="55" w:lineRule="exact"/>
        <w:rPr>
          <w:sz w:val="20"/>
          <w:szCs w:val="20"/>
          <w:color w:val="auto"/>
        </w:rPr>
      </w:pPr>
    </w:p>
    <w:p>
      <w:pPr>
        <w:jc w:val="center"/>
        <w:ind w:left="9280"/>
        <w:spacing w:after="0"/>
        <w:rPr>
          <w:sz w:val="20"/>
          <w:szCs w:val="20"/>
          <w:color w:val="auto"/>
        </w:rPr>
      </w:pPr>
      <w:r>
        <w:rPr>
          <w:rFonts w:ascii="Arial" w:cs="Arial" w:eastAsia="Arial" w:hAnsi="Arial"/>
          <w:sz w:val="14"/>
          <w:szCs w:val="14"/>
          <w:color w:val="auto"/>
        </w:rPr>
        <w:t>Three Months Ended</w:t>
      </w:r>
    </w:p>
    <w:p>
      <w:pPr>
        <w:jc w:val="center"/>
        <w:ind w:left="9280"/>
        <w:spacing w:after="0"/>
        <w:rPr>
          <w:sz w:val="20"/>
          <w:szCs w:val="20"/>
          <w:color w:val="auto"/>
        </w:rPr>
      </w:pPr>
      <w:r>
        <w:rPr>
          <w:rFonts w:ascii="Arial" w:cs="Arial" w:eastAsia="Arial" w:hAnsi="Arial"/>
          <w:sz w:val="14"/>
          <w:szCs w:val="14"/>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5527675</wp:posOffset>
            </wp:positionH>
            <wp:positionV relativeFrom="paragraph">
              <wp:posOffset>-8255</wp:posOffset>
            </wp:positionV>
            <wp:extent cx="17240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48"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5360" w:type="dxa"/>
            <w:vAlign w:val="bottom"/>
            <w:tcBorders>
              <w:bottom w:val="single" w:sz="8" w:color="auto"/>
            </w:tcBorders>
          </w:tcPr>
          <w:p>
            <w:pPr>
              <w:spacing w:after="0"/>
              <w:rPr>
                <w:sz w:val="14"/>
                <w:szCs w:val="14"/>
                <w:color w:val="auto"/>
              </w:rPr>
            </w:pPr>
          </w:p>
        </w:tc>
        <w:tc>
          <w:tcPr>
            <w:tcW w:w="47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color w:val="auto"/>
              </w:rPr>
              <w:t>2015</w:t>
            </w:r>
          </w:p>
        </w:tc>
        <w:tc>
          <w:tcPr>
            <w:tcW w:w="9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2014</w:t>
            </w:r>
          </w:p>
        </w:tc>
      </w:tr>
      <w:tr>
        <w:trPr>
          <w:trHeight w:val="142"/>
        </w:trPr>
        <w:tc>
          <w:tcPr>
            <w:tcW w:w="536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Residential:</w:t>
            </w:r>
          </w:p>
        </w:tc>
        <w:tc>
          <w:tcPr>
            <w:tcW w:w="4760" w:type="dxa"/>
            <w:vAlign w:val="bottom"/>
            <w:shd w:val="clear" w:color="auto" w:fill="E5E5E5"/>
          </w:tcPr>
          <w:p>
            <w:pPr>
              <w:spacing w:after="0"/>
              <w:rPr>
                <w:sz w:val="12"/>
                <w:szCs w:val="12"/>
                <w:color w:val="auto"/>
              </w:rPr>
            </w:pPr>
          </w:p>
        </w:tc>
        <w:tc>
          <w:tcPr>
            <w:tcW w:w="940" w:type="dxa"/>
            <w:vAlign w:val="bottom"/>
            <w:shd w:val="clear" w:color="auto" w:fill="E5E5E5"/>
          </w:tcPr>
          <w:p>
            <w:pPr>
              <w:spacing w:after="0"/>
              <w:rPr>
                <w:sz w:val="12"/>
                <w:szCs w:val="12"/>
                <w:color w:val="auto"/>
              </w:rPr>
            </w:pPr>
          </w:p>
        </w:tc>
      </w:tr>
      <w:tr>
        <w:trPr>
          <w:trHeight w:val="149"/>
        </w:trPr>
        <w:tc>
          <w:tcPr>
            <w:tcW w:w="5360" w:type="dxa"/>
            <w:vAlign w:val="bottom"/>
          </w:tcPr>
          <w:p>
            <w:pPr>
              <w:ind w:left="440"/>
              <w:spacing w:after="0" w:line="149" w:lineRule="exact"/>
              <w:rPr>
                <w:sz w:val="20"/>
                <w:szCs w:val="20"/>
                <w:color w:val="auto"/>
              </w:rPr>
            </w:pPr>
            <w:r>
              <w:rPr>
                <w:rFonts w:ascii="Arial" w:cs="Arial" w:eastAsia="Arial" w:hAnsi="Arial"/>
                <w:sz w:val="14"/>
                <w:szCs w:val="14"/>
                <w:color w:val="auto"/>
              </w:rPr>
              <w:t>Video</w:t>
            </w:r>
          </w:p>
        </w:tc>
        <w:tc>
          <w:tcPr>
            <w:tcW w:w="47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46.6%</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48.1%</w:t>
            </w:r>
          </w:p>
        </w:tc>
      </w:tr>
      <w:tr>
        <w:trPr>
          <w:trHeight w:val="149"/>
        </w:trPr>
        <w:tc>
          <w:tcPr>
            <w:tcW w:w="5360" w:type="dxa"/>
            <w:vAlign w:val="bottom"/>
            <w:shd w:val="clear" w:color="auto" w:fill="E5E5E5"/>
          </w:tcPr>
          <w:p>
            <w:pPr>
              <w:ind w:left="440"/>
              <w:spacing w:after="0" w:line="149" w:lineRule="exact"/>
              <w:rPr>
                <w:sz w:val="20"/>
                <w:szCs w:val="20"/>
                <w:color w:val="auto"/>
              </w:rPr>
            </w:pPr>
            <w:r>
              <w:rPr>
                <w:rFonts w:ascii="Arial" w:cs="Arial" w:eastAsia="Arial" w:hAnsi="Arial"/>
                <w:sz w:val="14"/>
                <w:szCs w:val="14"/>
                <w:color w:val="auto"/>
              </w:rPr>
              <w:t>High-speed Internet</w:t>
            </w:r>
          </w:p>
        </w:tc>
        <w:tc>
          <w:tcPr>
            <w:tcW w:w="4760" w:type="dxa"/>
            <w:vAlign w:val="bottom"/>
            <w:shd w:val="clear" w:color="auto" w:fill="E5E5E5"/>
          </w:tcPr>
          <w:p>
            <w:pPr>
              <w:jc w:val="right"/>
              <w:ind w:right="332"/>
              <w:spacing w:after="0" w:line="149" w:lineRule="exact"/>
              <w:rPr>
                <w:sz w:val="20"/>
                <w:szCs w:val="20"/>
                <w:color w:val="auto"/>
              </w:rPr>
            </w:pPr>
            <w:r>
              <w:rPr>
                <w:rFonts w:ascii="Arial" w:cs="Arial" w:eastAsia="Arial" w:hAnsi="Arial"/>
                <w:sz w:val="14"/>
                <w:szCs w:val="14"/>
                <w:color w:val="auto"/>
              </w:rPr>
              <w:t>26.6%</w:t>
            </w:r>
          </w:p>
        </w:tc>
        <w:tc>
          <w:tcPr>
            <w:tcW w:w="9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25.6%</w:t>
            </w:r>
          </w:p>
        </w:tc>
      </w:tr>
      <w:tr>
        <w:trPr>
          <w:trHeight w:val="149"/>
        </w:trPr>
        <w:tc>
          <w:tcPr>
            <w:tcW w:w="5360" w:type="dxa"/>
            <w:vAlign w:val="bottom"/>
          </w:tcPr>
          <w:p>
            <w:pPr>
              <w:ind w:left="440"/>
              <w:spacing w:after="0" w:line="149" w:lineRule="exact"/>
              <w:rPr>
                <w:sz w:val="20"/>
                <w:szCs w:val="20"/>
                <w:color w:val="auto"/>
              </w:rPr>
            </w:pPr>
            <w:r>
              <w:rPr>
                <w:rFonts w:ascii="Arial" w:cs="Arial" w:eastAsia="Arial" w:hAnsi="Arial"/>
                <w:sz w:val="14"/>
                <w:szCs w:val="14"/>
                <w:color w:val="auto"/>
              </w:rPr>
              <w:t>Voice</w:t>
            </w:r>
          </w:p>
        </w:tc>
        <w:tc>
          <w:tcPr>
            <w:tcW w:w="47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7.9%</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8.5%</w:t>
            </w:r>
          </w:p>
        </w:tc>
      </w:tr>
      <w:tr>
        <w:trPr>
          <w:trHeight w:val="149"/>
        </w:trPr>
        <w:tc>
          <w:tcPr>
            <w:tcW w:w="536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Business services</w:t>
            </w:r>
          </w:p>
        </w:tc>
        <w:tc>
          <w:tcPr>
            <w:tcW w:w="4760" w:type="dxa"/>
            <w:vAlign w:val="bottom"/>
            <w:shd w:val="clear" w:color="auto" w:fill="E5E5E5"/>
          </w:tcPr>
          <w:p>
            <w:pPr>
              <w:jc w:val="right"/>
              <w:ind w:right="332"/>
              <w:spacing w:after="0" w:line="149" w:lineRule="exact"/>
              <w:rPr>
                <w:sz w:val="20"/>
                <w:szCs w:val="20"/>
                <w:color w:val="auto"/>
              </w:rPr>
            </w:pPr>
            <w:r>
              <w:rPr>
                <w:rFonts w:ascii="Arial" w:cs="Arial" w:eastAsia="Arial" w:hAnsi="Arial"/>
                <w:sz w:val="14"/>
                <w:szCs w:val="14"/>
                <w:color w:val="auto"/>
              </w:rPr>
              <w:t>9.7%</w:t>
            </w:r>
          </w:p>
        </w:tc>
        <w:tc>
          <w:tcPr>
            <w:tcW w:w="9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8.5%</w:t>
            </w:r>
          </w:p>
        </w:tc>
      </w:tr>
      <w:tr>
        <w:trPr>
          <w:trHeight w:val="149"/>
        </w:trPr>
        <w:tc>
          <w:tcPr>
            <w:tcW w:w="5360" w:type="dxa"/>
            <w:vAlign w:val="bottom"/>
          </w:tcPr>
          <w:p>
            <w:pPr>
              <w:spacing w:after="0" w:line="149" w:lineRule="exact"/>
              <w:rPr>
                <w:sz w:val="20"/>
                <w:szCs w:val="20"/>
                <w:color w:val="auto"/>
              </w:rPr>
            </w:pPr>
            <w:r>
              <w:rPr>
                <w:rFonts w:ascii="Arial" w:cs="Arial" w:eastAsia="Arial" w:hAnsi="Arial"/>
                <w:sz w:val="14"/>
                <w:szCs w:val="14"/>
                <w:color w:val="auto"/>
              </w:rPr>
              <w:t>Advertising</w:t>
            </w:r>
          </w:p>
        </w:tc>
        <w:tc>
          <w:tcPr>
            <w:tcW w:w="47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4.4%</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r>
      <w:tr>
        <w:trPr>
          <w:trHeight w:val="149"/>
        </w:trPr>
        <w:tc>
          <w:tcPr>
            <w:tcW w:w="536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Other</w:t>
            </w:r>
          </w:p>
        </w:tc>
        <w:tc>
          <w:tcPr>
            <w:tcW w:w="4760" w:type="dxa"/>
            <w:vAlign w:val="bottom"/>
            <w:tcBorders>
              <w:bottom w:val="single" w:sz="8" w:color="auto"/>
            </w:tcBorders>
            <w:shd w:val="clear" w:color="auto" w:fill="E5E5E5"/>
          </w:tcPr>
          <w:p>
            <w:pPr>
              <w:jc w:val="right"/>
              <w:ind w:right="332"/>
              <w:spacing w:after="0" w:line="149" w:lineRule="exact"/>
              <w:rPr>
                <w:sz w:val="20"/>
                <w:szCs w:val="20"/>
                <w:color w:val="auto"/>
              </w:rPr>
            </w:pPr>
            <w:r>
              <w:rPr>
                <w:rFonts w:ascii="Arial" w:cs="Arial" w:eastAsia="Arial" w:hAnsi="Arial"/>
                <w:sz w:val="14"/>
                <w:szCs w:val="14"/>
                <w:color w:val="auto"/>
              </w:rPr>
              <w:t>4.8%</w:t>
            </w:r>
          </w:p>
        </w:tc>
        <w:tc>
          <w:tcPr>
            <w:tcW w:w="94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4.6%</w:t>
            </w:r>
          </w:p>
        </w:tc>
      </w:tr>
      <w:tr>
        <w:trPr>
          <w:trHeight w:val="149"/>
        </w:trPr>
        <w:tc>
          <w:tcPr>
            <w:tcW w:w="53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Total</w:t>
            </w:r>
          </w:p>
        </w:tc>
        <w:tc>
          <w:tcPr>
            <w:tcW w:w="476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color w:val="auto"/>
              </w:rPr>
              <w:t>100.0%</w:t>
            </w: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100.0%</w:t>
            </w:r>
          </w:p>
        </w:tc>
      </w:tr>
    </w:tbl>
    <w:p>
      <w:pPr>
        <w:spacing w:after="0" w:line="57" w:lineRule="exact"/>
        <w:rPr>
          <w:sz w:val="20"/>
          <w:szCs w:val="20"/>
          <w:color w:val="auto"/>
        </w:rPr>
      </w:pPr>
    </w:p>
    <w:p>
      <w:pPr>
        <w:ind w:left="360"/>
        <w:spacing w:after="0"/>
        <w:rPr>
          <w:sz w:val="20"/>
          <w:szCs w:val="20"/>
          <w:color w:val="auto"/>
        </w:rPr>
      </w:pPr>
      <w:r>
        <w:rPr>
          <w:rFonts w:ascii="Arial" w:cs="Arial" w:eastAsia="Arial" w:hAnsi="Arial"/>
          <w:sz w:val="12"/>
          <w:szCs w:val="12"/>
          <w:color w:val="auto"/>
        </w:rPr>
        <w:t>Subscription revenue received from customers who purchase bundled services at a discounted rate is allocated proportionally to each service based on the individual service’s price on a stand-alone basis.</w:t>
      </w:r>
    </w:p>
    <w:p>
      <w:pPr>
        <w:spacing w:after="0" w:line="7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For both the three months ended March 31, 2015 and 2014, 2.8% of Cable Communications segment revenue was derived from franchise and other regulatory fees.</w:t>
      </w:r>
    </w:p>
    <w:p>
      <w:pPr>
        <w:spacing w:after="0" w:line="5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NBCUniversal Headquarters and Other activities include costs associated with overhead, allocations, personnel costs and headquarter initiatives.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The most common types of transactions are the following:</w:t>
      </w:r>
    </w:p>
    <w:p>
      <w:pPr>
        <w:spacing w:after="0" w:line="55" w:lineRule="exact"/>
        <w:rPr>
          <w:rFonts w:ascii="Arial" w:cs="Arial" w:eastAsia="Arial" w:hAnsi="Arial"/>
          <w:sz w:val="14"/>
          <w:szCs w:val="14"/>
          <w:color w:val="auto"/>
        </w:rPr>
      </w:pPr>
    </w:p>
    <w:p>
      <w:pPr>
        <w:ind w:left="1020" w:right="1260" w:hanging="215"/>
        <w:spacing w:after="0" w:line="239" w:lineRule="auto"/>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Cable Networks and Broadcast Television segments generate revenue by selling programming to our Cable Communications segment, which represents a substantial majority of the revenue elimination amount</w:t>
      </w:r>
    </w:p>
    <w:p>
      <w:pPr>
        <w:spacing w:after="0" w:line="43" w:lineRule="exact"/>
        <w:rPr>
          <w:rFonts w:ascii="Arial" w:cs="Arial" w:eastAsia="Arial" w:hAnsi="Arial"/>
          <w:sz w:val="14"/>
          <w:szCs w:val="14"/>
          <w:color w:val="auto"/>
        </w:rPr>
      </w:pPr>
    </w:p>
    <w:p>
      <w:pPr>
        <w:ind w:left="1020" w:hanging="215"/>
        <w:spacing w:after="0"/>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Cable Communications segment generates revenue by selling advertising and by selling the use of satellite feeds to our Cable Networks segment</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Filmed Entertainment and Broadcast Television segments generate revenue by licensing content to our Cable Networks segment</w:t>
      </w:r>
    </w:p>
    <w:p>
      <w:pPr>
        <w:spacing w:after="0" w:line="55"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Cable Communications segment receives incentives offered by our Cable Networks segment in connection with its distribution of the Cable Networks’ content that are recorded as a reduction to programming expenses</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No single customer accounted for a significant amount of revenue in any period.</w:t>
      </w:r>
    </w:p>
    <w:p>
      <w:pPr>
        <w:spacing w:after="0" w:line="55" w:lineRule="exact"/>
        <w:rPr>
          <w:rFonts w:ascii="Arial" w:cs="Arial" w:eastAsia="Arial" w:hAnsi="Arial"/>
          <w:sz w:val="14"/>
          <w:szCs w:val="14"/>
          <w:color w:val="auto"/>
        </w:rPr>
      </w:pPr>
    </w:p>
    <w:p>
      <w:pPr>
        <w:jc w:val="both"/>
        <w:ind w:left="340" w:hanging="332"/>
        <w:spacing w:after="0" w:line="268"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use operating income (loss) before depreciation and amortization, excluding impairment charges related to fixed and intangible assets and gains or losses on the sale of assets, if any, as the measure of profit or loss for our operating segments. This measure eliminates the significant level of noncash depreciation and amortization expense that results from the capital-intensive nature of certain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This measure should not be considered a substitute for operating income (loss), net income (loss) attributable to Comcast Corporation, net cash provided by operating activities, or other measures of performance or liquidity we have reported in accordance with GAAP.</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Condensed Consolidating Financial Information</w:t>
      </w:r>
    </w:p>
    <w:p>
      <w:pPr>
        <w:spacing w:after="0" w:line="8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Comcast (“Comcast Parent”), Comcast Cable Communications, LLC (“CCCL Parent”), Comcast MO Group, Inc. (“Comcast MO Group”), Comcast Cable Holdings, LLC (“CCH”) and Comcast MO of Delaware, LLC (“Comcast MO of Delaware”) (collectively, the “cable guarantors”) and NBCUniversal (“NBCUniversal Media Parent”) have fully and unconditionally guaranteed each other’s debt securities. In addition, the Comcast and Comcast Cable Communications, LLC $6.25 billion revolving credit facility due June 2017 and the Comcast commercial paper program are also fully and unconditionally guaranteed by NBCUniversal Media Parent. The Comcast commercial paper program is supported by the Comcast and Comcast Cable Communications, LLC revolving credit facility. Comcast MO Group, CCH and Comcast MO of Delaware are collectively referred to as the “Combined CCHMO Parents.”</w:t>
      </w:r>
    </w:p>
    <w:p>
      <w:pPr>
        <w:spacing w:after="0" w:line="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Comcast Parent and the cable guarantors also fully and unconditionally guarantee NBCUniversal Enterprise’s $4 billion senior notes, as well as its $1.35 billion revolving credit facility due March 2018 and the associated commercial paper program. NBCUniversal Media Parent does not guarantee the NBCUniversal Enterprise senior notes, credit facility or commercial paper program.</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 Parent provides an unconditional subordinated guarantee of the $185 million principal amount currently outstanding of Comcast Holdings’ ZONES due October 2029. Neither the cable guarantors nor NBCUniversal Media Parent guarantee the Comcast Holdings’ ZONES due October 2029. None of Comcast Parent, the cable guarantors nor NBCUniversal Media Parent guarantee the $62 million principal amount currently outstanding of Comcast Holdings’ ZONES due November 2029.</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Non-</w:t>
            </w:r>
          </w:p>
        </w:tc>
        <w:tc>
          <w:tcPr>
            <w:tcW w:w="260" w:type="dxa"/>
            <w:vAlign w:val="bottom"/>
          </w:tcPr>
          <w:p>
            <w:pPr>
              <w:spacing w:after="0"/>
              <w:rPr>
                <w:sz w:val="12"/>
                <w:szCs w:val="12"/>
                <w:color w:val="auto"/>
              </w:rPr>
            </w:pPr>
          </w:p>
        </w:tc>
        <w:tc>
          <w:tcPr>
            <w:tcW w:w="840" w:type="dxa"/>
            <w:vAlign w:val="bottom"/>
          </w:tcPr>
          <w:p>
            <w:pPr>
              <w:jc w:val="center"/>
              <w:ind w:right="213"/>
              <w:spacing w:after="0" w:line="149" w:lineRule="exact"/>
              <w:rPr>
                <w:sz w:val="20"/>
                <w:szCs w:val="20"/>
                <w:color w:val="auto"/>
              </w:rPr>
            </w:pPr>
            <w:r>
              <w:rPr>
                <w:rFonts w:ascii="Arial" w:cs="Arial" w:eastAsia="Arial" w:hAnsi="Arial"/>
                <w:sz w:val="14"/>
                <w:szCs w:val="14"/>
                <w:color w:val="auto"/>
                <w:w w:val="76"/>
              </w:rPr>
              <w:t>and</w:t>
            </w:r>
          </w:p>
        </w:tc>
        <w:tc>
          <w:tcPr>
            <w:tcW w:w="9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5"/>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80" w:type="dxa"/>
            <w:vAlign w:val="bottom"/>
            <w:gridSpan w:val="2"/>
          </w:tcPr>
          <w:p>
            <w:pPr>
              <w:jc w:val="right"/>
              <w:ind w:right="93"/>
              <w:spacing w:after="0" w:line="149"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2"/>
                <w:szCs w:val="12"/>
                <w:color w:val="auto"/>
              </w:rPr>
            </w:pPr>
          </w:p>
        </w:tc>
        <w:tc>
          <w:tcPr>
            <w:tcW w:w="70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3"/>
              </w:rPr>
              <w:t>Comcast</w:t>
            </w:r>
          </w:p>
        </w:tc>
        <w:tc>
          <w:tcPr>
            <w:tcW w:w="260" w:type="dxa"/>
            <w:vAlign w:val="bottom"/>
          </w:tcPr>
          <w:p>
            <w:pPr>
              <w:spacing w:after="0"/>
              <w:rPr>
                <w:sz w:val="12"/>
                <w:szCs w:val="12"/>
                <w:color w:val="auto"/>
              </w:rPr>
            </w:pPr>
          </w:p>
        </w:tc>
        <w:tc>
          <w:tcPr>
            <w:tcW w:w="700" w:type="dxa"/>
            <w:vAlign w:val="bottom"/>
          </w:tcPr>
          <w:p>
            <w:pPr>
              <w:jc w:val="right"/>
              <w:ind w:right="213"/>
              <w:spacing w:after="0" w:line="149" w:lineRule="exact"/>
              <w:rPr>
                <w:sz w:val="20"/>
                <w:szCs w:val="20"/>
                <w:color w:val="auto"/>
              </w:rPr>
            </w:pPr>
            <w:r>
              <w:rPr>
                <w:rFonts w:ascii="Arial" w:cs="Arial" w:eastAsia="Arial" w:hAnsi="Arial"/>
                <w:sz w:val="14"/>
                <w:szCs w:val="14"/>
                <w:color w:val="auto"/>
                <w:w w:val="99"/>
              </w:rPr>
              <w:t>CCCL</w:t>
            </w:r>
          </w:p>
        </w:tc>
        <w:tc>
          <w:tcPr>
            <w:tcW w:w="860" w:type="dxa"/>
            <w:vAlign w:val="bottom"/>
            <w:gridSpan w:val="2"/>
          </w:tcPr>
          <w:p>
            <w:pPr>
              <w:jc w:val="right"/>
              <w:ind w:right="93"/>
              <w:spacing w:after="0" w:line="149" w:lineRule="exact"/>
              <w:rPr>
                <w:sz w:val="20"/>
                <w:szCs w:val="20"/>
                <w:color w:val="auto"/>
              </w:rPr>
            </w:pPr>
            <w:r>
              <w:rPr>
                <w:rFonts w:ascii="Arial" w:cs="Arial" w:eastAsia="Arial" w:hAnsi="Arial"/>
                <w:sz w:val="14"/>
                <w:szCs w:val="14"/>
                <w:color w:val="auto"/>
              </w:rPr>
              <w:t>CCHMO</w:t>
            </w:r>
          </w:p>
        </w:tc>
        <w:tc>
          <w:tcPr>
            <w:tcW w:w="11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NBCUniversal</w:t>
            </w:r>
          </w:p>
        </w:tc>
        <w:tc>
          <w:tcPr>
            <w:tcW w:w="96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Guarantor</w:t>
            </w:r>
          </w:p>
        </w:tc>
        <w:tc>
          <w:tcPr>
            <w:tcW w:w="11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70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3"/>
              </w:rPr>
              <w:t>Comcast</w:t>
            </w:r>
          </w:p>
        </w:tc>
        <w:tc>
          <w:tcPr>
            <w:tcW w:w="0" w:type="dxa"/>
            <w:vAlign w:val="bottom"/>
          </w:tcPr>
          <w:p>
            <w:pPr>
              <w:spacing w:after="0"/>
              <w:rPr>
                <w:sz w:val="1"/>
                <w:szCs w:val="1"/>
                <w:color w:val="auto"/>
              </w:rPr>
            </w:pPr>
          </w:p>
        </w:tc>
      </w:tr>
      <w:tr>
        <w:trPr>
          <w:trHeight w:val="173"/>
        </w:trPr>
        <w:tc>
          <w:tcPr>
            <w:tcW w:w="37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5"/>
                <w:szCs w:val="15"/>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color w:val="auto"/>
                <w:w w:val="82"/>
              </w:rPr>
              <w:t>Parent</w:t>
            </w:r>
          </w:p>
        </w:tc>
        <w:tc>
          <w:tcPr>
            <w:tcW w:w="220" w:type="dxa"/>
            <w:vAlign w:val="bottom"/>
          </w:tcPr>
          <w:p>
            <w:pPr>
              <w:spacing w:after="0"/>
              <w:rPr>
                <w:sz w:val="15"/>
                <w:szCs w:val="15"/>
                <w:color w:val="auto"/>
              </w:rPr>
            </w:pPr>
          </w:p>
        </w:tc>
        <w:tc>
          <w:tcPr>
            <w:tcW w:w="700" w:type="dxa"/>
            <w:vAlign w:val="bottom"/>
          </w:tcPr>
          <w:p>
            <w:pPr>
              <w:jc w:val="right"/>
              <w:ind w:right="113"/>
              <w:spacing w:after="0"/>
              <w:rPr>
                <w:sz w:val="20"/>
                <w:szCs w:val="20"/>
                <w:color w:val="auto"/>
              </w:rPr>
            </w:pPr>
            <w:r>
              <w:rPr>
                <w:rFonts w:ascii="Arial" w:cs="Arial" w:eastAsia="Arial" w:hAnsi="Arial"/>
                <w:sz w:val="14"/>
                <w:szCs w:val="14"/>
                <w:color w:val="auto"/>
                <w:w w:val="88"/>
              </w:rPr>
              <w:t>Holdings</w:t>
            </w:r>
          </w:p>
        </w:tc>
        <w:tc>
          <w:tcPr>
            <w:tcW w:w="260" w:type="dxa"/>
            <w:vAlign w:val="bottom"/>
          </w:tcPr>
          <w:p>
            <w:pPr>
              <w:spacing w:after="0"/>
              <w:rPr>
                <w:sz w:val="15"/>
                <w:szCs w:val="15"/>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color w:val="auto"/>
                <w:w w:val="92"/>
              </w:rPr>
              <w:t>Parent</w:t>
            </w:r>
          </w:p>
        </w:tc>
        <w:tc>
          <w:tcPr>
            <w:tcW w:w="240" w:type="dxa"/>
            <w:vAlign w:val="bottom"/>
          </w:tcPr>
          <w:p>
            <w:pPr>
              <w:spacing w:after="0"/>
              <w:rPr>
                <w:sz w:val="15"/>
                <w:szCs w:val="15"/>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color w:val="auto"/>
                <w:w w:val="78"/>
              </w:rPr>
              <w:t>Parents</w:t>
            </w:r>
          </w:p>
        </w:tc>
        <w:tc>
          <w:tcPr>
            <w:tcW w:w="1100" w:type="dxa"/>
            <w:vAlign w:val="bottom"/>
            <w:gridSpan w:val="2"/>
          </w:tcPr>
          <w:p>
            <w:pPr>
              <w:jc w:val="right"/>
              <w:ind w:right="92"/>
              <w:spacing w:after="0"/>
              <w:rPr>
                <w:sz w:val="20"/>
                <w:szCs w:val="20"/>
                <w:color w:val="auto"/>
              </w:rPr>
            </w:pPr>
            <w:r>
              <w:rPr>
                <w:rFonts w:ascii="Arial" w:cs="Arial" w:eastAsia="Arial" w:hAnsi="Arial"/>
                <w:sz w:val="14"/>
                <w:szCs w:val="14"/>
                <w:color w:val="auto"/>
              </w:rPr>
              <w:t>Media Parent</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Subsidiaries</w:t>
            </w: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20" w:type="dxa"/>
            <w:vAlign w:val="bottom"/>
            <w:gridSpan w:val="2"/>
          </w:tcPr>
          <w:p>
            <w:pPr>
              <w:jc w:val="right"/>
              <w:ind w:right="33"/>
              <w:spacing w:after="0"/>
              <w:rPr>
                <w:sz w:val="20"/>
                <w:szCs w:val="20"/>
                <w:color w:val="auto"/>
              </w:rPr>
            </w:pPr>
            <w:r>
              <w:rPr>
                <w:rFonts w:ascii="Arial" w:cs="Arial" w:eastAsia="Arial" w:hAnsi="Arial"/>
                <w:sz w:val="14"/>
                <w:szCs w:val="14"/>
                <w:color w:val="auto"/>
              </w:rPr>
              <w:t>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jc w:val="center"/>
              <w:ind w:left="5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339</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3,598</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158</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6,144</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Programming rights</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945</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279</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64</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1,394</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279</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403</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12,239</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5,637</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31</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372</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2,832</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3,235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1"/>
              </w:rPr>
              <w:t>Investments in and amounts due from subsidiaries</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eliminated upon consolidation</w:t>
            </w:r>
          </w:p>
        </w:tc>
        <w:tc>
          <w:tcPr>
            <w:tcW w:w="26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w w:val="83"/>
              </w:rPr>
              <w:t>82,713</w:t>
            </w:r>
          </w:p>
        </w:tc>
        <w:tc>
          <w:tcPr>
            <w:tcW w:w="22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w w:val="89"/>
              </w:rPr>
              <w:t>105,551</w:t>
            </w:r>
          </w:p>
        </w:tc>
        <w:tc>
          <w:tcPr>
            <w:tcW w:w="260" w:type="dxa"/>
            <w:vAlign w:val="bottom"/>
          </w:tcPr>
          <w:p>
            <w:pPr>
              <w:spacing w:after="0"/>
              <w:rPr>
                <w:sz w:val="19"/>
                <w:szCs w:val="19"/>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w w:val="82"/>
              </w:rPr>
              <w:t>112,432</w:t>
            </w:r>
          </w:p>
        </w:tc>
        <w:tc>
          <w:tcPr>
            <w:tcW w:w="24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w w:val="83"/>
              </w:rPr>
              <w:t>60,289</w:t>
            </w:r>
          </w:p>
        </w:tc>
        <w:tc>
          <w:tcPr>
            <w:tcW w:w="36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41,900</w:t>
            </w:r>
          </w:p>
        </w:tc>
        <w:tc>
          <w:tcPr>
            <w:tcW w:w="240" w:type="dxa"/>
            <w:vAlign w:val="bottom"/>
          </w:tcPr>
          <w:p>
            <w:pPr>
              <w:spacing w:after="0"/>
              <w:rPr>
                <w:sz w:val="19"/>
                <w:szCs w:val="19"/>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w w:val="86"/>
              </w:rPr>
              <w:t>101,682</w:t>
            </w:r>
          </w:p>
        </w:tc>
        <w:tc>
          <w:tcPr>
            <w:tcW w:w="26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w w:val="90"/>
              </w:rPr>
              <w:t>(504,567)</w:t>
            </w:r>
          </w:p>
        </w:tc>
        <w:tc>
          <w:tcPr>
            <w:tcW w:w="22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30,927</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31,127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Franchise rights</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59,364</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59,364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27,302</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27,302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16,842</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16,852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1,201</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148</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97</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1,970</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(1,097)</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2,319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3"/>
              </w:rPr>
              <w:t>84,434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9"/>
              </w:rPr>
              <w:t>105,699</w:t>
            </w:r>
          </w:p>
        </w:tc>
        <w:tc>
          <w:tcPr>
            <w:tcW w:w="260" w:type="dxa"/>
            <w:vAlign w:val="bottom"/>
            <w:tcBorders>
              <w:bottom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2"/>
              </w:rPr>
              <w:t>112,432</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3"/>
              </w:rPr>
              <w:t>60,289</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42,772</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6"/>
              </w:rPr>
              <w:t>258,795</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0"/>
              </w:rPr>
              <w:t>(505,664)</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9"/>
              </w:rPr>
              <w:t>158,757</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w w:val="89"/>
              </w:rPr>
              <w:t>Accounts payable and accrued expenses related</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ind w:left="420"/>
              <w:spacing w:after="0"/>
              <w:rPr>
                <w:sz w:val="20"/>
                <w:szCs w:val="20"/>
                <w:color w:val="auto"/>
              </w:rPr>
            </w:pPr>
            <w:r>
              <w:rPr>
                <w:rFonts w:ascii="Arial" w:cs="Arial" w:eastAsia="Arial" w:hAnsi="Arial"/>
                <w:sz w:val="18"/>
                <w:szCs w:val="18"/>
                <w:color w:val="auto"/>
              </w:rPr>
              <w:t>to trade creditors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jc w:val="center"/>
              <w:ind w:left="5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6,150</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6,157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participations and residuals</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1,387</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w w:val="95"/>
              </w:rPr>
              <w:t>Accrued expenses and other current liabilities</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1,534</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283</w:t>
            </w:r>
          </w:p>
        </w:tc>
        <w:tc>
          <w:tcPr>
            <w:tcW w:w="26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343</w:t>
            </w:r>
          </w:p>
        </w:tc>
        <w:tc>
          <w:tcPr>
            <w:tcW w:w="24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407</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4,190</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1,761</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676</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1,003</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740</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4,180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3,302</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283</w:t>
            </w:r>
          </w:p>
        </w:tc>
        <w:tc>
          <w:tcPr>
            <w:tcW w:w="26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343</w:t>
            </w:r>
          </w:p>
        </w:tc>
        <w:tc>
          <w:tcPr>
            <w:tcW w:w="24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697</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1,410</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12,467</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18,502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3"/>
              </w:rPr>
              <w:t>26,566</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126</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1,828</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822</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9,217</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4,394</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42,953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682</w:t>
            </w:r>
          </w:p>
        </w:tc>
        <w:tc>
          <w:tcPr>
            <w:tcW w:w="26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33,059</w:t>
            </w:r>
          </w:p>
        </w:tc>
        <w:tc>
          <w:tcPr>
            <w:tcW w:w="26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(953)</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32,855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2,395</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1,103</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7,483</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10,837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Redeemable noncontrolling interests and</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redeemable subsidiary preferred stock</w:t>
            </w:r>
          </w:p>
        </w:tc>
        <w:tc>
          <w:tcPr>
            <w:tcW w:w="26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1,099</w:t>
            </w:r>
          </w:p>
        </w:tc>
        <w:tc>
          <w:tcPr>
            <w:tcW w:w="260" w:type="dxa"/>
            <w:vAlign w:val="bottom"/>
          </w:tcPr>
          <w:p>
            <w:pPr>
              <w:spacing w:after="0"/>
              <w:rPr>
                <w:sz w:val="19"/>
                <w:szCs w:val="19"/>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Equity:</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shareholders’ equity</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3"/>
              </w:rPr>
              <w:t>52,141</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9"/>
              </w:rPr>
              <w:t>104,608</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2"/>
              </w:rPr>
              <w:t>110,261</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3"/>
              </w:rPr>
              <w:t>58,770</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30,975</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6"/>
              </w:rPr>
              <w:t>199,953</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0"/>
              </w:rPr>
              <w:t>(504,567)</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52,141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6"/>
              </w:rPr>
              <w:t>Total Comcast Corporation shareholders’ equity</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w w:val="83"/>
              </w:rPr>
              <w:t>52,171</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w w:val="89"/>
              </w:rPr>
              <w:t>104,608</w:t>
            </w:r>
          </w:p>
        </w:tc>
        <w:tc>
          <w:tcPr>
            <w:tcW w:w="26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w w:val="82"/>
              </w:rPr>
              <w:t>110,261</w:t>
            </w:r>
          </w:p>
        </w:tc>
        <w:tc>
          <w:tcPr>
            <w:tcW w:w="24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w w:val="83"/>
              </w:rPr>
              <w:t>58,770</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30,975</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w w:val="86"/>
              </w:rPr>
              <w:t>199,953</w:t>
            </w:r>
          </w:p>
        </w:tc>
        <w:tc>
          <w:tcPr>
            <w:tcW w:w="26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w w:val="90"/>
              </w:rPr>
              <w:t>(504,567)</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52,171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340</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3"/>
              </w:rPr>
              <w:t>52,171</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9"/>
              </w:rPr>
              <w:t>104,608</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2"/>
              </w:rPr>
              <w:t>110,261</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3"/>
              </w:rPr>
              <w:t>58,770</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30,975</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6"/>
              </w:rPr>
              <w:t>200,293</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0"/>
              </w:rPr>
              <w:t>(504,567)</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52,511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3"/>
              </w:rPr>
              <w:t>84,434</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9"/>
              </w:rPr>
              <w:t>105,699</w:t>
            </w:r>
          </w:p>
        </w:tc>
        <w:tc>
          <w:tcPr>
            <w:tcW w:w="260" w:type="dxa"/>
            <w:vAlign w:val="bottom"/>
            <w:tcBorders>
              <w:bottom w:val="single" w:sz="8" w:color="auto"/>
            </w:tcBorders>
            <w:shd w:val="clear" w:color="auto" w:fill="E5E5E5"/>
          </w:tcPr>
          <w:p>
            <w:pPr>
              <w:jc w:val="center"/>
              <w:ind w:left="52"/>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2"/>
              </w:rPr>
              <w:t>112,432</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3"/>
              </w:rPr>
              <w:t>60,289</w:t>
            </w:r>
          </w:p>
        </w:tc>
        <w:tc>
          <w:tcPr>
            <w:tcW w:w="3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b w:val="1"/>
                <w:bCs w:val="1"/>
                <w:color w:val="auto"/>
              </w:rPr>
              <w:t>42,772</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6"/>
              </w:rPr>
              <w:t>258,795</w:t>
            </w:r>
          </w:p>
        </w:tc>
        <w:tc>
          <w:tcPr>
            <w:tcW w:w="26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90"/>
              </w:rPr>
              <w:t>(505,664)</w:t>
            </w:r>
          </w:p>
        </w:tc>
        <w:tc>
          <w:tcPr>
            <w:tcW w:w="22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9"/>
              </w:rPr>
              <w:t>158,757</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gridSpan w:val="2"/>
          </w:tcPr>
          <w:p>
            <w:pPr>
              <w:jc w:val="center"/>
              <w:ind w:right="473"/>
              <w:spacing w:after="0"/>
              <w:rPr>
                <w:sz w:val="20"/>
                <w:szCs w:val="20"/>
                <w:color w:val="auto"/>
              </w:rPr>
            </w:pPr>
            <w:r>
              <w:rPr>
                <w:rFonts w:ascii="Arial" w:cs="Arial" w:eastAsia="Arial" w:hAnsi="Arial"/>
                <w:sz w:val="18"/>
                <w:szCs w:val="18"/>
                <w:color w:val="auto"/>
                <w:w w:val="99"/>
              </w:rPr>
              <w:t>16</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Combined</w:t>
            </w: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Non-</w:t>
            </w:r>
          </w:p>
        </w:tc>
        <w:tc>
          <w:tcPr>
            <w:tcW w:w="260" w:type="dxa"/>
            <w:vAlign w:val="bottom"/>
          </w:tcPr>
          <w:p>
            <w:pPr>
              <w:spacing w:after="0"/>
              <w:rPr>
                <w:sz w:val="12"/>
                <w:szCs w:val="12"/>
                <w:color w:val="auto"/>
              </w:rPr>
            </w:pPr>
          </w:p>
        </w:tc>
        <w:tc>
          <w:tcPr>
            <w:tcW w:w="840" w:type="dxa"/>
            <w:vAlign w:val="bottom"/>
          </w:tcPr>
          <w:p>
            <w:pPr>
              <w:jc w:val="center"/>
              <w:ind w:right="213"/>
              <w:spacing w:after="0" w:line="149" w:lineRule="exact"/>
              <w:rPr>
                <w:sz w:val="20"/>
                <w:szCs w:val="20"/>
                <w:color w:val="auto"/>
              </w:rPr>
            </w:pPr>
            <w:r>
              <w:rPr>
                <w:rFonts w:ascii="Arial" w:cs="Arial" w:eastAsia="Arial" w:hAnsi="Arial"/>
                <w:sz w:val="14"/>
                <w:szCs w:val="14"/>
                <w:color w:val="auto"/>
                <w:w w:val="76"/>
              </w:rPr>
              <w:t>and</w:t>
            </w:r>
          </w:p>
        </w:tc>
        <w:tc>
          <w:tcPr>
            <w:tcW w:w="9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5"/>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80" w:type="dxa"/>
            <w:vAlign w:val="bottom"/>
            <w:gridSpan w:val="2"/>
          </w:tcPr>
          <w:p>
            <w:pPr>
              <w:jc w:val="right"/>
              <w:ind w:right="93"/>
              <w:spacing w:after="0" w:line="149"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2"/>
                <w:szCs w:val="12"/>
                <w:color w:val="auto"/>
              </w:rPr>
            </w:pPr>
          </w:p>
        </w:tc>
        <w:tc>
          <w:tcPr>
            <w:tcW w:w="70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3"/>
              </w:rPr>
              <w:t>Comcast</w:t>
            </w:r>
          </w:p>
        </w:tc>
        <w:tc>
          <w:tcPr>
            <w:tcW w:w="260" w:type="dxa"/>
            <w:vAlign w:val="bottom"/>
          </w:tcPr>
          <w:p>
            <w:pPr>
              <w:spacing w:after="0"/>
              <w:rPr>
                <w:sz w:val="12"/>
                <w:szCs w:val="12"/>
                <w:color w:val="auto"/>
              </w:rPr>
            </w:pPr>
          </w:p>
        </w:tc>
        <w:tc>
          <w:tcPr>
            <w:tcW w:w="72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CCCL</w:t>
            </w:r>
          </w:p>
        </w:tc>
        <w:tc>
          <w:tcPr>
            <w:tcW w:w="840" w:type="dxa"/>
            <w:vAlign w:val="bottom"/>
            <w:gridSpan w:val="2"/>
          </w:tcPr>
          <w:p>
            <w:pPr>
              <w:jc w:val="right"/>
              <w:ind w:right="93"/>
              <w:spacing w:after="0" w:line="149" w:lineRule="exact"/>
              <w:rPr>
                <w:sz w:val="20"/>
                <w:szCs w:val="20"/>
                <w:color w:val="auto"/>
              </w:rPr>
            </w:pPr>
            <w:r>
              <w:rPr>
                <w:rFonts w:ascii="Arial" w:cs="Arial" w:eastAsia="Arial" w:hAnsi="Arial"/>
                <w:sz w:val="14"/>
                <w:szCs w:val="14"/>
                <w:color w:val="auto"/>
              </w:rPr>
              <w:t>CCHMO</w:t>
            </w:r>
          </w:p>
        </w:tc>
        <w:tc>
          <w:tcPr>
            <w:tcW w:w="11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NBCUniversal</w:t>
            </w:r>
          </w:p>
        </w:tc>
        <w:tc>
          <w:tcPr>
            <w:tcW w:w="96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Guarantor</w:t>
            </w:r>
          </w:p>
        </w:tc>
        <w:tc>
          <w:tcPr>
            <w:tcW w:w="11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70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3"/>
              </w:rPr>
              <w:t>Comcast</w:t>
            </w:r>
          </w:p>
        </w:tc>
        <w:tc>
          <w:tcPr>
            <w:tcW w:w="0" w:type="dxa"/>
            <w:vAlign w:val="bottom"/>
          </w:tcPr>
          <w:p>
            <w:pPr>
              <w:spacing w:after="0"/>
              <w:rPr>
                <w:sz w:val="1"/>
                <w:szCs w:val="1"/>
                <w:color w:val="auto"/>
              </w:rPr>
            </w:pPr>
          </w:p>
        </w:tc>
      </w:tr>
      <w:tr>
        <w:trPr>
          <w:trHeight w:val="173"/>
        </w:trPr>
        <w:tc>
          <w:tcPr>
            <w:tcW w:w="37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5"/>
                <w:szCs w:val="15"/>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color w:val="auto"/>
                <w:w w:val="82"/>
              </w:rPr>
              <w:t>Parent</w:t>
            </w:r>
          </w:p>
        </w:tc>
        <w:tc>
          <w:tcPr>
            <w:tcW w:w="220" w:type="dxa"/>
            <w:vAlign w:val="bottom"/>
          </w:tcPr>
          <w:p>
            <w:pPr>
              <w:spacing w:after="0"/>
              <w:rPr>
                <w:sz w:val="15"/>
                <w:szCs w:val="15"/>
                <w:color w:val="auto"/>
              </w:rPr>
            </w:pPr>
          </w:p>
        </w:tc>
        <w:tc>
          <w:tcPr>
            <w:tcW w:w="700" w:type="dxa"/>
            <w:vAlign w:val="bottom"/>
          </w:tcPr>
          <w:p>
            <w:pPr>
              <w:jc w:val="right"/>
              <w:ind w:right="113"/>
              <w:spacing w:after="0"/>
              <w:rPr>
                <w:sz w:val="20"/>
                <w:szCs w:val="20"/>
                <w:color w:val="auto"/>
              </w:rPr>
            </w:pPr>
            <w:r>
              <w:rPr>
                <w:rFonts w:ascii="Arial" w:cs="Arial" w:eastAsia="Arial" w:hAnsi="Arial"/>
                <w:sz w:val="14"/>
                <w:szCs w:val="14"/>
                <w:color w:val="auto"/>
                <w:w w:val="88"/>
              </w:rPr>
              <w:t>Holdings</w:t>
            </w:r>
          </w:p>
        </w:tc>
        <w:tc>
          <w:tcPr>
            <w:tcW w:w="260" w:type="dxa"/>
            <w:vAlign w:val="bottom"/>
          </w:tcPr>
          <w:p>
            <w:pPr>
              <w:spacing w:after="0"/>
              <w:rPr>
                <w:sz w:val="15"/>
                <w:szCs w:val="15"/>
                <w:color w:val="auto"/>
              </w:rPr>
            </w:pPr>
          </w:p>
        </w:tc>
        <w:tc>
          <w:tcPr>
            <w:tcW w:w="720" w:type="dxa"/>
            <w:vAlign w:val="bottom"/>
          </w:tcPr>
          <w:p>
            <w:pPr>
              <w:jc w:val="right"/>
              <w:ind w:right="213"/>
              <w:spacing w:after="0"/>
              <w:rPr>
                <w:sz w:val="20"/>
                <w:szCs w:val="20"/>
                <w:color w:val="auto"/>
              </w:rPr>
            </w:pPr>
            <w:r>
              <w:rPr>
                <w:rFonts w:ascii="Arial" w:cs="Arial" w:eastAsia="Arial" w:hAnsi="Arial"/>
                <w:sz w:val="14"/>
                <w:szCs w:val="14"/>
                <w:color w:val="auto"/>
                <w:w w:val="96"/>
              </w:rPr>
              <w:t>Parent</w:t>
            </w:r>
          </w:p>
        </w:tc>
        <w:tc>
          <w:tcPr>
            <w:tcW w:w="220" w:type="dxa"/>
            <w:vAlign w:val="bottom"/>
          </w:tcPr>
          <w:p>
            <w:pPr>
              <w:spacing w:after="0"/>
              <w:rPr>
                <w:sz w:val="15"/>
                <w:szCs w:val="15"/>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color w:val="auto"/>
                <w:w w:val="78"/>
              </w:rPr>
              <w:t>Parents</w:t>
            </w:r>
          </w:p>
        </w:tc>
        <w:tc>
          <w:tcPr>
            <w:tcW w:w="1100" w:type="dxa"/>
            <w:vAlign w:val="bottom"/>
            <w:gridSpan w:val="2"/>
          </w:tcPr>
          <w:p>
            <w:pPr>
              <w:jc w:val="right"/>
              <w:ind w:right="92"/>
              <w:spacing w:after="0"/>
              <w:rPr>
                <w:sz w:val="20"/>
                <w:szCs w:val="20"/>
                <w:color w:val="auto"/>
              </w:rPr>
            </w:pPr>
            <w:r>
              <w:rPr>
                <w:rFonts w:ascii="Arial" w:cs="Arial" w:eastAsia="Arial" w:hAnsi="Arial"/>
                <w:sz w:val="14"/>
                <w:szCs w:val="14"/>
                <w:color w:val="auto"/>
              </w:rPr>
              <w:t>Media Parent</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Subsidiaries</w:t>
            </w: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20" w:type="dxa"/>
            <w:vAlign w:val="bottom"/>
            <w:gridSpan w:val="2"/>
          </w:tcPr>
          <w:p>
            <w:pPr>
              <w:jc w:val="right"/>
              <w:ind w:right="33"/>
              <w:spacing w:after="0"/>
              <w:rPr>
                <w:sz w:val="20"/>
                <w:szCs w:val="20"/>
                <w:color w:val="auto"/>
              </w:rPr>
            </w:pPr>
            <w:r>
              <w:rPr>
                <w:rFonts w:ascii="Arial" w:cs="Arial" w:eastAsia="Arial" w:hAnsi="Arial"/>
                <w:sz w:val="14"/>
                <w:szCs w:val="14"/>
                <w:color w:val="auto"/>
              </w:rPr>
              <w:t>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jc w:val="center"/>
              <w:ind w:left="5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385</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3,525</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602</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6,321</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Programming rights</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839</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267</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41</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1,551</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267</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426</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12,838</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13,531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5,727</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36</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378</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2,721</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1"/>
              </w:rPr>
              <w:t>Investments in and amounts due from subsidiaries</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eliminated upon consolidation</w:t>
            </w:r>
          </w:p>
        </w:tc>
        <w:tc>
          <w:tcPr>
            <w:tcW w:w="26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w w:val="83"/>
              </w:rPr>
              <w:t>84,142</w:t>
            </w:r>
          </w:p>
        </w:tc>
        <w:tc>
          <w:tcPr>
            <w:tcW w:w="22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w w:val="89"/>
              </w:rPr>
              <w:t>103,420</w:t>
            </w:r>
          </w:p>
        </w:tc>
        <w:tc>
          <w:tcPr>
            <w:tcW w:w="260" w:type="dxa"/>
            <w:vAlign w:val="bottom"/>
          </w:tcPr>
          <w:p>
            <w:pPr>
              <w:spacing w:after="0"/>
              <w:rPr>
                <w:sz w:val="19"/>
                <w:szCs w:val="19"/>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w w:val="86"/>
              </w:rPr>
              <w:t>110,323</w:t>
            </w:r>
          </w:p>
        </w:tc>
        <w:tc>
          <w:tcPr>
            <w:tcW w:w="22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w w:val="83"/>
              </w:rPr>
              <w:t>58,677</w:t>
            </w:r>
          </w:p>
        </w:tc>
        <w:tc>
          <w:tcPr>
            <w:tcW w:w="36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41,239</w:t>
            </w:r>
          </w:p>
        </w:tc>
        <w:tc>
          <w:tcPr>
            <w:tcW w:w="240" w:type="dxa"/>
            <w:vAlign w:val="bottom"/>
          </w:tcPr>
          <w:p>
            <w:pPr>
              <w:spacing w:after="0"/>
              <w:rPr>
                <w:sz w:val="19"/>
                <w:szCs w:val="19"/>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98,152</w:t>
            </w:r>
          </w:p>
        </w:tc>
        <w:tc>
          <w:tcPr>
            <w:tcW w:w="26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w w:val="90"/>
              </w:rPr>
              <w:t>(495,953)</w:t>
            </w:r>
          </w:p>
        </w:tc>
        <w:tc>
          <w:tcPr>
            <w:tcW w:w="22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199</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30,754</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30,953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Franchise rights</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59,364</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59,364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27,316</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27,316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16,969</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16,980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1,224</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148</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92</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1,949</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(1,080)</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3"/>
              </w:rPr>
              <w:t>85,879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9"/>
              </w:rPr>
              <w:t>103,568</w:t>
            </w:r>
          </w:p>
        </w:tc>
        <w:tc>
          <w:tcPr>
            <w:tcW w:w="260" w:type="dxa"/>
            <w:vAlign w:val="bottom"/>
            <w:tcBorders>
              <w:bottom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6"/>
              </w:rPr>
              <w:t>110,323</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3"/>
              </w:rPr>
              <w:t>58,677</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42,135</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6"/>
              </w:rPr>
              <w:t>255,790</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0"/>
              </w:rPr>
              <w:t>(497,033)</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9"/>
              </w:rPr>
              <w:t>159,339</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w w:val="89"/>
              </w:rPr>
              <w:t>Accounts payable and accrued expenses related</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ind w:left="420"/>
              <w:spacing w:after="0"/>
              <w:rPr>
                <w:sz w:val="20"/>
                <w:szCs w:val="20"/>
                <w:color w:val="auto"/>
              </w:rPr>
            </w:pPr>
            <w:r>
              <w:rPr>
                <w:rFonts w:ascii="Arial" w:cs="Arial" w:eastAsia="Arial" w:hAnsi="Arial"/>
                <w:sz w:val="18"/>
                <w:szCs w:val="18"/>
                <w:color w:val="auto"/>
              </w:rPr>
              <w:t>to trade creditors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19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jc w:val="center"/>
              <w:ind w:left="5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1</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5,618</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5,638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participations and residuals</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1,347</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w w:val="95"/>
              </w:rPr>
              <w:t>Accrued expenses and other current liabilities</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1,547</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283</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331</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3,767</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1,650</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677</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1,006</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884</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4,217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3,216</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283</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725</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1,337</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11,616</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17,410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3"/>
              </w:rPr>
              <w:t>27,616</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126</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1,827</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822</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9,218</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4,408</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44,017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701</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33,127</w:t>
            </w:r>
          </w:p>
        </w:tc>
        <w:tc>
          <w:tcPr>
            <w:tcW w:w="26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(936)</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32,959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2,336</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1,143</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7,484</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10,819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Redeemable noncontrolling interests and</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redeemable subsidiary preferred stock</w:t>
            </w:r>
          </w:p>
        </w:tc>
        <w:tc>
          <w:tcPr>
            <w:tcW w:w="26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1,066</w:t>
            </w:r>
          </w:p>
        </w:tc>
        <w:tc>
          <w:tcPr>
            <w:tcW w:w="260" w:type="dxa"/>
            <w:vAlign w:val="bottom"/>
          </w:tcPr>
          <w:p>
            <w:pPr>
              <w:spacing w:after="0"/>
              <w:rPr>
                <w:sz w:val="19"/>
                <w:szCs w:val="19"/>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Equity:</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shareholders’ equity</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3"/>
              </w:rPr>
              <w:t>52,681</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9"/>
              </w:rPr>
              <w:t>102,458</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6"/>
              </w:rPr>
              <w:t>108,263</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3"/>
              </w:rPr>
              <w:t>57,130</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30,370</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6"/>
              </w:rPr>
              <w:t>197,732</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0"/>
              </w:rPr>
              <w:t>(495,953)</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52,681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6"/>
              </w:rPr>
              <w:t>Total Comcast Corporation shareholders’ equity</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w w:val="83"/>
              </w:rPr>
              <w:t>52,711</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w w:val="89"/>
              </w:rPr>
              <w:t>102,458</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w w:val="86"/>
              </w:rPr>
              <w:t>108,263</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w w:val="83"/>
              </w:rPr>
              <w:t>57,130</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30,370</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w w:val="86"/>
              </w:rPr>
              <w:t>197,732</w:t>
            </w:r>
          </w:p>
        </w:tc>
        <w:tc>
          <w:tcPr>
            <w:tcW w:w="26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w w:val="90"/>
              </w:rPr>
              <w:t>(495,953)</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52,711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357</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3"/>
              </w:rPr>
              <w:t>52,711</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9"/>
              </w:rPr>
              <w:t>102,458</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6"/>
              </w:rPr>
              <w:t>108,263</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3"/>
              </w:rPr>
              <w:t>57,130</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30,370</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6"/>
              </w:rPr>
              <w:t>198,089</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0"/>
              </w:rPr>
              <w:t>(495,953)</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53,068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3"/>
              </w:rPr>
              <w:t>85,879</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9"/>
              </w:rPr>
              <w:t>103,568</w:t>
            </w:r>
          </w:p>
        </w:tc>
        <w:tc>
          <w:tcPr>
            <w:tcW w:w="260" w:type="dxa"/>
            <w:vAlign w:val="bottom"/>
            <w:tcBorders>
              <w:bottom w:val="single" w:sz="8" w:color="auto"/>
            </w:tcBorders>
            <w:shd w:val="clear" w:color="auto" w:fill="E5E5E5"/>
          </w:tcPr>
          <w:p>
            <w:pPr>
              <w:jc w:val="center"/>
              <w:ind w:left="52"/>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6"/>
              </w:rPr>
              <w:t>110,323</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3"/>
              </w:rPr>
              <w:t>58,677</w:t>
            </w:r>
          </w:p>
        </w:tc>
        <w:tc>
          <w:tcPr>
            <w:tcW w:w="3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b w:val="1"/>
                <w:bCs w:val="1"/>
                <w:color w:val="auto"/>
              </w:rPr>
              <w:t>42,135</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6"/>
              </w:rPr>
              <w:t>255,790</w:t>
            </w:r>
          </w:p>
        </w:tc>
        <w:tc>
          <w:tcPr>
            <w:tcW w:w="26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90"/>
              </w:rPr>
              <w:t>(497,033)</w:t>
            </w:r>
          </w:p>
        </w:tc>
        <w:tc>
          <w:tcPr>
            <w:tcW w:w="22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9"/>
              </w:rPr>
              <w:t>159,339</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gridSpan w:val="2"/>
          </w:tcPr>
          <w:p>
            <w:pPr>
              <w:jc w:val="center"/>
              <w:ind w:right="493"/>
              <w:spacing w:after="0"/>
              <w:rPr>
                <w:sz w:val="20"/>
                <w:szCs w:val="20"/>
                <w:color w:val="auto"/>
              </w:rPr>
            </w:pPr>
            <w:r>
              <w:rPr>
                <w:rFonts w:ascii="Arial" w:cs="Arial" w:eastAsia="Arial" w:hAnsi="Arial"/>
                <w:sz w:val="18"/>
                <w:szCs w:val="18"/>
                <w:color w:val="auto"/>
                <w:w w:val="99"/>
              </w:rPr>
              <w:t>17</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4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Combined</w:t>
            </w: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Non-</w:t>
            </w:r>
          </w:p>
        </w:tc>
        <w:tc>
          <w:tcPr>
            <w:tcW w:w="280" w:type="dxa"/>
            <w:vAlign w:val="bottom"/>
          </w:tcPr>
          <w:p>
            <w:pPr>
              <w:spacing w:after="0"/>
              <w:rPr>
                <w:sz w:val="12"/>
                <w:szCs w:val="12"/>
                <w:color w:val="auto"/>
              </w:rPr>
            </w:pPr>
          </w:p>
        </w:tc>
        <w:tc>
          <w:tcPr>
            <w:tcW w:w="800" w:type="dxa"/>
            <w:vAlign w:val="bottom"/>
          </w:tcPr>
          <w:p>
            <w:pPr>
              <w:jc w:val="center"/>
              <w:ind w:right="233"/>
              <w:spacing w:after="0" w:line="149"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4120" w:type="dxa"/>
            <w:vAlign w:val="bottom"/>
          </w:tcPr>
          <w:p>
            <w:pPr>
              <w:spacing w:after="0"/>
              <w:rPr>
                <w:sz w:val="12"/>
                <w:szCs w:val="12"/>
                <w:color w:val="auto"/>
              </w:rPr>
            </w:pPr>
          </w:p>
        </w:tc>
        <w:tc>
          <w:tcPr>
            <w:tcW w:w="7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Comcast</w:t>
            </w:r>
          </w:p>
        </w:tc>
        <w:tc>
          <w:tcPr>
            <w:tcW w:w="70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7"/>
              </w:rPr>
              <w:t>Comcast</w:t>
            </w:r>
          </w:p>
        </w:tc>
        <w:tc>
          <w:tcPr>
            <w:tcW w:w="90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CCCL</w:t>
            </w:r>
          </w:p>
        </w:tc>
        <w:tc>
          <w:tcPr>
            <w:tcW w:w="8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CCHMO</w:t>
            </w:r>
          </w:p>
        </w:tc>
        <w:tc>
          <w:tcPr>
            <w:tcW w:w="11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NBCUniversal</w:t>
            </w:r>
          </w:p>
        </w:tc>
        <w:tc>
          <w:tcPr>
            <w:tcW w:w="94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Guarantor</w:t>
            </w:r>
          </w:p>
        </w:tc>
        <w:tc>
          <w:tcPr>
            <w:tcW w:w="10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76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color w:val="auto"/>
              </w:rPr>
              <w:t>Parent</w:t>
            </w:r>
          </w:p>
        </w:tc>
        <w:tc>
          <w:tcPr>
            <w:tcW w:w="7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Holdings</w:t>
            </w:r>
          </w:p>
        </w:tc>
        <w:tc>
          <w:tcPr>
            <w:tcW w:w="90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rPr>
              <w:t>Parent</w:t>
            </w:r>
          </w:p>
        </w:tc>
        <w:tc>
          <w:tcPr>
            <w:tcW w:w="86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rPr>
              <w:t>Parents</w:t>
            </w:r>
          </w:p>
        </w:tc>
        <w:tc>
          <w:tcPr>
            <w:tcW w:w="112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color w:val="auto"/>
              </w:rPr>
              <w:t>Media Parent</w:t>
            </w:r>
          </w:p>
        </w:tc>
        <w:tc>
          <w:tcPr>
            <w:tcW w:w="9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Subsidiaries</w:t>
            </w: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4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41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Service revenue</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73"/>
              <w:spacing w:after="0"/>
              <w:rPr>
                <w:sz w:val="20"/>
                <w:szCs w:val="20"/>
                <w:color w:val="auto"/>
              </w:rPr>
            </w:pPr>
            <w:r>
              <w:rPr>
                <w:rFonts w:ascii="Arial" w:cs="Arial" w:eastAsia="Arial" w:hAnsi="Arial"/>
                <w:sz w:val="18"/>
                <w:szCs w:val="18"/>
                <w:color w:val="auto"/>
                <w:w w:val="94"/>
              </w:rPr>
              <w:t>17,853</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17,853</w:t>
            </w:r>
          </w:p>
        </w:tc>
      </w:tr>
      <w:tr>
        <w:trPr>
          <w:trHeight w:val="216"/>
        </w:trPr>
        <w:tc>
          <w:tcPr>
            <w:tcW w:w="41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Management fee revenue</w:t>
            </w:r>
          </w:p>
        </w:tc>
        <w:tc>
          <w:tcPr>
            <w:tcW w:w="1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244</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237</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150</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(631)</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4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244</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237</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150</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4"/>
              </w:rPr>
              <w:t>17,853</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(631)</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17,853</w:t>
            </w:r>
          </w:p>
        </w:tc>
      </w:tr>
      <w:tr>
        <w:trPr>
          <w:trHeight w:val="210"/>
        </w:trPr>
        <w:tc>
          <w:tcPr>
            <w:tcW w:w="4120" w:type="dxa"/>
            <w:vAlign w:val="bottom"/>
            <w:shd w:val="clear" w:color="auto" w:fill="E5E5E5"/>
          </w:tcPr>
          <w:p>
            <w:pPr>
              <w:spacing w:after="0"/>
              <w:rPr>
                <w:sz w:val="20"/>
                <w:szCs w:val="20"/>
                <w:color w:val="auto"/>
              </w:rPr>
            </w:pPr>
            <w:r>
              <w:rPr>
                <w:rFonts w:ascii="Arial" w:cs="Arial" w:eastAsia="Arial" w:hAnsi="Arial"/>
                <w:sz w:val="18"/>
                <w:szCs w:val="18"/>
                <w:color w:val="auto"/>
              </w:rPr>
              <w:t>Costs and Expenses:</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Programming and production</w:t>
            </w:r>
          </w:p>
        </w:tc>
        <w:tc>
          <w:tcPr>
            <w:tcW w:w="1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5,463</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5,463</w:t>
            </w:r>
          </w:p>
        </w:tc>
      </w:tr>
      <w:tr>
        <w:trPr>
          <w:trHeight w:val="216"/>
        </w:trPr>
        <w:tc>
          <w:tcPr>
            <w:tcW w:w="41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Other operating and administrative</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226</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237</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150</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237</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4,860</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(631)</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5,079</w:t>
            </w: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Advertising, marketing and promotion</w:t>
            </w:r>
          </w:p>
        </w:tc>
        <w:tc>
          <w:tcPr>
            <w:tcW w:w="1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1,355</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1,355</w:t>
            </w:r>
          </w:p>
        </w:tc>
      </w:tr>
      <w:tr>
        <w:trPr>
          <w:trHeight w:val="216"/>
        </w:trPr>
        <w:tc>
          <w:tcPr>
            <w:tcW w:w="41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8</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1,626</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1,634</w:t>
            </w:r>
          </w:p>
        </w:tc>
      </w:tr>
      <w:tr>
        <w:trPr>
          <w:trHeight w:val="216"/>
        </w:trPr>
        <w:tc>
          <w:tcPr>
            <w:tcW w:w="41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Amortization</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431</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432</w:t>
            </w:r>
          </w:p>
        </w:tc>
      </w:tr>
      <w:tr>
        <w:trPr>
          <w:trHeight w:val="210"/>
        </w:trPr>
        <w:tc>
          <w:tcPr>
            <w:tcW w:w="4120" w:type="dxa"/>
            <w:vAlign w:val="bottom"/>
            <w:tcBorders>
              <w:bottom w:val="single" w:sz="8" w:color="auto"/>
            </w:tcBorders>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235</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237</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150</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237</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94"/>
              </w:rPr>
              <w:t>13,735</w:t>
            </w:r>
          </w:p>
        </w:tc>
        <w:tc>
          <w:tcPr>
            <w:tcW w:w="2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(631)</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13,963</w:t>
            </w:r>
          </w:p>
        </w:tc>
      </w:tr>
      <w:tr>
        <w:trPr>
          <w:trHeight w:val="210"/>
        </w:trPr>
        <w:tc>
          <w:tcPr>
            <w:tcW w:w="412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1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(237)</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4,118</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3,890</w:t>
            </w:r>
          </w:p>
        </w:tc>
      </w:tr>
      <w:tr>
        <w:trPr>
          <w:trHeight w:val="216"/>
        </w:trPr>
        <w:tc>
          <w:tcPr>
            <w:tcW w:w="4120" w:type="dxa"/>
            <w:vAlign w:val="bottom"/>
            <w:shd w:val="clear" w:color="auto" w:fill="E5E5E5"/>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(410)</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(656)</w:t>
            </w:r>
          </w:p>
        </w:tc>
      </w:tr>
      <w:tr>
        <w:trPr>
          <w:trHeight w:val="216"/>
        </w:trPr>
        <w:tc>
          <w:tcPr>
            <w:tcW w:w="41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Investment income (loss), net</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(6)</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36</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33</w:t>
            </w: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Equity in net income (losses) of investees, net</w:t>
            </w:r>
          </w:p>
        </w:tc>
        <w:tc>
          <w:tcPr>
            <w:tcW w:w="1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2,322</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2,226</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1,973</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w w:val="93"/>
              </w:rPr>
              <w:t>1,646</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1,231</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885</w:t>
            </w:r>
          </w:p>
        </w:tc>
        <w:tc>
          <w:tcPr>
            <w:tcW w:w="28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w w:val="98"/>
              </w:rPr>
              <w:t>(10,250)</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33</w:t>
            </w:r>
          </w:p>
        </w:tc>
      </w:tr>
      <w:tr>
        <w:trPr>
          <w:trHeight w:val="216"/>
        </w:trPr>
        <w:tc>
          <w:tcPr>
            <w:tcW w:w="41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118</w:t>
            </w:r>
          </w:p>
        </w:tc>
        <w:tc>
          <w:tcPr>
            <w:tcW w:w="2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102</w:t>
            </w:r>
          </w:p>
        </w:tc>
      </w:tr>
      <w:tr>
        <w:trPr>
          <w:trHeight w:val="210"/>
        </w:trPr>
        <w:tc>
          <w:tcPr>
            <w:tcW w:w="4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1,908</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2,225</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1,929</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3"/>
              </w:rPr>
              <w:t>1,617</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1,094</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989</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8"/>
              </w:rPr>
              <w:t>(10,250)</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r>
      <w:tr>
        <w:trPr>
          <w:trHeight w:val="210"/>
        </w:trPr>
        <w:tc>
          <w:tcPr>
            <w:tcW w:w="4120" w:type="dxa"/>
            <w:vAlign w:val="bottom"/>
            <w:shd w:val="clear" w:color="auto" w:fill="E5E5E5"/>
          </w:tcPr>
          <w:p>
            <w:pPr>
              <w:spacing w:after="0"/>
              <w:rPr>
                <w:sz w:val="20"/>
                <w:szCs w:val="20"/>
                <w:color w:val="auto"/>
              </w:rPr>
            </w:pPr>
            <w:r>
              <w:rPr>
                <w:rFonts w:ascii="Arial" w:cs="Arial" w:eastAsia="Arial" w:hAnsi="Arial"/>
                <w:sz w:val="18"/>
                <w:szCs w:val="18"/>
                <w:color w:val="auto"/>
              </w:rPr>
              <w:t>Income (loss) before income taxes</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1,917</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2,225</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1,929</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1,617</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857</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5,107</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8"/>
              </w:rPr>
              <w:t>(10,250)</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3,402</w:t>
            </w:r>
          </w:p>
        </w:tc>
      </w:tr>
      <w:tr>
        <w:trPr>
          <w:trHeight w:val="216"/>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142</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(1,423)</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w:t>
            </w:r>
          </w:p>
        </w:tc>
      </w:tr>
      <w:tr>
        <w:trPr>
          <w:trHeight w:val="210"/>
        </w:trPr>
        <w:tc>
          <w:tcPr>
            <w:tcW w:w="412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2,059</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2,225</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1,944</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1,627</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852</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3,684</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8"/>
              </w:rPr>
              <w:t>(10,250)</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2,141</w:t>
            </w:r>
          </w:p>
        </w:tc>
      </w:tr>
      <w:tr>
        <w:trPr>
          <w:trHeight w:val="208"/>
        </w:trPr>
        <w:tc>
          <w:tcPr>
            <w:tcW w:w="4120" w:type="dxa"/>
            <w:vAlign w:val="bottom"/>
          </w:tcPr>
          <w:p>
            <w:pPr>
              <w:spacing w:after="0"/>
              <w:rPr>
                <w:sz w:val="20"/>
                <w:szCs w:val="20"/>
                <w:color w:val="auto"/>
              </w:rPr>
            </w:pPr>
            <w:r>
              <w:rPr>
                <w:rFonts w:ascii="Arial" w:cs="Arial" w:eastAsia="Arial" w:hAnsi="Arial"/>
                <w:sz w:val="18"/>
                <w:szCs w:val="18"/>
                <w:color w:val="auto"/>
                <w:w w:val="92"/>
              </w:rPr>
              <w:t>Net (income) loss attributable to noncontrolling interests</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41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and redeemable subsidiary preferred stock</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(82)</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197"/>
        </w:trPr>
        <w:tc>
          <w:tcPr>
            <w:tcW w:w="4120" w:type="dxa"/>
            <w:vAlign w:val="bottom"/>
            <w:shd w:val="clear" w:color="auto" w:fill="E5E5E5"/>
          </w:tcPr>
          <w:p>
            <w:pPr>
              <w:spacing w:after="0" w:line="197" w:lineRule="exact"/>
              <w:rPr>
                <w:sz w:val="20"/>
                <w:szCs w:val="20"/>
                <w:color w:val="auto"/>
              </w:rPr>
            </w:pPr>
            <w:r>
              <w:rPr>
                <w:rFonts w:ascii="Arial" w:cs="Arial" w:eastAsia="Arial" w:hAnsi="Arial"/>
                <w:sz w:val="18"/>
                <w:szCs w:val="18"/>
                <w:b w:val="1"/>
                <w:bCs w:val="1"/>
                <w:color w:val="auto"/>
              </w:rPr>
              <w:t>Net income (loss) attributable to Comcast</w:t>
            </w:r>
          </w:p>
        </w:tc>
        <w:tc>
          <w:tcPr>
            <w:tcW w:w="18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37"/>
        </w:trPr>
        <w:tc>
          <w:tcPr>
            <w:tcW w:w="41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Corporation</w:t>
            </w:r>
          </w:p>
        </w:tc>
        <w:tc>
          <w:tcPr>
            <w:tcW w:w="1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2,059</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4"/>
              </w:rPr>
              <w:t>2,225</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1,944</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93"/>
              </w:rPr>
              <w:t>1,627</w:t>
            </w:r>
          </w:p>
        </w:tc>
        <w:tc>
          <w:tcPr>
            <w:tcW w:w="38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852</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rPr>
              <w:t>3,602</w:t>
            </w:r>
          </w:p>
        </w:tc>
        <w:tc>
          <w:tcPr>
            <w:tcW w:w="28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98"/>
              </w:rPr>
              <w:t>(10,250)</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2,059</w:t>
            </w: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b w:val="1"/>
                <w:bCs w:val="1"/>
                <w:color w:val="auto"/>
                <w:w w:val="88"/>
              </w:rPr>
              <w:t>Comprehensive income (loss) attributable to Comcast</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7"/>
        </w:trPr>
        <w:tc>
          <w:tcPr>
            <w:tcW w:w="41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Corporation</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2,017</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2,209</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1,943</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3"/>
              </w:rPr>
              <w:t>1,626</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801</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3,601</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8"/>
              </w:rPr>
              <w:t>(10,180)</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2,017</w:t>
            </w:r>
          </w:p>
        </w:tc>
      </w:tr>
      <w:tr>
        <w:trPr>
          <w:trHeight w:val="363"/>
        </w:trPr>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4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Combined</w:t>
            </w: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Non-</w:t>
            </w:r>
          </w:p>
        </w:tc>
        <w:tc>
          <w:tcPr>
            <w:tcW w:w="320" w:type="dxa"/>
            <w:vAlign w:val="bottom"/>
          </w:tcPr>
          <w:p>
            <w:pPr>
              <w:spacing w:after="0"/>
              <w:rPr>
                <w:sz w:val="12"/>
                <w:szCs w:val="12"/>
                <w:color w:val="auto"/>
              </w:rPr>
            </w:pPr>
          </w:p>
        </w:tc>
        <w:tc>
          <w:tcPr>
            <w:tcW w:w="760" w:type="dxa"/>
            <w:vAlign w:val="bottom"/>
          </w:tcPr>
          <w:p>
            <w:pPr>
              <w:jc w:val="center"/>
              <w:ind w:right="273"/>
              <w:spacing w:after="0" w:line="149"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4120" w:type="dxa"/>
            <w:vAlign w:val="bottom"/>
          </w:tcPr>
          <w:p>
            <w:pPr>
              <w:spacing w:after="0"/>
              <w:rPr>
                <w:sz w:val="12"/>
                <w:szCs w:val="12"/>
                <w:color w:val="auto"/>
              </w:rPr>
            </w:pPr>
          </w:p>
        </w:tc>
        <w:tc>
          <w:tcPr>
            <w:tcW w:w="7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Comcast</w:t>
            </w:r>
          </w:p>
        </w:tc>
        <w:tc>
          <w:tcPr>
            <w:tcW w:w="70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7"/>
              </w:rPr>
              <w:t>Comcast</w:t>
            </w:r>
          </w:p>
        </w:tc>
        <w:tc>
          <w:tcPr>
            <w:tcW w:w="90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CCCL</w:t>
            </w:r>
          </w:p>
        </w:tc>
        <w:tc>
          <w:tcPr>
            <w:tcW w:w="8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CCHMO</w:t>
            </w:r>
          </w:p>
        </w:tc>
        <w:tc>
          <w:tcPr>
            <w:tcW w:w="11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NBCUniversal</w:t>
            </w:r>
          </w:p>
        </w:tc>
        <w:tc>
          <w:tcPr>
            <w:tcW w:w="94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Guarantor</w:t>
            </w:r>
          </w:p>
        </w:tc>
        <w:tc>
          <w:tcPr>
            <w:tcW w:w="10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76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color w:val="auto"/>
              </w:rPr>
              <w:t>Parent</w:t>
            </w:r>
          </w:p>
        </w:tc>
        <w:tc>
          <w:tcPr>
            <w:tcW w:w="7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Holdings</w:t>
            </w:r>
          </w:p>
        </w:tc>
        <w:tc>
          <w:tcPr>
            <w:tcW w:w="90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rPr>
              <w:t>Parent</w:t>
            </w:r>
          </w:p>
        </w:tc>
        <w:tc>
          <w:tcPr>
            <w:tcW w:w="86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rPr>
              <w:t>Parents</w:t>
            </w:r>
          </w:p>
        </w:tc>
        <w:tc>
          <w:tcPr>
            <w:tcW w:w="112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color w:val="auto"/>
              </w:rPr>
              <w:t>Media Parent</w:t>
            </w:r>
          </w:p>
        </w:tc>
        <w:tc>
          <w:tcPr>
            <w:tcW w:w="9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Subsidiaries</w:t>
            </w: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4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41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Service revenue</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73"/>
              <w:spacing w:after="0"/>
              <w:rPr>
                <w:sz w:val="20"/>
                <w:szCs w:val="20"/>
                <w:color w:val="auto"/>
              </w:rPr>
            </w:pPr>
            <w:r>
              <w:rPr>
                <w:rFonts w:ascii="Arial" w:cs="Arial" w:eastAsia="Arial" w:hAnsi="Arial"/>
                <w:sz w:val="18"/>
                <w:szCs w:val="18"/>
                <w:color w:val="auto"/>
                <w:w w:val="94"/>
              </w:rPr>
              <w:t>17,408</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17,408</w:t>
            </w:r>
          </w:p>
        </w:tc>
      </w:tr>
      <w:tr>
        <w:trPr>
          <w:trHeight w:val="216"/>
        </w:trPr>
        <w:tc>
          <w:tcPr>
            <w:tcW w:w="41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Management fee revenue</w:t>
            </w:r>
          </w:p>
        </w:tc>
        <w:tc>
          <w:tcPr>
            <w:tcW w:w="1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230</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223</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141</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(594)</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4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230</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223</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141</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4"/>
              </w:rPr>
              <w:t>17,408</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(594)</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17,408</w:t>
            </w:r>
          </w:p>
        </w:tc>
      </w:tr>
      <w:tr>
        <w:trPr>
          <w:trHeight w:val="210"/>
        </w:trPr>
        <w:tc>
          <w:tcPr>
            <w:tcW w:w="4120" w:type="dxa"/>
            <w:vAlign w:val="bottom"/>
            <w:shd w:val="clear" w:color="auto" w:fill="E5E5E5"/>
          </w:tcPr>
          <w:p>
            <w:pPr>
              <w:spacing w:after="0"/>
              <w:rPr>
                <w:sz w:val="20"/>
                <w:szCs w:val="20"/>
                <w:color w:val="auto"/>
              </w:rPr>
            </w:pPr>
            <w:r>
              <w:rPr>
                <w:rFonts w:ascii="Arial" w:cs="Arial" w:eastAsia="Arial" w:hAnsi="Arial"/>
                <w:sz w:val="18"/>
                <w:szCs w:val="18"/>
                <w:color w:val="auto"/>
              </w:rPr>
              <w:t>Costs and Expenses:</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Programming and production</w:t>
            </w:r>
          </w:p>
        </w:tc>
        <w:tc>
          <w:tcPr>
            <w:tcW w:w="1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5,908</w:t>
            </w:r>
          </w:p>
        </w:tc>
        <w:tc>
          <w:tcPr>
            <w:tcW w:w="32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5,908</w:t>
            </w:r>
          </w:p>
        </w:tc>
      </w:tr>
      <w:tr>
        <w:trPr>
          <w:trHeight w:val="216"/>
        </w:trPr>
        <w:tc>
          <w:tcPr>
            <w:tcW w:w="41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Other operating and administrative</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93</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223</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141</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257</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4,629</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(594)</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4,749</w:t>
            </w: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Advertising, marketing and promotion</w:t>
            </w:r>
          </w:p>
        </w:tc>
        <w:tc>
          <w:tcPr>
            <w:tcW w:w="1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1,213</w:t>
            </w:r>
          </w:p>
        </w:tc>
        <w:tc>
          <w:tcPr>
            <w:tcW w:w="32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1,213</w:t>
            </w:r>
          </w:p>
        </w:tc>
      </w:tr>
      <w:tr>
        <w:trPr>
          <w:trHeight w:val="216"/>
        </w:trPr>
        <w:tc>
          <w:tcPr>
            <w:tcW w:w="41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7</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1,562</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1,569</w:t>
            </w:r>
          </w:p>
        </w:tc>
      </w:tr>
      <w:tr>
        <w:trPr>
          <w:trHeight w:val="216"/>
        </w:trPr>
        <w:tc>
          <w:tcPr>
            <w:tcW w:w="41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Amortization</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400</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401</w:t>
            </w:r>
          </w:p>
        </w:tc>
      </w:tr>
      <w:tr>
        <w:trPr>
          <w:trHeight w:val="210"/>
        </w:trPr>
        <w:tc>
          <w:tcPr>
            <w:tcW w:w="4120" w:type="dxa"/>
            <w:vAlign w:val="bottom"/>
            <w:tcBorders>
              <w:bottom w:val="single" w:sz="8" w:color="auto"/>
            </w:tcBorders>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101</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223</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141</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257</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94"/>
              </w:rPr>
              <w:t>13,712</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(594)</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13,840</w:t>
            </w:r>
          </w:p>
        </w:tc>
      </w:tr>
      <w:tr>
        <w:trPr>
          <w:trHeight w:val="210"/>
        </w:trPr>
        <w:tc>
          <w:tcPr>
            <w:tcW w:w="412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1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(257)</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3,696</w:t>
            </w:r>
          </w:p>
        </w:tc>
        <w:tc>
          <w:tcPr>
            <w:tcW w:w="32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3,568</w:t>
            </w:r>
          </w:p>
        </w:tc>
      </w:tr>
      <w:tr>
        <w:trPr>
          <w:trHeight w:val="216"/>
        </w:trPr>
        <w:tc>
          <w:tcPr>
            <w:tcW w:w="4120" w:type="dxa"/>
            <w:vAlign w:val="bottom"/>
            <w:shd w:val="clear" w:color="auto" w:fill="E5E5E5"/>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(387)</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(124)</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(642)</w:t>
            </w:r>
          </w:p>
        </w:tc>
      </w:tr>
      <w:tr>
        <w:trPr>
          <w:trHeight w:val="216"/>
        </w:trPr>
        <w:tc>
          <w:tcPr>
            <w:tcW w:w="41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Investment income (loss), net</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108</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113</w:t>
            </w: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Equity in net income (losses) of investees, net</w:t>
            </w:r>
          </w:p>
        </w:tc>
        <w:tc>
          <w:tcPr>
            <w:tcW w:w="1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2,038</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2,267</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2,165</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w w:val="93"/>
              </w:rPr>
              <w:t>1,511</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1,071</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714</w:t>
            </w:r>
          </w:p>
        </w:tc>
        <w:tc>
          <w:tcPr>
            <w:tcW w:w="32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(9,734)</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32</w:t>
            </w:r>
          </w:p>
        </w:tc>
      </w:tr>
      <w:tr>
        <w:trPr>
          <w:trHeight w:val="216"/>
        </w:trPr>
        <w:tc>
          <w:tcPr>
            <w:tcW w:w="41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(11)</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(15)</w:t>
            </w:r>
          </w:p>
        </w:tc>
      </w:tr>
      <w:tr>
        <w:trPr>
          <w:trHeight w:val="210"/>
        </w:trPr>
        <w:tc>
          <w:tcPr>
            <w:tcW w:w="4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1,652</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2,267</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2,120</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3"/>
              </w:rPr>
              <w:t>1,482</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944</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757</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(9,734)</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r>
      <w:tr>
        <w:trPr>
          <w:trHeight w:val="210"/>
        </w:trPr>
        <w:tc>
          <w:tcPr>
            <w:tcW w:w="4120" w:type="dxa"/>
            <w:vAlign w:val="bottom"/>
            <w:shd w:val="clear" w:color="auto" w:fill="E5E5E5"/>
          </w:tcPr>
          <w:p>
            <w:pPr>
              <w:spacing w:after="0"/>
              <w:rPr>
                <w:sz w:val="20"/>
                <w:szCs w:val="20"/>
                <w:color w:val="auto"/>
              </w:rPr>
            </w:pPr>
            <w:r>
              <w:rPr>
                <w:rFonts w:ascii="Arial" w:cs="Arial" w:eastAsia="Arial" w:hAnsi="Arial"/>
                <w:sz w:val="18"/>
                <w:szCs w:val="18"/>
                <w:color w:val="auto"/>
              </w:rPr>
              <w:t>Income (loss) before income taxes</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1,781</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2,267</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2,120</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1,482</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687</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4,453</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(9,734)</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3,056</w:t>
            </w:r>
          </w:p>
        </w:tc>
      </w:tr>
      <w:tr>
        <w:trPr>
          <w:trHeight w:val="216"/>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90</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(1,229)</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w:t>
            </w:r>
          </w:p>
        </w:tc>
      </w:tr>
      <w:tr>
        <w:trPr>
          <w:trHeight w:val="210"/>
        </w:trPr>
        <w:tc>
          <w:tcPr>
            <w:tcW w:w="412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1,871</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2,267</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2,136</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1,492</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682</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3,224</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(9,734)</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1,938</w:t>
            </w:r>
          </w:p>
        </w:tc>
      </w:tr>
      <w:tr>
        <w:trPr>
          <w:trHeight w:val="208"/>
        </w:trPr>
        <w:tc>
          <w:tcPr>
            <w:tcW w:w="4120" w:type="dxa"/>
            <w:vAlign w:val="bottom"/>
          </w:tcPr>
          <w:p>
            <w:pPr>
              <w:spacing w:after="0"/>
              <w:rPr>
                <w:sz w:val="20"/>
                <w:szCs w:val="20"/>
                <w:color w:val="auto"/>
              </w:rPr>
            </w:pPr>
            <w:r>
              <w:rPr>
                <w:rFonts w:ascii="Arial" w:cs="Arial" w:eastAsia="Arial" w:hAnsi="Arial"/>
                <w:sz w:val="18"/>
                <w:szCs w:val="18"/>
                <w:color w:val="auto"/>
                <w:w w:val="92"/>
              </w:rPr>
              <w:t>Net (income) loss attributable to noncontrolling interests</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41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and redeemable subsidiary preferred stock</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(67)</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197"/>
        </w:trPr>
        <w:tc>
          <w:tcPr>
            <w:tcW w:w="4120" w:type="dxa"/>
            <w:vAlign w:val="bottom"/>
            <w:shd w:val="clear" w:color="auto" w:fill="E5E5E5"/>
          </w:tcPr>
          <w:p>
            <w:pPr>
              <w:spacing w:after="0" w:line="197" w:lineRule="exact"/>
              <w:rPr>
                <w:sz w:val="20"/>
                <w:szCs w:val="20"/>
                <w:color w:val="auto"/>
              </w:rPr>
            </w:pPr>
            <w:r>
              <w:rPr>
                <w:rFonts w:ascii="Arial" w:cs="Arial" w:eastAsia="Arial" w:hAnsi="Arial"/>
                <w:sz w:val="18"/>
                <w:szCs w:val="18"/>
                <w:b w:val="1"/>
                <w:bCs w:val="1"/>
                <w:color w:val="auto"/>
              </w:rPr>
              <w:t>Net income (loss)attributable to Comcast</w:t>
            </w:r>
          </w:p>
        </w:tc>
        <w:tc>
          <w:tcPr>
            <w:tcW w:w="18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37"/>
        </w:trPr>
        <w:tc>
          <w:tcPr>
            <w:tcW w:w="41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Corporation</w:t>
            </w:r>
          </w:p>
        </w:tc>
        <w:tc>
          <w:tcPr>
            <w:tcW w:w="1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1,871</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4"/>
              </w:rPr>
              <w:t>2,267</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2,136</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93"/>
              </w:rPr>
              <w:t>1,492</w:t>
            </w:r>
          </w:p>
        </w:tc>
        <w:tc>
          <w:tcPr>
            <w:tcW w:w="38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682</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rPr>
              <w:t>3,157</w:t>
            </w:r>
          </w:p>
        </w:tc>
        <w:tc>
          <w:tcPr>
            <w:tcW w:w="3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rPr>
              <w:t>(9,734)</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1,871</w:t>
            </w: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b w:val="1"/>
                <w:bCs w:val="1"/>
                <w:color w:val="auto"/>
                <w:w w:val="88"/>
              </w:rPr>
              <w:t>Comprehensive income (loss) attributable to Comcast</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7"/>
        </w:trPr>
        <w:tc>
          <w:tcPr>
            <w:tcW w:w="41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Corporation</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1,848</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2,269</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2,138</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3"/>
              </w:rPr>
              <w:t>1,493</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685</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3,134</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(9,719)</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1,848</w:t>
            </w:r>
          </w:p>
        </w:tc>
      </w:tr>
      <w:tr>
        <w:trPr>
          <w:trHeight w:val="363"/>
        </w:trPr>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Combined</w:t>
            </w: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right"/>
              <w:ind w:right="333"/>
              <w:spacing w:after="0" w:line="149" w:lineRule="exact"/>
              <w:rPr>
                <w:sz w:val="20"/>
                <w:szCs w:val="20"/>
                <w:color w:val="auto"/>
              </w:rPr>
            </w:pPr>
            <w:r>
              <w:rPr>
                <w:rFonts w:ascii="Arial" w:cs="Arial" w:eastAsia="Arial" w:hAnsi="Arial"/>
                <w:sz w:val="14"/>
                <w:szCs w:val="14"/>
                <w:color w:val="auto"/>
              </w:rPr>
              <w:t>Non-</w:t>
            </w:r>
          </w:p>
        </w:tc>
        <w:tc>
          <w:tcPr>
            <w:tcW w:w="360" w:type="dxa"/>
            <w:vAlign w:val="bottom"/>
          </w:tcPr>
          <w:p>
            <w:pPr>
              <w:spacing w:after="0"/>
              <w:rPr>
                <w:sz w:val="12"/>
                <w:szCs w:val="12"/>
                <w:color w:val="auto"/>
              </w:rPr>
            </w:pPr>
          </w:p>
        </w:tc>
        <w:tc>
          <w:tcPr>
            <w:tcW w:w="780" w:type="dxa"/>
            <w:vAlign w:val="bottom"/>
          </w:tcPr>
          <w:p>
            <w:pPr>
              <w:jc w:val="center"/>
              <w:ind w:right="293"/>
              <w:spacing w:after="0" w:line="149" w:lineRule="exact"/>
              <w:rPr>
                <w:sz w:val="20"/>
                <w:szCs w:val="20"/>
                <w:color w:val="auto"/>
              </w:rPr>
            </w:pPr>
            <w:r>
              <w:rPr>
                <w:rFonts w:ascii="Arial" w:cs="Arial" w:eastAsia="Arial" w:hAnsi="Arial"/>
                <w:sz w:val="14"/>
                <w:szCs w:val="14"/>
                <w:color w:val="auto"/>
                <w:w w:val="85"/>
              </w:rPr>
              <w:t>and</w:t>
            </w:r>
          </w:p>
        </w:tc>
        <w:tc>
          <w:tcPr>
            <w:tcW w:w="102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98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Comcast</w:t>
            </w:r>
          </w:p>
        </w:tc>
        <w:tc>
          <w:tcPr>
            <w:tcW w:w="9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Comcast</w:t>
            </w:r>
          </w:p>
        </w:tc>
        <w:tc>
          <w:tcPr>
            <w:tcW w:w="7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CCCL</w:t>
            </w:r>
          </w:p>
        </w:tc>
        <w:tc>
          <w:tcPr>
            <w:tcW w:w="98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CCHMO</w:t>
            </w:r>
          </w:p>
        </w:tc>
        <w:tc>
          <w:tcPr>
            <w:tcW w:w="12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NBCUniversal</w:t>
            </w:r>
          </w:p>
        </w:tc>
        <w:tc>
          <w:tcPr>
            <w:tcW w:w="106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Guarantor</w:t>
            </w:r>
          </w:p>
        </w:tc>
        <w:tc>
          <w:tcPr>
            <w:tcW w:w="114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Consolidation</w:t>
            </w:r>
          </w:p>
        </w:tc>
        <w:tc>
          <w:tcPr>
            <w:tcW w:w="30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33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5"/>
                <w:szCs w:val="15"/>
                <w:color w:val="auto"/>
              </w:rPr>
            </w:pPr>
          </w:p>
        </w:tc>
        <w:tc>
          <w:tcPr>
            <w:tcW w:w="700" w:type="dxa"/>
            <w:vAlign w:val="bottom"/>
          </w:tcPr>
          <w:p>
            <w:pPr>
              <w:jc w:val="right"/>
              <w:ind w:right="253"/>
              <w:spacing w:after="0"/>
              <w:rPr>
                <w:sz w:val="20"/>
                <w:szCs w:val="20"/>
                <w:color w:val="auto"/>
              </w:rPr>
            </w:pPr>
            <w:r>
              <w:rPr>
                <w:rFonts w:ascii="Arial" w:cs="Arial" w:eastAsia="Arial" w:hAnsi="Arial"/>
                <w:sz w:val="14"/>
                <w:szCs w:val="14"/>
                <w:color w:val="auto"/>
                <w:w w:val="82"/>
              </w:rPr>
              <w:t>Parent</w:t>
            </w:r>
          </w:p>
        </w:tc>
        <w:tc>
          <w:tcPr>
            <w:tcW w:w="900" w:type="dxa"/>
            <w:vAlign w:val="bottom"/>
            <w:gridSpan w:val="2"/>
          </w:tcPr>
          <w:p>
            <w:pPr>
              <w:ind w:left="160"/>
              <w:spacing w:after="0"/>
              <w:rPr>
                <w:sz w:val="20"/>
                <w:szCs w:val="20"/>
                <w:color w:val="auto"/>
              </w:rPr>
            </w:pPr>
            <w:r>
              <w:rPr>
                <w:rFonts w:ascii="Arial" w:cs="Arial" w:eastAsia="Arial" w:hAnsi="Arial"/>
                <w:sz w:val="14"/>
                <w:szCs w:val="14"/>
                <w:color w:val="auto"/>
              </w:rPr>
              <w:t>Holdings</w:t>
            </w:r>
          </w:p>
        </w:tc>
        <w:tc>
          <w:tcPr>
            <w:tcW w:w="760" w:type="dxa"/>
            <w:vAlign w:val="bottom"/>
            <w:gridSpan w:val="2"/>
          </w:tcPr>
          <w:p>
            <w:pPr>
              <w:ind w:left="180"/>
              <w:spacing w:after="0"/>
              <w:rPr>
                <w:sz w:val="20"/>
                <w:szCs w:val="20"/>
                <w:color w:val="auto"/>
              </w:rPr>
            </w:pPr>
            <w:r>
              <w:rPr>
                <w:rFonts w:ascii="Arial" w:cs="Arial" w:eastAsia="Arial" w:hAnsi="Arial"/>
                <w:sz w:val="14"/>
                <w:szCs w:val="14"/>
                <w:color w:val="auto"/>
              </w:rPr>
              <w:t>Parent</w:t>
            </w:r>
          </w:p>
        </w:tc>
        <w:tc>
          <w:tcPr>
            <w:tcW w:w="980" w:type="dxa"/>
            <w:vAlign w:val="bottom"/>
            <w:gridSpan w:val="2"/>
          </w:tcPr>
          <w:p>
            <w:pPr>
              <w:jc w:val="right"/>
              <w:ind w:right="232"/>
              <w:spacing w:after="0"/>
              <w:rPr>
                <w:sz w:val="20"/>
                <w:szCs w:val="20"/>
                <w:color w:val="auto"/>
              </w:rPr>
            </w:pPr>
            <w:r>
              <w:rPr>
                <w:rFonts w:ascii="Arial" w:cs="Arial" w:eastAsia="Arial" w:hAnsi="Arial"/>
                <w:sz w:val="14"/>
                <w:szCs w:val="14"/>
                <w:color w:val="auto"/>
              </w:rPr>
              <w:t>Parents</w:t>
            </w:r>
          </w:p>
        </w:tc>
        <w:tc>
          <w:tcPr>
            <w:tcW w:w="1220" w:type="dxa"/>
            <w:vAlign w:val="bottom"/>
            <w:gridSpan w:val="2"/>
          </w:tcPr>
          <w:p>
            <w:pPr>
              <w:jc w:val="right"/>
              <w:ind w:right="192"/>
              <w:spacing w:after="0"/>
              <w:rPr>
                <w:sz w:val="20"/>
                <w:szCs w:val="20"/>
                <w:color w:val="auto"/>
              </w:rPr>
            </w:pPr>
            <w:r>
              <w:rPr>
                <w:rFonts w:ascii="Arial" w:cs="Arial" w:eastAsia="Arial" w:hAnsi="Arial"/>
                <w:sz w:val="14"/>
                <w:szCs w:val="14"/>
                <w:color w:val="auto"/>
              </w:rPr>
              <w:t>Media Parent</w:t>
            </w:r>
          </w:p>
        </w:tc>
        <w:tc>
          <w:tcPr>
            <w:tcW w:w="1060" w:type="dxa"/>
            <w:vAlign w:val="bottom"/>
            <w:gridSpan w:val="2"/>
          </w:tcPr>
          <w:p>
            <w:pPr>
              <w:ind w:left="160"/>
              <w:spacing w:after="0"/>
              <w:rPr>
                <w:sz w:val="20"/>
                <w:szCs w:val="20"/>
                <w:color w:val="auto"/>
              </w:rPr>
            </w:pPr>
            <w:r>
              <w:rPr>
                <w:rFonts w:ascii="Arial" w:cs="Arial" w:eastAsia="Arial" w:hAnsi="Arial"/>
                <w:sz w:val="14"/>
                <w:szCs w:val="14"/>
                <w:color w:val="auto"/>
              </w:rPr>
              <w:t>Subsidiaries</w:t>
            </w: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02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01"/>
        </w:trPr>
        <w:tc>
          <w:tcPr>
            <w:tcW w:w="20" w:type="dxa"/>
            <w:vAlign w:val="bottom"/>
          </w:tcPr>
          <w:p>
            <w:pPr>
              <w:spacing w:after="0"/>
              <w:rPr>
                <w:sz w:val="17"/>
                <w:szCs w:val="17"/>
                <w:color w:val="auto"/>
              </w:rPr>
            </w:pPr>
          </w:p>
        </w:tc>
        <w:tc>
          <w:tcPr>
            <w:tcW w:w="3340" w:type="dxa"/>
            <w:vAlign w:val="bottom"/>
            <w:tcBorders>
              <w:top w:val="single" w:sz="8" w:color="auto"/>
            </w:tcBorders>
            <w:shd w:val="clear" w:color="auto" w:fill="E5E5E5"/>
          </w:tcPr>
          <w:p>
            <w:pPr>
              <w:spacing w:after="0" w:line="201" w:lineRule="exact"/>
              <w:rPr>
                <w:sz w:val="20"/>
                <w:szCs w:val="20"/>
                <w:color w:val="auto"/>
              </w:rPr>
            </w:pPr>
            <w:r>
              <w:rPr>
                <w:rFonts w:ascii="Arial" w:cs="Arial" w:eastAsia="Arial" w:hAnsi="Arial"/>
                <w:sz w:val="18"/>
                <w:szCs w:val="18"/>
                <w:color w:val="auto"/>
              </w:rPr>
              <w:t>Net cash provided by (used in) operating</w:t>
            </w:r>
          </w:p>
        </w:tc>
        <w:tc>
          <w:tcPr>
            <w:tcW w:w="280" w:type="dxa"/>
            <w:vAlign w:val="bottom"/>
            <w:tcBorders>
              <w:top w:val="single" w:sz="8" w:color="auto"/>
            </w:tcBorders>
            <w:shd w:val="clear" w:color="auto" w:fill="E5E5E5"/>
          </w:tcPr>
          <w:p>
            <w:pPr>
              <w:spacing w:after="0"/>
              <w:rPr>
                <w:sz w:val="17"/>
                <w:szCs w:val="17"/>
                <w:color w:val="auto"/>
              </w:rPr>
            </w:pPr>
          </w:p>
        </w:tc>
        <w:tc>
          <w:tcPr>
            <w:tcW w:w="700" w:type="dxa"/>
            <w:vAlign w:val="bottom"/>
            <w:tcBorders>
              <w:top w:val="single" w:sz="8" w:color="auto"/>
            </w:tcBorders>
            <w:shd w:val="clear" w:color="auto" w:fill="E5E5E5"/>
          </w:tcPr>
          <w:p>
            <w:pPr>
              <w:spacing w:after="0"/>
              <w:rPr>
                <w:sz w:val="17"/>
                <w:szCs w:val="17"/>
                <w:color w:val="auto"/>
              </w:rPr>
            </w:pPr>
          </w:p>
        </w:tc>
        <w:tc>
          <w:tcPr>
            <w:tcW w:w="380" w:type="dxa"/>
            <w:vAlign w:val="bottom"/>
            <w:tcBorders>
              <w:top w:val="single" w:sz="8" w:color="auto"/>
            </w:tcBorders>
            <w:shd w:val="clear" w:color="auto" w:fill="E5E5E5"/>
          </w:tcPr>
          <w:p>
            <w:pPr>
              <w:spacing w:after="0"/>
              <w:rPr>
                <w:sz w:val="17"/>
                <w:szCs w:val="17"/>
                <w:color w:val="auto"/>
              </w:rPr>
            </w:pPr>
          </w:p>
        </w:tc>
        <w:tc>
          <w:tcPr>
            <w:tcW w:w="520" w:type="dxa"/>
            <w:vAlign w:val="bottom"/>
            <w:tcBorders>
              <w:top w:val="single" w:sz="8" w:color="auto"/>
            </w:tcBorders>
            <w:shd w:val="clear" w:color="auto" w:fill="E5E5E5"/>
          </w:tcPr>
          <w:p>
            <w:pPr>
              <w:spacing w:after="0"/>
              <w:rPr>
                <w:sz w:val="17"/>
                <w:szCs w:val="17"/>
                <w:color w:val="auto"/>
              </w:rPr>
            </w:pPr>
          </w:p>
        </w:tc>
        <w:tc>
          <w:tcPr>
            <w:tcW w:w="280" w:type="dxa"/>
            <w:vAlign w:val="bottom"/>
            <w:tcBorders>
              <w:top w:val="single" w:sz="8" w:color="auto"/>
            </w:tcBorders>
            <w:shd w:val="clear" w:color="auto" w:fill="E5E5E5"/>
          </w:tcPr>
          <w:p>
            <w:pPr>
              <w:spacing w:after="0"/>
              <w:rPr>
                <w:sz w:val="17"/>
                <w:szCs w:val="17"/>
                <w:color w:val="auto"/>
              </w:rPr>
            </w:pPr>
          </w:p>
        </w:tc>
        <w:tc>
          <w:tcPr>
            <w:tcW w:w="480" w:type="dxa"/>
            <w:vAlign w:val="bottom"/>
            <w:tcBorders>
              <w:top w:val="single" w:sz="8" w:color="auto"/>
            </w:tcBorders>
            <w:shd w:val="clear" w:color="auto" w:fill="E5E5E5"/>
          </w:tcPr>
          <w:p>
            <w:pPr>
              <w:spacing w:after="0"/>
              <w:rPr>
                <w:sz w:val="17"/>
                <w:szCs w:val="17"/>
                <w:color w:val="auto"/>
              </w:rPr>
            </w:pPr>
          </w:p>
        </w:tc>
        <w:tc>
          <w:tcPr>
            <w:tcW w:w="400" w:type="dxa"/>
            <w:vAlign w:val="bottom"/>
            <w:tcBorders>
              <w:top w:val="single" w:sz="8" w:color="auto"/>
            </w:tcBorders>
            <w:shd w:val="clear" w:color="auto" w:fill="E5E5E5"/>
          </w:tcPr>
          <w:p>
            <w:pPr>
              <w:spacing w:after="0"/>
              <w:rPr>
                <w:sz w:val="17"/>
                <w:szCs w:val="17"/>
                <w:color w:val="auto"/>
              </w:rPr>
            </w:pPr>
          </w:p>
        </w:tc>
        <w:tc>
          <w:tcPr>
            <w:tcW w:w="580" w:type="dxa"/>
            <w:vAlign w:val="bottom"/>
            <w:tcBorders>
              <w:top w:val="single" w:sz="8" w:color="auto"/>
            </w:tcBorders>
            <w:shd w:val="clear" w:color="auto" w:fill="E5E5E5"/>
          </w:tcPr>
          <w:p>
            <w:pPr>
              <w:spacing w:after="0"/>
              <w:rPr>
                <w:sz w:val="17"/>
                <w:szCs w:val="17"/>
                <w:color w:val="auto"/>
              </w:rPr>
            </w:pPr>
          </w:p>
        </w:tc>
        <w:tc>
          <w:tcPr>
            <w:tcW w:w="460" w:type="dxa"/>
            <w:vAlign w:val="bottom"/>
            <w:tcBorders>
              <w:top w:val="single" w:sz="8" w:color="auto"/>
            </w:tcBorders>
            <w:shd w:val="clear" w:color="auto" w:fill="E5E5E5"/>
          </w:tcPr>
          <w:p>
            <w:pPr>
              <w:spacing w:after="0"/>
              <w:rPr>
                <w:sz w:val="17"/>
                <w:szCs w:val="17"/>
                <w:color w:val="auto"/>
              </w:rPr>
            </w:pPr>
          </w:p>
        </w:tc>
        <w:tc>
          <w:tcPr>
            <w:tcW w:w="760" w:type="dxa"/>
            <w:vAlign w:val="bottom"/>
            <w:tcBorders>
              <w:top w:val="single" w:sz="8" w:color="auto"/>
            </w:tcBorders>
            <w:shd w:val="clear" w:color="auto" w:fill="E5E5E5"/>
          </w:tcPr>
          <w:p>
            <w:pPr>
              <w:spacing w:after="0"/>
              <w:rPr>
                <w:sz w:val="17"/>
                <w:szCs w:val="17"/>
                <w:color w:val="auto"/>
              </w:rPr>
            </w:pPr>
          </w:p>
        </w:tc>
        <w:tc>
          <w:tcPr>
            <w:tcW w:w="300" w:type="dxa"/>
            <w:vAlign w:val="bottom"/>
            <w:tcBorders>
              <w:top w:val="single" w:sz="8" w:color="auto"/>
            </w:tcBorders>
            <w:shd w:val="clear" w:color="auto" w:fill="E5E5E5"/>
          </w:tcPr>
          <w:p>
            <w:pPr>
              <w:spacing w:after="0"/>
              <w:rPr>
                <w:sz w:val="17"/>
                <w:szCs w:val="17"/>
                <w:color w:val="auto"/>
              </w:rPr>
            </w:pPr>
          </w:p>
        </w:tc>
        <w:tc>
          <w:tcPr>
            <w:tcW w:w="760" w:type="dxa"/>
            <w:vAlign w:val="bottom"/>
            <w:tcBorders>
              <w:top w:val="single" w:sz="8" w:color="auto"/>
            </w:tcBorders>
            <w:shd w:val="clear" w:color="auto" w:fill="E5E5E5"/>
          </w:tcPr>
          <w:p>
            <w:pPr>
              <w:spacing w:after="0"/>
              <w:rPr>
                <w:sz w:val="17"/>
                <w:szCs w:val="17"/>
                <w:color w:val="auto"/>
              </w:rPr>
            </w:pPr>
          </w:p>
        </w:tc>
        <w:tc>
          <w:tcPr>
            <w:tcW w:w="360" w:type="dxa"/>
            <w:vAlign w:val="bottom"/>
            <w:tcBorders>
              <w:top w:val="single" w:sz="8" w:color="auto"/>
            </w:tcBorders>
            <w:shd w:val="clear" w:color="auto" w:fill="E5E5E5"/>
          </w:tcPr>
          <w:p>
            <w:pPr>
              <w:spacing w:after="0"/>
              <w:rPr>
                <w:sz w:val="17"/>
                <w:szCs w:val="17"/>
                <w:color w:val="auto"/>
              </w:rPr>
            </w:pPr>
          </w:p>
        </w:tc>
        <w:tc>
          <w:tcPr>
            <w:tcW w:w="780" w:type="dxa"/>
            <w:vAlign w:val="bottom"/>
            <w:tcBorders>
              <w:top w:val="single" w:sz="8" w:color="auto"/>
            </w:tcBorders>
            <w:shd w:val="clear" w:color="auto" w:fill="E5E5E5"/>
          </w:tcPr>
          <w:p>
            <w:pPr>
              <w:spacing w:after="0"/>
              <w:rPr>
                <w:sz w:val="17"/>
                <w:szCs w:val="17"/>
                <w:color w:val="auto"/>
              </w:rPr>
            </w:pPr>
          </w:p>
        </w:tc>
        <w:tc>
          <w:tcPr>
            <w:tcW w:w="300" w:type="dxa"/>
            <w:vAlign w:val="bottom"/>
            <w:tcBorders>
              <w:top w:val="single" w:sz="8" w:color="auto"/>
            </w:tcBorders>
            <w:shd w:val="clear" w:color="auto" w:fill="E5E5E5"/>
          </w:tcPr>
          <w:p>
            <w:pPr>
              <w:spacing w:after="0"/>
              <w:rPr>
                <w:sz w:val="17"/>
                <w:szCs w:val="17"/>
                <w:color w:val="auto"/>
              </w:rPr>
            </w:pPr>
          </w:p>
        </w:tc>
        <w:tc>
          <w:tcPr>
            <w:tcW w:w="720" w:type="dxa"/>
            <w:vAlign w:val="bottom"/>
            <w:tcBorders>
              <w:top w:val="single" w:sz="8" w:color="auto"/>
            </w:tcBorders>
            <w:shd w:val="clear" w:color="auto" w:fill="E5E5E5"/>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3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activities</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(294)</w:t>
            </w:r>
          </w:p>
        </w:tc>
        <w:tc>
          <w:tcPr>
            <w:tcW w:w="38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82</w:t>
            </w:r>
          </w:p>
        </w:tc>
        <w:tc>
          <w:tcPr>
            <w:tcW w:w="40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(48)</w:t>
            </w:r>
          </w:p>
        </w:tc>
        <w:tc>
          <w:tcPr>
            <w:tcW w:w="46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(361)</w:t>
            </w:r>
          </w:p>
        </w:tc>
        <w:tc>
          <w:tcPr>
            <w:tcW w:w="30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5,867</w:t>
            </w:r>
          </w:p>
        </w:tc>
        <w:tc>
          <w:tcPr>
            <w:tcW w:w="36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5,245</w:t>
            </w:r>
          </w:p>
        </w:tc>
      </w:tr>
      <w:tr>
        <w:trPr>
          <w:trHeight w:val="212"/>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 transactions with affiliates</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97"/>
              </w:rPr>
              <w:t>3,609</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1</w:t>
            </w: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93"/>
              </w:rPr>
              <w:t>(82)</w:t>
            </w: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48</w:t>
            </w:r>
          </w:p>
        </w:tc>
        <w:tc>
          <w:tcPr>
            <w:tcW w:w="4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321</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98"/>
              </w:rPr>
              <w:t>(3,897)</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8"/>
                <w:szCs w:val="18"/>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w w:val="98"/>
              </w:rPr>
              <w:t>(1,720)</w:t>
            </w:r>
          </w:p>
        </w:tc>
        <w:tc>
          <w:tcPr>
            <w:tcW w:w="36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(1,726)</w:t>
            </w:r>
          </w:p>
        </w:tc>
      </w:tr>
      <w:tr>
        <w:trPr>
          <w:trHeight w:val="216"/>
        </w:trPr>
        <w:tc>
          <w:tcPr>
            <w:tcW w:w="20" w:type="dxa"/>
            <w:vAlign w:val="bottom"/>
          </w:tcPr>
          <w:p>
            <w:pPr>
              <w:spacing w:after="0"/>
              <w:rPr>
                <w:sz w:val="18"/>
                <w:szCs w:val="18"/>
                <w:color w:val="auto"/>
              </w:rPr>
            </w:pPr>
          </w:p>
        </w:tc>
        <w:tc>
          <w:tcPr>
            <w:tcW w:w="33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paid for intangible assets</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(273)</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(273)</w:t>
            </w:r>
          </w:p>
        </w:tc>
      </w:tr>
      <w:tr>
        <w:trPr>
          <w:trHeight w:val="208"/>
        </w:trPr>
        <w:tc>
          <w:tcPr>
            <w:tcW w:w="20" w:type="dxa"/>
            <w:vAlign w:val="bottom"/>
          </w:tcPr>
          <w:p>
            <w:pPr>
              <w:spacing w:after="0"/>
              <w:rPr>
                <w:sz w:val="18"/>
                <w:szCs w:val="18"/>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Acquisitions and construction of real</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estate properties</w:t>
            </w:r>
          </w:p>
        </w:tc>
        <w:tc>
          <w:tcPr>
            <w:tcW w:w="280" w:type="dxa"/>
            <w:vAlign w:val="bottom"/>
          </w:tcPr>
          <w:p>
            <w:pPr>
              <w:spacing w:after="0"/>
              <w:rPr>
                <w:sz w:val="19"/>
                <w:szCs w:val="19"/>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9"/>
        </w:trPr>
        <w:tc>
          <w:tcPr>
            <w:tcW w:w="20" w:type="dxa"/>
            <w:vAlign w:val="bottom"/>
          </w:tcPr>
          <w:p>
            <w:pPr>
              <w:spacing w:after="0"/>
              <w:rPr>
                <w:sz w:val="18"/>
                <w:szCs w:val="18"/>
                <w:color w:val="auto"/>
              </w:rPr>
            </w:pPr>
          </w:p>
        </w:tc>
        <w:tc>
          <w:tcPr>
            <w:tcW w:w="3340" w:type="dxa"/>
            <w:vAlign w:val="bottom"/>
            <w:shd w:val="clear" w:color="auto" w:fill="E5E5E5"/>
          </w:tcPr>
          <w:p>
            <w:pPr>
              <w:ind w:left="200"/>
              <w:spacing w:after="0"/>
              <w:rPr>
                <w:sz w:val="20"/>
                <w:szCs w:val="20"/>
                <w:color w:val="auto"/>
              </w:rPr>
            </w:pPr>
            <w:r>
              <w:rPr>
                <w:rFonts w:ascii="Arial" w:cs="Arial" w:eastAsia="Arial" w:hAnsi="Arial"/>
                <w:sz w:val="18"/>
                <w:szCs w:val="18"/>
                <w:color w:val="auto"/>
                <w:w w:val="99"/>
              </w:rPr>
              <w:t>Proceeds from sales of businesses and</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investments</w:t>
            </w:r>
          </w:p>
        </w:tc>
        <w:tc>
          <w:tcPr>
            <w:tcW w:w="28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9"/>
                <w:szCs w:val="19"/>
                <w:color w:val="auto"/>
              </w:rPr>
            </w:pPr>
          </w:p>
        </w:tc>
        <w:tc>
          <w:tcPr>
            <w:tcW w:w="4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9"/>
                <w:szCs w:val="19"/>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180</w:t>
            </w:r>
          </w:p>
        </w:tc>
        <w:tc>
          <w:tcPr>
            <w:tcW w:w="360" w:type="dxa"/>
            <w:vAlign w:val="bottom"/>
            <w:shd w:val="clear" w:color="auto" w:fill="E5E5E5"/>
          </w:tcPr>
          <w:p>
            <w:pPr>
              <w:spacing w:after="0"/>
              <w:rPr>
                <w:sz w:val="19"/>
                <w:szCs w:val="19"/>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180</w:t>
            </w:r>
          </w:p>
        </w:tc>
      </w:tr>
      <w:tr>
        <w:trPr>
          <w:trHeight w:val="216"/>
        </w:trPr>
        <w:tc>
          <w:tcPr>
            <w:tcW w:w="20" w:type="dxa"/>
            <w:vAlign w:val="bottom"/>
          </w:tcPr>
          <w:p>
            <w:pPr>
              <w:spacing w:after="0"/>
              <w:rPr>
                <w:sz w:val="18"/>
                <w:szCs w:val="18"/>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280" w:type="dxa"/>
            <w:vAlign w:val="bottom"/>
          </w:tcPr>
          <w:p>
            <w:pPr>
              <w:spacing w:after="0"/>
              <w:rPr>
                <w:sz w:val="18"/>
                <w:szCs w:val="18"/>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33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186</w:t>
            </w:r>
          </w:p>
        </w:tc>
        <w:tc>
          <w:tcPr>
            <w:tcW w:w="36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181</w:t>
            </w:r>
          </w:p>
        </w:tc>
      </w:tr>
      <w:tr>
        <w:trPr>
          <w:trHeight w:val="201"/>
        </w:trPr>
        <w:tc>
          <w:tcPr>
            <w:tcW w:w="20" w:type="dxa"/>
            <w:vAlign w:val="bottom"/>
          </w:tcPr>
          <w:p>
            <w:pPr>
              <w:spacing w:after="0"/>
              <w:rPr>
                <w:sz w:val="17"/>
                <w:szCs w:val="17"/>
                <w:color w:val="auto"/>
              </w:rPr>
            </w:pPr>
          </w:p>
        </w:tc>
        <w:tc>
          <w:tcPr>
            <w:tcW w:w="3340" w:type="dxa"/>
            <w:vAlign w:val="bottom"/>
          </w:tcPr>
          <w:p>
            <w:pPr>
              <w:spacing w:after="0" w:line="201" w:lineRule="exact"/>
              <w:rPr>
                <w:sz w:val="20"/>
                <w:szCs w:val="20"/>
                <w:color w:val="auto"/>
              </w:rPr>
            </w:pPr>
            <w:r>
              <w:rPr>
                <w:rFonts w:ascii="Arial" w:cs="Arial" w:eastAsia="Arial" w:hAnsi="Arial"/>
                <w:sz w:val="18"/>
                <w:szCs w:val="18"/>
                <w:color w:val="auto"/>
              </w:rPr>
              <w:t>Net cash provided by (used in) investing</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3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activities</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97"/>
              </w:rPr>
              <w:t>3,603</w:t>
            </w:r>
          </w:p>
        </w:tc>
        <w:tc>
          <w:tcPr>
            <w:tcW w:w="3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3"/>
              </w:rPr>
              <w:t>(82)</w:t>
            </w:r>
          </w:p>
        </w:tc>
        <w:tc>
          <w:tcPr>
            <w:tcW w:w="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48</w:t>
            </w: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316</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8"/>
              </w:rPr>
              <w:t>(5,580)</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w:t>
            </w:r>
          </w:p>
        </w:tc>
      </w:tr>
      <w:tr>
        <w:trPr>
          <w:trHeight w:val="212"/>
        </w:trPr>
        <w:tc>
          <w:tcPr>
            <w:tcW w:w="20" w:type="dxa"/>
            <w:vAlign w:val="bottom"/>
          </w:tcPr>
          <w:p>
            <w:pPr>
              <w:spacing w:after="0"/>
              <w:rPr>
                <w:sz w:val="18"/>
                <w:szCs w:val="18"/>
                <w:color w:val="auto"/>
              </w:rPr>
            </w:pPr>
          </w:p>
        </w:tc>
        <w:tc>
          <w:tcPr>
            <w:tcW w:w="33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w w:val="93"/>
              </w:rPr>
              <w:t>Proceeds from (repayments of) short-term</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borrowings, net</w:t>
            </w:r>
          </w:p>
        </w:tc>
        <w:tc>
          <w:tcPr>
            <w:tcW w:w="280" w:type="dxa"/>
            <w:vAlign w:val="bottom"/>
          </w:tcPr>
          <w:p>
            <w:pPr>
              <w:spacing w:after="0"/>
              <w:rPr>
                <w:sz w:val="19"/>
                <w:szCs w:val="19"/>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(150)</w:t>
            </w:r>
          </w:p>
        </w:tc>
        <w:tc>
          <w:tcPr>
            <w:tcW w:w="36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7"/>
        </w:trPr>
        <w:tc>
          <w:tcPr>
            <w:tcW w:w="20" w:type="dxa"/>
            <w:vAlign w:val="bottom"/>
          </w:tcPr>
          <w:p>
            <w:pPr>
              <w:spacing w:after="0"/>
              <w:rPr>
                <w:sz w:val="18"/>
                <w:szCs w:val="18"/>
                <w:color w:val="auto"/>
              </w:rPr>
            </w:pPr>
          </w:p>
        </w:tc>
        <w:tc>
          <w:tcPr>
            <w:tcW w:w="33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borrowings</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Repurchases and repayments of debt</w:t>
            </w:r>
          </w:p>
        </w:tc>
        <w:tc>
          <w:tcPr>
            <w:tcW w:w="28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(900)</w:t>
            </w:r>
          </w:p>
        </w:tc>
        <w:tc>
          <w:tcPr>
            <w:tcW w:w="380" w:type="dxa"/>
            <w:vAlign w:val="bottom"/>
          </w:tcPr>
          <w:p>
            <w:pPr>
              <w:spacing w:after="0"/>
              <w:rPr>
                <w:sz w:val="18"/>
                <w:szCs w:val="18"/>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(909)</w:t>
            </w:r>
          </w:p>
        </w:tc>
      </w:tr>
      <w:tr>
        <w:trPr>
          <w:trHeight w:val="208"/>
        </w:trPr>
        <w:tc>
          <w:tcPr>
            <w:tcW w:w="20" w:type="dxa"/>
            <w:vAlign w:val="bottom"/>
          </w:tcPr>
          <w:p>
            <w:pPr>
              <w:spacing w:after="0"/>
              <w:rPr>
                <w:sz w:val="18"/>
                <w:szCs w:val="18"/>
                <w:color w:val="auto"/>
              </w:rPr>
            </w:pPr>
          </w:p>
        </w:tc>
        <w:tc>
          <w:tcPr>
            <w:tcW w:w="3340" w:type="dxa"/>
            <w:vAlign w:val="bottom"/>
            <w:shd w:val="clear" w:color="auto" w:fill="E5E5E5"/>
          </w:tcPr>
          <w:p>
            <w:pPr>
              <w:ind w:left="200"/>
              <w:spacing w:after="0"/>
              <w:rPr>
                <w:sz w:val="20"/>
                <w:szCs w:val="20"/>
                <w:color w:val="auto"/>
              </w:rPr>
            </w:pPr>
            <w:r>
              <w:rPr>
                <w:rFonts w:ascii="Arial" w:cs="Arial" w:eastAsia="Arial" w:hAnsi="Arial"/>
                <w:sz w:val="18"/>
                <w:szCs w:val="18"/>
                <w:color w:val="auto"/>
                <w:w w:val="94"/>
              </w:rPr>
              <w:t>Repurchases and retirements of common</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stock</w:t>
            </w:r>
          </w:p>
        </w:tc>
        <w:tc>
          <w:tcPr>
            <w:tcW w:w="28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87"/>
              </w:rPr>
              <w:t>(2,000)</w:t>
            </w:r>
          </w:p>
        </w:tc>
        <w:tc>
          <w:tcPr>
            <w:tcW w:w="38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9"/>
                <w:szCs w:val="19"/>
                <w:color w:val="auto"/>
              </w:rPr>
            </w:pPr>
          </w:p>
        </w:tc>
        <w:tc>
          <w:tcPr>
            <w:tcW w:w="4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9"/>
                <w:szCs w:val="19"/>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9"/>
                <w:szCs w:val="19"/>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20" w:type="dxa"/>
            <w:vAlign w:val="bottom"/>
          </w:tcPr>
          <w:p>
            <w:pPr>
              <w:spacing w:after="0"/>
              <w:rPr>
                <w:sz w:val="18"/>
                <w:szCs w:val="18"/>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(572)</w:t>
            </w:r>
          </w:p>
        </w:tc>
        <w:tc>
          <w:tcPr>
            <w:tcW w:w="380" w:type="dxa"/>
            <w:vAlign w:val="bottom"/>
          </w:tcPr>
          <w:p>
            <w:pPr>
              <w:spacing w:after="0"/>
              <w:rPr>
                <w:sz w:val="18"/>
                <w:szCs w:val="18"/>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(572)</w:t>
            </w:r>
          </w:p>
        </w:tc>
      </w:tr>
      <w:tr>
        <w:trPr>
          <w:trHeight w:val="216"/>
        </w:trPr>
        <w:tc>
          <w:tcPr>
            <w:tcW w:w="20" w:type="dxa"/>
            <w:vAlign w:val="bottom"/>
          </w:tcPr>
          <w:p>
            <w:pPr>
              <w:spacing w:after="0"/>
              <w:rPr>
                <w:sz w:val="18"/>
                <w:szCs w:val="18"/>
                <w:color w:val="auto"/>
              </w:rPr>
            </w:pPr>
          </w:p>
        </w:tc>
        <w:tc>
          <w:tcPr>
            <w:tcW w:w="33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Issuances of common stock</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28</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28</w:t>
            </w:r>
          </w:p>
        </w:tc>
      </w:tr>
      <w:tr>
        <w:trPr>
          <w:trHeight w:val="208"/>
        </w:trPr>
        <w:tc>
          <w:tcPr>
            <w:tcW w:w="20" w:type="dxa"/>
            <w:vAlign w:val="bottom"/>
          </w:tcPr>
          <w:p>
            <w:pPr>
              <w:spacing w:after="0"/>
              <w:rPr>
                <w:sz w:val="18"/>
                <w:szCs w:val="18"/>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Distributions to noncontrolling interests</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and dividends for redeemable</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subsidiary preferred stock</w:t>
            </w:r>
          </w:p>
        </w:tc>
        <w:tc>
          <w:tcPr>
            <w:tcW w:w="280" w:type="dxa"/>
            <w:vAlign w:val="bottom"/>
          </w:tcPr>
          <w:p>
            <w:pPr>
              <w:spacing w:after="0"/>
              <w:rPr>
                <w:sz w:val="19"/>
                <w:szCs w:val="19"/>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(62)</w:t>
            </w:r>
          </w:p>
        </w:tc>
        <w:tc>
          <w:tcPr>
            <w:tcW w:w="36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7"/>
        </w:trPr>
        <w:tc>
          <w:tcPr>
            <w:tcW w:w="20" w:type="dxa"/>
            <w:vAlign w:val="bottom"/>
          </w:tcPr>
          <w:p>
            <w:pPr>
              <w:spacing w:after="0"/>
              <w:rPr>
                <w:sz w:val="18"/>
                <w:szCs w:val="18"/>
                <w:color w:val="auto"/>
              </w:rPr>
            </w:pPr>
          </w:p>
        </w:tc>
        <w:tc>
          <w:tcPr>
            <w:tcW w:w="33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135</w:t>
            </w:r>
          </w:p>
        </w:tc>
        <w:tc>
          <w:tcPr>
            <w:tcW w:w="3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6</w:t>
            </w:r>
          </w:p>
        </w:tc>
        <w:tc>
          <w:tcPr>
            <w:tcW w:w="36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141</w:t>
            </w:r>
          </w:p>
        </w:tc>
      </w:tr>
      <w:tr>
        <w:trPr>
          <w:trHeight w:val="201"/>
        </w:trPr>
        <w:tc>
          <w:tcPr>
            <w:tcW w:w="20" w:type="dxa"/>
            <w:vAlign w:val="bottom"/>
          </w:tcPr>
          <w:p>
            <w:pPr>
              <w:spacing w:after="0"/>
              <w:rPr>
                <w:sz w:val="17"/>
                <w:szCs w:val="17"/>
                <w:color w:val="auto"/>
              </w:rPr>
            </w:pPr>
          </w:p>
        </w:tc>
        <w:tc>
          <w:tcPr>
            <w:tcW w:w="3340" w:type="dxa"/>
            <w:vAlign w:val="bottom"/>
          </w:tcPr>
          <w:p>
            <w:pPr>
              <w:spacing w:after="0" w:line="201" w:lineRule="exact"/>
              <w:rPr>
                <w:sz w:val="20"/>
                <w:szCs w:val="20"/>
                <w:color w:val="auto"/>
              </w:rPr>
            </w:pPr>
            <w:r>
              <w:rPr>
                <w:rFonts w:ascii="Arial" w:cs="Arial" w:eastAsia="Arial" w:hAnsi="Arial"/>
                <w:sz w:val="18"/>
                <w:szCs w:val="18"/>
                <w:color w:val="auto"/>
              </w:rPr>
              <w:t>Net cash provided by (used in) financing</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33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activities</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87"/>
              </w:rPr>
              <w:t>(3,309)</w:t>
            </w:r>
          </w:p>
        </w:tc>
        <w:tc>
          <w:tcPr>
            <w:tcW w:w="3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(214)</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(3,524)</w:t>
            </w:r>
          </w:p>
        </w:tc>
      </w:tr>
      <w:tr>
        <w:trPr>
          <w:trHeight w:val="202"/>
        </w:trPr>
        <w:tc>
          <w:tcPr>
            <w:tcW w:w="20" w:type="dxa"/>
            <w:vAlign w:val="bottom"/>
          </w:tcPr>
          <w:p>
            <w:pPr>
              <w:spacing w:after="0"/>
              <w:rPr>
                <w:sz w:val="17"/>
                <w:szCs w:val="17"/>
                <w:color w:val="auto"/>
              </w:rPr>
            </w:pPr>
          </w:p>
        </w:tc>
        <w:tc>
          <w:tcPr>
            <w:tcW w:w="33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Increase (decrease) in cash and cash</w:t>
            </w:r>
          </w:p>
        </w:tc>
        <w:tc>
          <w:tcPr>
            <w:tcW w:w="28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33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equivalents</w:t>
            </w:r>
          </w:p>
        </w:tc>
        <w:tc>
          <w:tcPr>
            <w:tcW w:w="28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9"/>
                <w:szCs w:val="19"/>
                <w:color w:val="auto"/>
              </w:rPr>
            </w:pPr>
          </w:p>
        </w:tc>
        <w:tc>
          <w:tcPr>
            <w:tcW w:w="4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9"/>
                <w:szCs w:val="19"/>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(46)</w:t>
            </w:r>
          </w:p>
        </w:tc>
        <w:tc>
          <w:tcPr>
            <w:tcW w:w="30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73</w:t>
            </w:r>
          </w:p>
        </w:tc>
        <w:tc>
          <w:tcPr>
            <w:tcW w:w="360" w:type="dxa"/>
            <w:vAlign w:val="bottom"/>
            <w:shd w:val="clear" w:color="auto" w:fill="E5E5E5"/>
          </w:tcPr>
          <w:p>
            <w:pPr>
              <w:spacing w:after="0"/>
              <w:rPr>
                <w:sz w:val="19"/>
                <w:szCs w:val="19"/>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27</w:t>
            </w:r>
          </w:p>
        </w:tc>
      </w:tr>
      <w:tr>
        <w:trPr>
          <w:trHeight w:val="208"/>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Cash and cash equivalents, beginning of</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3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period</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385</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3,525</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3,910</w:t>
            </w:r>
          </w:p>
        </w:tc>
      </w:tr>
      <w:tr>
        <w:trPr>
          <w:trHeight w:val="219"/>
        </w:trPr>
        <w:tc>
          <w:tcPr>
            <w:tcW w:w="20" w:type="dxa"/>
            <w:vAlign w:val="bottom"/>
          </w:tcPr>
          <w:p>
            <w:pPr>
              <w:spacing w:after="0"/>
              <w:rPr>
                <w:sz w:val="19"/>
                <w:szCs w:val="19"/>
                <w:color w:val="auto"/>
              </w:rPr>
            </w:pPr>
          </w:p>
        </w:tc>
        <w:tc>
          <w:tcPr>
            <w:tcW w:w="3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93"/>
              </w:rPr>
              <w:t>Cash and cash equivalents, end of period</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339</w:t>
            </w:r>
          </w:p>
        </w:tc>
        <w:tc>
          <w:tcPr>
            <w:tcW w:w="30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b w:val="1"/>
                <w:bCs w:val="1"/>
                <w:color w:val="auto"/>
              </w:rPr>
              <w:t>3,598</w:t>
            </w:r>
          </w:p>
        </w:tc>
        <w:tc>
          <w:tcPr>
            <w:tcW w:w="36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3,937</w:t>
            </w:r>
          </w:p>
        </w:tc>
      </w:tr>
      <w:tr>
        <w:trPr>
          <w:trHeight w:val="363"/>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Combined</w:t>
            </w: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right"/>
              <w:ind w:right="333"/>
              <w:spacing w:after="0" w:line="149" w:lineRule="exact"/>
              <w:rPr>
                <w:sz w:val="20"/>
                <w:szCs w:val="20"/>
                <w:color w:val="auto"/>
              </w:rPr>
            </w:pPr>
            <w:r>
              <w:rPr>
                <w:rFonts w:ascii="Arial" w:cs="Arial" w:eastAsia="Arial" w:hAnsi="Arial"/>
                <w:sz w:val="14"/>
                <w:szCs w:val="14"/>
                <w:color w:val="auto"/>
              </w:rPr>
              <w:t>Non-</w:t>
            </w:r>
          </w:p>
        </w:tc>
        <w:tc>
          <w:tcPr>
            <w:tcW w:w="360" w:type="dxa"/>
            <w:vAlign w:val="bottom"/>
          </w:tcPr>
          <w:p>
            <w:pPr>
              <w:spacing w:after="0"/>
              <w:rPr>
                <w:sz w:val="12"/>
                <w:szCs w:val="12"/>
                <w:color w:val="auto"/>
              </w:rPr>
            </w:pPr>
          </w:p>
        </w:tc>
        <w:tc>
          <w:tcPr>
            <w:tcW w:w="780" w:type="dxa"/>
            <w:vAlign w:val="bottom"/>
          </w:tcPr>
          <w:p>
            <w:pPr>
              <w:jc w:val="center"/>
              <w:ind w:right="293"/>
              <w:spacing w:after="0" w:line="149" w:lineRule="exact"/>
              <w:rPr>
                <w:sz w:val="20"/>
                <w:szCs w:val="20"/>
                <w:color w:val="auto"/>
              </w:rPr>
            </w:pPr>
            <w:r>
              <w:rPr>
                <w:rFonts w:ascii="Arial" w:cs="Arial" w:eastAsia="Arial" w:hAnsi="Arial"/>
                <w:sz w:val="14"/>
                <w:szCs w:val="14"/>
                <w:color w:val="auto"/>
                <w:w w:val="85"/>
              </w:rPr>
              <w:t>and</w:t>
            </w:r>
          </w:p>
        </w:tc>
        <w:tc>
          <w:tcPr>
            <w:tcW w:w="102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4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Comcast</w:t>
            </w:r>
          </w:p>
        </w:tc>
        <w:tc>
          <w:tcPr>
            <w:tcW w:w="9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Comcast</w:t>
            </w:r>
          </w:p>
        </w:tc>
        <w:tc>
          <w:tcPr>
            <w:tcW w:w="82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CCCL</w:t>
            </w:r>
          </w:p>
        </w:tc>
        <w:tc>
          <w:tcPr>
            <w:tcW w:w="98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CCHMO</w:t>
            </w:r>
          </w:p>
        </w:tc>
        <w:tc>
          <w:tcPr>
            <w:tcW w:w="12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NBCUniversal</w:t>
            </w:r>
          </w:p>
        </w:tc>
        <w:tc>
          <w:tcPr>
            <w:tcW w:w="106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Guarantor</w:t>
            </w:r>
          </w:p>
        </w:tc>
        <w:tc>
          <w:tcPr>
            <w:tcW w:w="114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Consolidation</w:t>
            </w:r>
          </w:p>
        </w:tc>
        <w:tc>
          <w:tcPr>
            <w:tcW w:w="30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33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5"/>
                <w:szCs w:val="15"/>
                <w:color w:val="auto"/>
              </w:rPr>
            </w:pPr>
          </w:p>
        </w:tc>
        <w:tc>
          <w:tcPr>
            <w:tcW w:w="700" w:type="dxa"/>
            <w:vAlign w:val="bottom"/>
          </w:tcPr>
          <w:p>
            <w:pPr>
              <w:jc w:val="right"/>
              <w:ind w:right="253"/>
              <w:spacing w:after="0"/>
              <w:rPr>
                <w:sz w:val="20"/>
                <w:szCs w:val="20"/>
                <w:color w:val="auto"/>
              </w:rPr>
            </w:pPr>
            <w:r>
              <w:rPr>
                <w:rFonts w:ascii="Arial" w:cs="Arial" w:eastAsia="Arial" w:hAnsi="Arial"/>
                <w:sz w:val="14"/>
                <w:szCs w:val="14"/>
                <w:color w:val="auto"/>
                <w:w w:val="82"/>
              </w:rPr>
              <w:t>Parent</w:t>
            </w:r>
          </w:p>
        </w:tc>
        <w:tc>
          <w:tcPr>
            <w:tcW w:w="900" w:type="dxa"/>
            <w:vAlign w:val="bottom"/>
            <w:gridSpan w:val="2"/>
          </w:tcPr>
          <w:p>
            <w:pPr>
              <w:ind w:left="180"/>
              <w:spacing w:after="0"/>
              <w:rPr>
                <w:sz w:val="20"/>
                <w:szCs w:val="20"/>
                <w:color w:val="auto"/>
              </w:rPr>
            </w:pPr>
            <w:r>
              <w:rPr>
                <w:rFonts w:ascii="Arial" w:cs="Arial" w:eastAsia="Arial" w:hAnsi="Arial"/>
                <w:sz w:val="14"/>
                <w:szCs w:val="14"/>
                <w:color w:val="auto"/>
              </w:rPr>
              <w:t>Holdings</w:t>
            </w:r>
          </w:p>
        </w:tc>
        <w:tc>
          <w:tcPr>
            <w:tcW w:w="820" w:type="dxa"/>
            <w:vAlign w:val="bottom"/>
            <w:gridSpan w:val="2"/>
          </w:tcPr>
          <w:p>
            <w:pPr>
              <w:jc w:val="right"/>
              <w:ind w:right="172"/>
              <w:spacing w:after="0"/>
              <w:rPr>
                <w:sz w:val="20"/>
                <w:szCs w:val="20"/>
                <w:color w:val="auto"/>
              </w:rPr>
            </w:pPr>
            <w:r>
              <w:rPr>
                <w:rFonts w:ascii="Arial" w:cs="Arial" w:eastAsia="Arial" w:hAnsi="Arial"/>
                <w:sz w:val="14"/>
                <w:szCs w:val="14"/>
                <w:color w:val="auto"/>
              </w:rPr>
              <w:t>Parent</w:t>
            </w:r>
          </w:p>
        </w:tc>
        <w:tc>
          <w:tcPr>
            <w:tcW w:w="980" w:type="dxa"/>
            <w:vAlign w:val="bottom"/>
            <w:gridSpan w:val="2"/>
          </w:tcPr>
          <w:p>
            <w:pPr>
              <w:jc w:val="right"/>
              <w:ind w:right="232"/>
              <w:spacing w:after="0"/>
              <w:rPr>
                <w:sz w:val="20"/>
                <w:szCs w:val="20"/>
                <w:color w:val="auto"/>
              </w:rPr>
            </w:pPr>
            <w:r>
              <w:rPr>
                <w:rFonts w:ascii="Arial" w:cs="Arial" w:eastAsia="Arial" w:hAnsi="Arial"/>
                <w:sz w:val="14"/>
                <w:szCs w:val="14"/>
                <w:color w:val="auto"/>
              </w:rPr>
              <w:t>Parents</w:t>
            </w:r>
          </w:p>
        </w:tc>
        <w:tc>
          <w:tcPr>
            <w:tcW w:w="1220" w:type="dxa"/>
            <w:vAlign w:val="bottom"/>
            <w:gridSpan w:val="2"/>
          </w:tcPr>
          <w:p>
            <w:pPr>
              <w:jc w:val="right"/>
              <w:ind w:right="192"/>
              <w:spacing w:after="0"/>
              <w:rPr>
                <w:sz w:val="20"/>
                <w:szCs w:val="20"/>
                <w:color w:val="auto"/>
              </w:rPr>
            </w:pPr>
            <w:r>
              <w:rPr>
                <w:rFonts w:ascii="Arial" w:cs="Arial" w:eastAsia="Arial" w:hAnsi="Arial"/>
                <w:sz w:val="14"/>
                <w:szCs w:val="14"/>
                <w:color w:val="auto"/>
              </w:rPr>
              <w:t>Media Parent</w:t>
            </w:r>
          </w:p>
        </w:tc>
        <w:tc>
          <w:tcPr>
            <w:tcW w:w="1060" w:type="dxa"/>
            <w:vAlign w:val="bottom"/>
            <w:gridSpan w:val="2"/>
          </w:tcPr>
          <w:p>
            <w:pPr>
              <w:ind w:left="160"/>
              <w:spacing w:after="0"/>
              <w:rPr>
                <w:sz w:val="20"/>
                <w:szCs w:val="20"/>
                <w:color w:val="auto"/>
              </w:rPr>
            </w:pPr>
            <w:r>
              <w:rPr>
                <w:rFonts w:ascii="Arial" w:cs="Arial" w:eastAsia="Arial" w:hAnsi="Arial"/>
                <w:sz w:val="14"/>
                <w:szCs w:val="14"/>
                <w:color w:val="auto"/>
              </w:rPr>
              <w:t>Subsidiaries</w:t>
            </w: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02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01"/>
        </w:trPr>
        <w:tc>
          <w:tcPr>
            <w:tcW w:w="20" w:type="dxa"/>
            <w:vAlign w:val="bottom"/>
          </w:tcPr>
          <w:p>
            <w:pPr>
              <w:spacing w:after="0"/>
              <w:rPr>
                <w:sz w:val="17"/>
                <w:szCs w:val="17"/>
                <w:color w:val="auto"/>
              </w:rPr>
            </w:pPr>
          </w:p>
        </w:tc>
        <w:tc>
          <w:tcPr>
            <w:tcW w:w="3320" w:type="dxa"/>
            <w:vAlign w:val="bottom"/>
            <w:tcBorders>
              <w:top w:val="single" w:sz="8" w:color="auto"/>
            </w:tcBorders>
            <w:shd w:val="clear" w:color="auto" w:fill="E5E5E5"/>
          </w:tcPr>
          <w:p>
            <w:pPr>
              <w:spacing w:after="0" w:line="201" w:lineRule="exact"/>
              <w:rPr>
                <w:sz w:val="20"/>
                <w:szCs w:val="20"/>
                <w:color w:val="auto"/>
              </w:rPr>
            </w:pPr>
            <w:r>
              <w:rPr>
                <w:rFonts w:ascii="Arial" w:cs="Arial" w:eastAsia="Arial" w:hAnsi="Arial"/>
                <w:sz w:val="18"/>
                <w:szCs w:val="18"/>
                <w:color w:val="auto"/>
              </w:rPr>
              <w:t>Net cash provided by (used in) operating</w:t>
            </w:r>
          </w:p>
        </w:tc>
        <w:tc>
          <w:tcPr>
            <w:tcW w:w="240" w:type="dxa"/>
            <w:vAlign w:val="bottom"/>
            <w:tcBorders>
              <w:top w:val="single" w:sz="8" w:color="auto"/>
            </w:tcBorders>
            <w:shd w:val="clear" w:color="auto" w:fill="E5E5E5"/>
          </w:tcPr>
          <w:p>
            <w:pPr>
              <w:spacing w:after="0"/>
              <w:rPr>
                <w:sz w:val="17"/>
                <w:szCs w:val="17"/>
                <w:color w:val="auto"/>
              </w:rPr>
            </w:pPr>
          </w:p>
        </w:tc>
        <w:tc>
          <w:tcPr>
            <w:tcW w:w="700" w:type="dxa"/>
            <w:vAlign w:val="bottom"/>
            <w:tcBorders>
              <w:top w:val="single" w:sz="8" w:color="auto"/>
            </w:tcBorders>
            <w:shd w:val="clear" w:color="auto" w:fill="E5E5E5"/>
          </w:tcPr>
          <w:p>
            <w:pPr>
              <w:spacing w:after="0"/>
              <w:rPr>
                <w:sz w:val="17"/>
                <w:szCs w:val="17"/>
                <w:color w:val="auto"/>
              </w:rPr>
            </w:pPr>
          </w:p>
        </w:tc>
        <w:tc>
          <w:tcPr>
            <w:tcW w:w="380" w:type="dxa"/>
            <w:vAlign w:val="bottom"/>
            <w:tcBorders>
              <w:top w:val="single" w:sz="8" w:color="auto"/>
            </w:tcBorders>
            <w:shd w:val="clear" w:color="auto" w:fill="E5E5E5"/>
          </w:tcPr>
          <w:p>
            <w:pPr>
              <w:spacing w:after="0"/>
              <w:rPr>
                <w:sz w:val="17"/>
                <w:szCs w:val="17"/>
                <w:color w:val="auto"/>
              </w:rPr>
            </w:pPr>
          </w:p>
        </w:tc>
        <w:tc>
          <w:tcPr>
            <w:tcW w:w="520" w:type="dxa"/>
            <w:vAlign w:val="bottom"/>
            <w:tcBorders>
              <w:top w:val="single" w:sz="8" w:color="auto"/>
            </w:tcBorders>
            <w:shd w:val="clear" w:color="auto" w:fill="E5E5E5"/>
          </w:tcPr>
          <w:p>
            <w:pPr>
              <w:spacing w:after="0"/>
              <w:rPr>
                <w:sz w:val="17"/>
                <w:szCs w:val="17"/>
                <w:color w:val="auto"/>
              </w:rPr>
            </w:pPr>
          </w:p>
        </w:tc>
        <w:tc>
          <w:tcPr>
            <w:tcW w:w="280" w:type="dxa"/>
            <w:vAlign w:val="bottom"/>
            <w:tcBorders>
              <w:top w:val="single" w:sz="8" w:color="auto"/>
            </w:tcBorders>
            <w:shd w:val="clear" w:color="auto" w:fill="E5E5E5"/>
          </w:tcPr>
          <w:p>
            <w:pPr>
              <w:spacing w:after="0"/>
              <w:rPr>
                <w:sz w:val="17"/>
                <w:szCs w:val="17"/>
                <w:color w:val="auto"/>
              </w:rPr>
            </w:pPr>
          </w:p>
        </w:tc>
        <w:tc>
          <w:tcPr>
            <w:tcW w:w="540" w:type="dxa"/>
            <w:vAlign w:val="bottom"/>
            <w:tcBorders>
              <w:top w:val="single" w:sz="8" w:color="auto"/>
            </w:tcBorders>
            <w:shd w:val="clear" w:color="auto" w:fill="E5E5E5"/>
          </w:tcPr>
          <w:p>
            <w:pPr>
              <w:spacing w:after="0"/>
              <w:rPr>
                <w:sz w:val="17"/>
                <w:szCs w:val="17"/>
                <w:color w:val="auto"/>
              </w:rPr>
            </w:pPr>
          </w:p>
        </w:tc>
        <w:tc>
          <w:tcPr>
            <w:tcW w:w="400" w:type="dxa"/>
            <w:vAlign w:val="bottom"/>
            <w:tcBorders>
              <w:top w:val="single" w:sz="8" w:color="auto"/>
            </w:tcBorders>
            <w:shd w:val="clear" w:color="auto" w:fill="E5E5E5"/>
          </w:tcPr>
          <w:p>
            <w:pPr>
              <w:spacing w:after="0"/>
              <w:rPr>
                <w:sz w:val="17"/>
                <w:szCs w:val="17"/>
                <w:color w:val="auto"/>
              </w:rPr>
            </w:pPr>
          </w:p>
        </w:tc>
        <w:tc>
          <w:tcPr>
            <w:tcW w:w="580" w:type="dxa"/>
            <w:vAlign w:val="bottom"/>
            <w:tcBorders>
              <w:top w:val="single" w:sz="8" w:color="auto"/>
            </w:tcBorders>
            <w:shd w:val="clear" w:color="auto" w:fill="E5E5E5"/>
          </w:tcPr>
          <w:p>
            <w:pPr>
              <w:spacing w:after="0"/>
              <w:rPr>
                <w:sz w:val="17"/>
                <w:szCs w:val="17"/>
                <w:color w:val="auto"/>
              </w:rPr>
            </w:pPr>
          </w:p>
        </w:tc>
        <w:tc>
          <w:tcPr>
            <w:tcW w:w="460" w:type="dxa"/>
            <w:vAlign w:val="bottom"/>
            <w:tcBorders>
              <w:top w:val="single" w:sz="8" w:color="auto"/>
            </w:tcBorders>
            <w:shd w:val="clear" w:color="auto" w:fill="E5E5E5"/>
          </w:tcPr>
          <w:p>
            <w:pPr>
              <w:spacing w:after="0"/>
              <w:rPr>
                <w:sz w:val="17"/>
                <w:szCs w:val="17"/>
                <w:color w:val="auto"/>
              </w:rPr>
            </w:pPr>
          </w:p>
        </w:tc>
        <w:tc>
          <w:tcPr>
            <w:tcW w:w="760" w:type="dxa"/>
            <w:vAlign w:val="bottom"/>
            <w:tcBorders>
              <w:top w:val="single" w:sz="8" w:color="auto"/>
            </w:tcBorders>
            <w:shd w:val="clear" w:color="auto" w:fill="E5E5E5"/>
          </w:tcPr>
          <w:p>
            <w:pPr>
              <w:spacing w:after="0"/>
              <w:rPr>
                <w:sz w:val="17"/>
                <w:szCs w:val="17"/>
                <w:color w:val="auto"/>
              </w:rPr>
            </w:pPr>
          </w:p>
        </w:tc>
        <w:tc>
          <w:tcPr>
            <w:tcW w:w="300" w:type="dxa"/>
            <w:vAlign w:val="bottom"/>
            <w:tcBorders>
              <w:top w:val="single" w:sz="8" w:color="auto"/>
            </w:tcBorders>
            <w:shd w:val="clear" w:color="auto" w:fill="E5E5E5"/>
          </w:tcPr>
          <w:p>
            <w:pPr>
              <w:spacing w:after="0"/>
              <w:rPr>
                <w:sz w:val="17"/>
                <w:szCs w:val="17"/>
                <w:color w:val="auto"/>
              </w:rPr>
            </w:pPr>
          </w:p>
        </w:tc>
        <w:tc>
          <w:tcPr>
            <w:tcW w:w="760" w:type="dxa"/>
            <w:vAlign w:val="bottom"/>
            <w:tcBorders>
              <w:top w:val="single" w:sz="8" w:color="auto"/>
            </w:tcBorders>
            <w:shd w:val="clear" w:color="auto" w:fill="E5E5E5"/>
          </w:tcPr>
          <w:p>
            <w:pPr>
              <w:spacing w:after="0"/>
              <w:rPr>
                <w:sz w:val="17"/>
                <w:szCs w:val="17"/>
                <w:color w:val="auto"/>
              </w:rPr>
            </w:pPr>
          </w:p>
        </w:tc>
        <w:tc>
          <w:tcPr>
            <w:tcW w:w="360" w:type="dxa"/>
            <w:vAlign w:val="bottom"/>
            <w:tcBorders>
              <w:top w:val="single" w:sz="8" w:color="auto"/>
            </w:tcBorders>
            <w:shd w:val="clear" w:color="auto" w:fill="E5E5E5"/>
          </w:tcPr>
          <w:p>
            <w:pPr>
              <w:spacing w:after="0"/>
              <w:rPr>
                <w:sz w:val="17"/>
                <w:szCs w:val="17"/>
                <w:color w:val="auto"/>
              </w:rPr>
            </w:pPr>
          </w:p>
        </w:tc>
        <w:tc>
          <w:tcPr>
            <w:tcW w:w="780" w:type="dxa"/>
            <w:vAlign w:val="bottom"/>
            <w:tcBorders>
              <w:top w:val="single" w:sz="8" w:color="auto"/>
            </w:tcBorders>
            <w:shd w:val="clear" w:color="auto" w:fill="E5E5E5"/>
          </w:tcPr>
          <w:p>
            <w:pPr>
              <w:spacing w:after="0"/>
              <w:rPr>
                <w:sz w:val="17"/>
                <w:szCs w:val="17"/>
                <w:color w:val="auto"/>
              </w:rPr>
            </w:pPr>
          </w:p>
        </w:tc>
        <w:tc>
          <w:tcPr>
            <w:tcW w:w="300" w:type="dxa"/>
            <w:vAlign w:val="bottom"/>
            <w:tcBorders>
              <w:top w:val="single" w:sz="8" w:color="auto"/>
            </w:tcBorders>
            <w:shd w:val="clear" w:color="auto" w:fill="E5E5E5"/>
          </w:tcPr>
          <w:p>
            <w:pPr>
              <w:spacing w:after="0"/>
              <w:rPr>
                <w:sz w:val="17"/>
                <w:szCs w:val="17"/>
                <w:color w:val="auto"/>
              </w:rPr>
            </w:pPr>
          </w:p>
        </w:tc>
        <w:tc>
          <w:tcPr>
            <w:tcW w:w="720" w:type="dxa"/>
            <w:vAlign w:val="bottom"/>
            <w:tcBorders>
              <w:top w:val="single" w:sz="8" w:color="auto"/>
            </w:tcBorders>
            <w:shd w:val="clear" w:color="auto" w:fill="E5E5E5"/>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3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activities</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(96)</w:t>
            </w:r>
          </w:p>
        </w:tc>
        <w:tc>
          <w:tcPr>
            <w:tcW w:w="38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w w:val="99"/>
              </w:rPr>
              <w:t>110</w:t>
            </w:r>
          </w:p>
        </w:tc>
        <w:tc>
          <w:tcPr>
            <w:tcW w:w="40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(47)</w:t>
            </w:r>
          </w:p>
        </w:tc>
        <w:tc>
          <w:tcPr>
            <w:tcW w:w="46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(306)</w:t>
            </w:r>
          </w:p>
        </w:tc>
        <w:tc>
          <w:tcPr>
            <w:tcW w:w="30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4,827</w:t>
            </w:r>
          </w:p>
        </w:tc>
        <w:tc>
          <w:tcPr>
            <w:tcW w:w="36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4,486</w:t>
            </w:r>
          </w:p>
        </w:tc>
      </w:tr>
      <w:tr>
        <w:trPr>
          <w:trHeight w:val="212"/>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 transactions with affiliates</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97"/>
              </w:rPr>
              <w:t>1,370</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2</w:t>
            </w:r>
          </w:p>
        </w:tc>
        <w:tc>
          <w:tcPr>
            <w:tcW w:w="2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85"/>
              </w:rPr>
              <w:t>(110)</w:t>
            </w: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47</w:t>
            </w:r>
          </w:p>
        </w:tc>
        <w:tc>
          <w:tcPr>
            <w:tcW w:w="4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483</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98"/>
              </w:rPr>
              <w:t>(1,792)</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8"/>
                <w:szCs w:val="18"/>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w w:val="98"/>
              </w:rPr>
              <w:t>(1,448)</w:t>
            </w:r>
          </w:p>
        </w:tc>
        <w:tc>
          <w:tcPr>
            <w:tcW w:w="36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(1,448)</w:t>
            </w:r>
          </w:p>
        </w:tc>
      </w:tr>
      <w:tr>
        <w:trPr>
          <w:trHeight w:val="216"/>
        </w:trPr>
        <w:tc>
          <w:tcPr>
            <w:tcW w:w="20" w:type="dxa"/>
            <w:vAlign w:val="bottom"/>
          </w:tcPr>
          <w:p>
            <w:pPr>
              <w:spacing w:after="0"/>
              <w:rPr>
                <w:sz w:val="18"/>
                <w:szCs w:val="18"/>
                <w:color w:val="auto"/>
              </w:rPr>
            </w:pPr>
          </w:p>
        </w:tc>
        <w:tc>
          <w:tcPr>
            <w:tcW w:w="3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paid for intangible assets</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(217)</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(217)</w:t>
            </w:r>
          </w:p>
        </w:tc>
      </w:tr>
      <w:tr>
        <w:trPr>
          <w:trHeight w:val="208"/>
        </w:trPr>
        <w:tc>
          <w:tcPr>
            <w:tcW w:w="20" w:type="dxa"/>
            <w:vAlign w:val="bottom"/>
          </w:tcPr>
          <w:p>
            <w:pPr>
              <w:spacing w:after="0"/>
              <w:rPr>
                <w:sz w:val="18"/>
                <w:szCs w:val="18"/>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Acquisitions and construction of real</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420"/>
              <w:spacing w:after="0"/>
              <w:rPr>
                <w:sz w:val="20"/>
                <w:szCs w:val="20"/>
                <w:color w:val="auto"/>
              </w:rPr>
            </w:pPr>
            <w:r>
              <w:rPr>
                <w:rFonts w:ascii="Arial" w:cs="Arial" w:eastAsia="Arial" w:hAnsi="Arial"/>
                <w:sz w:val="18"/>
                <w:szCs w:val="18"/>
                <w:color w:val="auto"/>
              </w:rPr>
              <w:t>estate properties</w:t>
            </w:r>
          </w:p>
        </w:tc>
        <w:tc>
          <w:tcPr>
            <w:tcW w:w="240" w:type="dxa"/>
            <w:vAlign w:val="bottom"/>
          </w:tcPr>
          <w:p>
            <w:pPr>
              <w:spacing w:after="0"/>
              <w:rPr>
                <w:sz w:val="19"/>
                <w:szCs w:val="19"/>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09"/>
        </w:trPr>
        <w:tc>
          <w:tcPr>
            <w:tcW w:w="20" w:type="dxa"/>
            <w:vAlign w:val="bottom"/>
          </w:tcPr>
          <w:p>
            <w:pPr>
              <w:spacing w:after="0"/>
              <w:rPr>
                <w:sz w:val="18"/>
                <w:szCs w:val="18"/>
                <w:color w:val="auto"/>
              </w:rPr>
            </w:pPr>
          </w:p>
        </w:tc>
        <w:tc>
          <w:tcPr>
            <w:tcW w:w="3320" w:type="dxa"/>
            <w:vAlign w:val="bottom"/>
            <w:shd w:val="clear" w:color="auto" w:fill="E5E5E5"/>
          </w:tcPr>
          <w:p>
            <w:pPr>
              <w:ind w:left="200"/>
              <w:spacing w:after="0"/>
              <w:rPr>
                <w:sz w:val="20"/>
                <w:szCs w:val="20"/>
                <w:color w:val="auto"/>
              </w:rPr>
            </w:pPr>
            <w:r>
              <w:rPr>
                <w:rFonts w:ascii="Arial" w:cs="Arial" w:eastAsia="Arial" w:hAnsi="Arial"/>
                <w:sz w:val="18"/>
                <w:szCs w:val="18"/>
                <w:color w:val="auto"/>
                <w:w w:val="98"/>
              </w:rPr>
              <w:t>Proceeds from sales of businesses and</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3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investments</w:t>
            </w:r>
          </w:p>
        </w:tc>
        <w:tc>
          <w:tcPr>
            <w:tcW w:w="24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9"/>
                <w:szCs w:val="19"/>
                <w:color w:val="auto"/>
              </w:rPr>
            </w:pPr>
          </w:p>
        </w:tc>
        <w:tc>
          <w:tcPr>
            <w:tcW w:w="54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9"/>
                <w:szCs w:val="19"/>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300</w:t>
            </w:r>
          </w:p>
        </w:tc>
        <w:tc>
          <w:tcPr>
            <w:tcW w:w="360" w:type="dxa"/>
            <w:vAlign w:val="bottom"/>
            <w:shd w:val="clear" w:color="auto" w:fill="E5E5E5"/>
          </w:tcPr>
          <w:p>
            <w:pPr>
              <w:spacing w:after="0"/>
              <w:rPr>
                <w:sz w:val="19"/>
                <w:szCs w:val="19"/>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300</w:t>
            </w:r>
          </w:p>
        </w:tc>
      </w:tr>
      <w:tr>
        <w:trPr>
          <w:trHeight w:val="216"/>
        </w:trPr>
        <w:tc>
          <w:tcPr>
            <w:tcW w:w="20" w:type="dxa"/>
            <w:vAlign w:val="bottom"/>
          </w:tcPr>
          <w:p>
            <w:pPr>
              <w:spacing w:after="0"/>
              <w:rPr>
                <w:sz w:val="18"/>
                <w:szCs w:val="18"/>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24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33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(103)</w:t>
            </w:r>
          </w:p>
        </w:tc>
        <w:tc>
          <w:tcPr>
            <w:tcW w:w="36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(103)</w:t>
            </w:r>
          </w:p>
        </w:tc>
      </w:tr>
      <w:tr>
        <w:trPr>
          <w:trHeight w:val="201"/>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Net cash provided by (used in) investing</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3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activities</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97"/>
              </w:rPr>
              <w:t>1,360</w:t>
            </w:r>
          </w:p>
        </w:tc>
        <w:tc>
          <w:tcPr>
            <w:tcW w:w="3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85"/>
              </w:rPr>
              <w:t>(110)</w:t>
            </w:r>
          </w:p>
        </w:tc>
        <w:tc>
          <w:tcPr>
            <w:tcW w:w="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47</w:t>
            </w: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477</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8"/>
              </w:rPr>
              <w:t>(3,281)</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w:t>
            </w:r>
          </w:p>
        </w:tc>
      </w:tr>
      <w:tr>
        <w:trPr>
          <w:trHeight w:val="212"/>
        </w:trPr>
        <w:tc>
          <w:tcPr>
            <w:tcW w:w="20" w:type="dxa"/>
            <w:vAlign w:val="bottom"/>
          </w:tcPr>
          <w:p>
            <w:pPr>
              <w:spacing w:after="0"/>
              <w:rPr>
                <w:sz w:val="18"/>
                <w:szCs w:val="18"/>
                <w:color w:val="auto"/>
              </w:rPr>
            </w:pPr>
          </w:p>
        </w:tc>
        <w:tc>
          <w:tcPr>
            <w:tcW w:w="33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w w:val="92"/>
              </w:rPr>
              <w:t>Proceeds from (repayments of) short-term</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420"/>
              <w:spacing w:after="0"/>
              <w:rPr>
                <w:sz w:val="20"/>
                <w:szCs w:val="20"/>
                <w:color w:val="auto"/>
              </w:rPr>
            </w:pPr>
            <w:r>
              <w:rPr>
                <w:rFonts w:ascii="Arial" w:cs="Arial" w:eastAsia="Arial" w:hAnsi="Arial"/>
                <w:sz w:val="18"/>
                <w:szCs w:val="18"/>
                <w:color w:val="auto"/>
              </w:rPr>
              <w:t>borrowings, net</w:t>
            </w:r>
          </w:p>
        </w:tc>
        <w:tc>
          <w:tcPr>
            <w:tcW w:w="24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w w:val="87"/>
              </w:rPr>
              <w:t>(1,350)</w:t>
            </w:r>
          </w:p>
        </w:tc>
        <w:tc>
          <w:tcPr>
            <w:tcW w:w="380" w:type="dxa"/>
            <w:vAlign w:val="bottom"/>
          </w:tcPr>
          <w:p>
            <w:pPr>
              <w:spacing w:after="0"/>
              <w:rPr>
                <w:sz w:val="19"/>
                <w:szCs w:val="19"/>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986</w:t>
            </w:r>
          </w:p>
        </w:tc>
        <w:tc>
          <w:tcPr>
            <w:tcW w:w="36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17"/>
        </w:trPr>
        <w:tc>
          <w:tcPr>
            <w:tcW w:w="20" w:type="dxa"/>
            <w:vAlign w:val="bottom"/>
          </w:tcPr>
          <w:p>
            <w:pPr>
              <w:spacing w:after="0"/>
              <w:rPr>
                <w:sz w:val="18"/>
                <w:szCs w:val="18"/>
                <w:color w:val="auto"/>
              </w:rPr>
            </w:pPr>
          </w:p>
        </w:tc>
        <w:tc>
          <w:tcPr>
            <w:tcW w:w="3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borrowings</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97"/>
              </w:rPr>
              <w:t>2,184</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3</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2,187</w:t>
            </w:r>
          </w:p>
        </w:tc>
      </w:tr>
      <w:tr>
        <w:trPr>
          <w:trHeight w:val="216"/>
        </w:trPr>
        <w:tc>
          <w:tcPr>
            <w:tcW w:w="20" w:type="dxa"/>
            <w:vAlign w:val="bottom"/>
          </w:tcPr>
          <w:p>
            <w:pPr>
              <w:spacing w:after="0"/>
              <w:rPr>
                <w:sz w:val="18"/>
                <w:szCs w:val="18"/>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Repurchases and repayments of debt</w:t>
            </w:r>
          </w:p>
        </w:tc>
        <w:tc>
          <w:tcPr>
            <w:tcW w:w="24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w w:val="87"/>
              </w:rPr>
              <w:t>(1,000)</w:t>
            </w:r>
          </w:p>
        </w:tc>
        <w:tc>
          <w:tcPr>
            <w:tcW w:w="380" w:type="dxa"/>
            <w:vAlign w:val="bottom"/>
          </w:tcPr>
          <w:p>
            <w:pPr>
              <w:spacing w:after="0"/>
              <w:rPr>
                <w:sz w:val="18"/>
                <w:szCs w:val="18"/>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w w:val="98"/>
              </w:rPr>
              <w:t>(1,259)</w:t>
            </w:r>
          </w:p>
        </w:tc>
        <w:tc>
          <w:tcPr>
            <w:tcW w:w="36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(2,260)</w:t>
            </w:r>
          </w:p>
        </w:tc>
      </w:tr>
      <w:tr>
        <w:trPr>
          <w:trHeight w:val="208"/>
        </w:trPr>
        <w:tc>
          <w:tcPr>
            <w:tcW w:w="20" w:type="dxa"/>
            <w:vAlign w:val="bottom"/>
          </w:tcPr>
          <w:p>
            <w:pPr>
              <w:spacing w:after="0"/>
              <w:rPr>
                <w:sz w:val="18"/>
                <w:szCs w:val="18"/>
                <w:color w:val="auto"/>
              </w:rPr>
            </w:pPr>
          </w:p>
        </w:tc>
        <w:tc>
          <w:tcPr>
            <w:tcW w:w="3320" w:type="dxa"/>
            <w:vAlign w:val="bottom"/>
            <w:shd w:val="clear" w:color="auto" w:fill="E5E5E5"/>
          </w:tcPr>
          <w:p>
            <w:pPr>
              <w:ind w:left="200"/>
              <w:spacing w:after="0"/>
              <w:rPr>
                <w:sz w:val="20"/>
                <w:szCs w:val="20"/>
                <w:color w:val="auto"/>
              </w:rPr>
            </w:pPr>
            <w:r>
              <w:rPr>
                <w:rFonts w:ascii="Arial" w:cs="Arial" w:eastAsia="Arial" w:hAnsi="Arial"/>
                <w:sz w:val="18"/>
                <w:szCs w:val="18"/>
                <w:color w:val="auto"/>
                <w:w w:val="93"/>
              </w:rPr>
              <w:t>Repurchases and retirements of common</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3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stock</w:t>
            </w:r>
          </w:p>
        </w:tc>
        <w:tc>
          <w:tcPr>
            <w:tcW w:w="24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(750)</w:t>
            </w:r>
          </w:p>
        </w:tc>
        <w:tc>
          <w:tcPr>
            <w:tcW w:w="38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9"/>
                <w:szCs w:val="19"/>
                <w:color w:val="auto"/>
              </w:rPr>
            </w:pPr>
          </w:p>
        </w:tc>
        <w:tc>
          <w:tcPr>
            <w:tcW w:w="54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9"/>
                <w:szCs w:val="19"/>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9"/>
                <w:szCs w:val="19"/>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(750)</w:t>
            </w:r>
          </w:p>
        </w:tc>
      </w:tr>
      <w:tr>
        <w:trPr>
          <w:trHeight w:val="216"/>
        </w:trPr>
        <w:tc>
          <w:tcPr>
            <w:tcW w:w="20" w:type="dxa"/>
            <w:vAlign w:val="bottom"/>
          </w:tcPr>
          <w:p>
            <w:pPr>
              <w:spacing w:after="0"/>
              <w:rPr>
                <w:sz w:val="18"/>
                <w:szCs w:val="18"/>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Dividends paid</w:t>
            </w:r>
          </w:p>
        </w:tc>
        <w:tc>
          <w:tcPr>
            <w:tcW w:w="24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(508)</w:t>
            </w:r>
          </w:p>
        </w:tc>
        <w:tc>
          <w:tcPr>
            <w:tcW w:w="380" w:type="dxa"/>
            <w:vAlign w:val="bottom"/>
          </w:tcPr>
          <w:p>
            <w:pPr>
              <w:spacing w:after="0"/>
              <w:rPr>
                <w:sz w:val="18"/>
                <w:szCs w:val="18"/>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(508)</w:t>
            </w:r>
          </w:p>
        </w:tc>
      </w:tr>
      <w:tr>
        <w:trPr>
          <w:trHeight w:val="216"/>
        </w:trPr>
        <w:tc>
          <w:tcPr>
            <w:tcW w:w="20" w:type="dxa"/>
            <w:vAlign w:val="bottom"/>
          </w:tcPr>
          <w:p>
            <w:pPr>
              <w:spacing w:after="0"/>
              <w:rPr>
                <w:sz w:val="18"/>
                <w:szCs w:val="18"/>
                <w:color w:val="auto"/>
              </w:rPr>
            </w:pPr>
          </w:p>
        </w:tc>
        <w:tc>
          <w:tcPr>
            <w:tcW w:w="3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Issuances of common stock</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20</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20</w:t>
            </w:r>
          </w:p>
        </w:tc>
      </w:tr>
      <w:tr>
        <w:trPr>
          <w:trHeight w:val="208"/>
        </w:trPr>
        <w:tc>
          <w:tcPr>
            <w:tcW w:w="20" w:type="dxa"/>
            <w:vAlign w:val="bottom"/>
          </w:tcPr>
          <w:p>
            <w:pPr>
              <w:spacing w:after="0"/>
              <w:rPr>
                <w:sz w:val="18"/>
                <w:szCs w:val="18"/>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Distributions to noncontrolling interests</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420"/>
              <w:spacing w:after="0"/>
              <w:rPr>
                <w:sz w:val="20"/>
                <w:szCs w:val="20"/>
                <w:color w:val="auto"/>
              </w:rPr>
            </w:pPr>
            <w:r>
              <w:rPr>
                <w:rFonts w:ascii="Arial" w:cs="Arial" w:eastAsia="Arial" w:hAnsi="Arial"/>
                <w:sz w:val="18"/>
                <w:szCs w:val="18"/>
                <w:color w:val="auto"/>
              </w:rPr>
              <w:t>and dividends for redeemable</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420"/>
              <w:spacing w:after="0"/>
              <w:rPr>
                <w:sz w:val="20"/>
                <w:szCs w:val="20"/>
                <w:color w:val="auto"/>
              </w:rPr>
            </w:pPr>
            <w:r>
              <w:rPr>
                <w:rFonts w:ascii="Arial" w:cs="Arial" w:eastAsia="Arial" w:hAnsi="Arial"/>
                <w:sz w:val="18"/>
                <w:szCs w:val="18"/>
                <w:color w:val="auto"/>
              </w:rPr>
              <w:t>subsidiary preferred stock</w:t>
            </w:r>
          </w:p>
        </w:tc>
        <w:tc>
          <w:tcPr>
            <w:tcW w:w="240" w:type="dxa"/>
            <w:vAlign w:val="bottom"/>
          </w:tcPr>
          <w:p>
            <w:pPr>
              <w:spacing w:after="0"/>
              <w:rPr>
                <w:sz w:val="19"/>
                <w:szCs w:val="19"/>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(66)</w:t>
            </w:r>
          </w:p>
        </w:tc>
        <w:tc>
          <w:tcPr>
            <w:tcW w:w="36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7"/>
        </w:trPr>
        <w:tc>
          <w:tcPr>
            <w:tcW w:w="20" w:type="dxa"/>
            <w:vAlign w:val="bottom"/>
          </w:tcPr>
          <w:p>
            <w:pPr>
              <w:spacing w:after="0"/>
              <w:rPr>
                <w:sz w:val="18"/>
                <w:szCs w:val="18"/>
                <w:color w:val="auto"/>
              </w:rPr>
            </w:pPr>
          </w:p>
        </w:tc>
        <w:tc>
          <w:tcPr>
            <w:tcW w:w="33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140</w:t>
            </w:r>
          </w:p>
        </w:tc>
        <w:tc>
          <w:tcPr>
            <w:tcW w:w="3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(44)</w:t>
            </w:r>
          </w:p>
        </w:tc>
        <w:tc>
          <w:tcPr>
            <w:tcW w:w="36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96</w:t>
            </w:r>
          </w:p>
        </w:tc>
      </w:tr>
      <w:tr>
        <w:trPr>
          <w:trHeight w:val="201"/>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Net cash provided by (used in) financing</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activities</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87"/>
              </w:rPr>
              <w:t>(1,264)</w:t>
            </w:r>
          </w:p>
        </w:tc>
        <w:tc>
          <w:tcPr>
            <w:tcW w:w="3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(380)</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w:t>
            </w:r>
          </w:p>
        </w:tc>
      </w:tr>
      <w:tr>
        <w:trPr>
          <w:trHeight w:val="202"/>
        </w:trPr>
        <w:tc>
          <w:tcPr>
            <w:tcW w:w="20" w:type="dxa"/>
            <w:vAlign w:val="bottom"/>
          </w:tcPr>
          <w:p>
            <w:pPr>
              <w:spacing w:after="0"/>
              <w:rPr>
                <w:sz w:val="17"/>
                <w:szCs w:val="17"/>
                <w:color w:val="auto"/>
              </w:rPr>
            </w:pPr>
          </w:p>
        </w:tc>
        <w:tc>
          <w:tcPr>
            <w:tcW w:w="33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Increase (decrease) in cash and cash</w:t>
            </w:r>
          </w:p>
        </w:tc>
        <w:tc>
          <w:tcPr>
            <w:tcW w:w="24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3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equivalents</w:t>
            </w:r>
          </w:p>
        </w:tc>
        <w:tc>
          <w:tcPr>
            <w:tcW w:w="24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9"/>
                <w:szCs w:val="19"/>
                <w:color w:val="auto"/>
              </w:rPr>
            </w:pPr>
          </w:p>
        </w:tc>
        <w:tc>
          <w:tcPr>
            <w:tcW w:w="54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9"/>
                <w:szCs w:val="19"/>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170</w:t>
            </w:r>
          </w:p>
        </w:tc>
        <w:tc>
          <w:tcPr>
            <w:tcW w:w="30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1,166</w:t>
            </w:r>
          </w:p>
        </w:tc>
        <w:tc>
          <w:tcPr>
            <w:tcW w:w="360" w:type="dxa"/>
            <w:vAlign w:val="bottom"/>
            <w:shd w:val="clear" w:color="auto" w:fill="E5E5E5"/>
          </w:tcPr>
          <w:p>
            <w:pPr>
              <w:spacing w:after="0"/>
              <w:rPr>
                <w:sz w:val="19"/>
                <w:szCs w:val="19"/>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1,336</w:t>
            </w:r>
          </w:p>
        </w:tc>
      </w:tr>
      <w:tr>
        <w:trPr>
          <w:trHeight w:val="208"/>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Cash and cash equivalents, beginning of</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3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period</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336</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1,382</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1,718</w:t>
            </w:r>
          </w:p>
        </w:tc>
      </w:tr>
      <w:tr>
        <w:trPr>
          <w:trHeight w:val="219"/>
        </w:trPr>
        <w:tc>
          <w:tcPr>
            <w:tcW w:w="20" w:type="dxa"/>
            <w:vAlign w:val="bottom"/>
          </w:tcPr>
          <w:p>
            <w:pPr>
              <w:spacing w:after="0"/>
              <w:rPr>
                <w:sz w:val="19"/>
                <w:szCs w:val="19"/>
                <w:color w:val="auto"/>
              </w:rPr>
            </w:pPr>
          </w:p>
        </w:tc>
        <w:tc>
          <w:tcPr>
            <w:tcW w:w="33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92"/>
              </w:rPr>
              <w:t>Cash and cash equivalents, end of period</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506</w:t>
            </w:r>
          </w:p>
        </w:tc>
        <w:tc>
          <w:tcPr>
            <w:tcW w:w="30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b w:val="1"/>
                <w:bCs w:val="1"/>
                <w:color w:val="auto"/>
              </w:rPr>
              <w:t>2,548</w:t>
            </w:r>
          </w:p>
        </w:tc>
        <w:tc>
          <w:tcPr>
            <w:tcW w:w="36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3,054</w:t>
            </w:r>
          </w:p>
        </w:tc>
      </w:tr>
      <w:tr>
        <w:trPr>
          <w:trHeight w:val="36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ind w:right="92"/>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right="940"/>
        <w:spacing w:after="0" w:line="261"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8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w:t>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Comcast Cable is the nation’s largest provider of video, high-speed Internet and voice services (“cable services”) to residential customers under the XFINITY brand, and we also provide similar and other services to small and medium-sized businesses. As of March 31, 2015, our cable systems had 27.2 million total customer relationships, served 22.4 million video customers, 22.4 million high-speed Internet customers and 11.3 million voice customers, and passed more than 54 million homes and businesses. Our Cable Communications segment generates revenue primarily from subscriptions to our cable services, which we market individually and in bundled service packages, and from the sale of advertising. During the three months ended March 31, 2015, our Cable Communications segment generated 64% of our consolidated revenue and 78% of our operating income before depreciation and amortization.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Segments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NBCUniversal is one of the world’s leading media and entertainment companies that develops, produces and distributes entertainment, news and information, sports, and other content for global audiences. The Cable Networks, Broadcast Television, Filmed Entertainment and Theme Parks segments comprise the NBCUniversal businesses (collectively, the “NBCUniversal segments”).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Networks</w:t>
      </w:r>
    </w:p>
    <w:p>
      <w:pPr>
        <w:spacing w:after="0" w:line="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Cable Networks segment consists primarily of a diversified portfolio of cable television networks. Our cable networks are comprised of our national cable networks, which provide a variety of entertainment, news and information, and sports content, our regional sports and news networks, various international cable networks, our cable television production operations, and related digital media properties. Our Cable Networks segment generates revenue primarily from the distribution of our cable network programming to multichannel video providers, from the sale of advertising on our cable networks and related digital media properties, from the licensing of our owned programming through distribution to subscription video on demand services and various other distribution platforms, and from the sale of our owned programming electronically through digital distributors such as iTunes.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Broadcast Television</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Broadcast Television segment consists primarily of the NBC and Telemundo broadcast networks, our NBC and Telemundo owned local broadcast television stations, the NBC Universo national cable network, our broadcast television production operations, and related digital media properties. Our Broadcast Television segment generates revenue primarily from the sale of advertising on our broadcast networks, owned local broadcast television stations and related digital media properties, from the licensing of our owned programming through various distribution platforms, including to cable and broadcast networks and to subscription video on demand services, and from fees received under retransmission consent agreements.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Filmed Entertainment</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Filmed Entertainment segment primarily produces, acquires, markets and distributes filmed entertainment worldwide, and it also develops, produces and licenses live stage plays. Our films are produced primarily under the Universal Pictures, Focus Features and Illumination names. Our Filmed Entertainment segment generates revenue primarily from the worldwide distribution of our produced and acquired films for exhibition in movie theaters, from the licensing of our owned and acquired films through various distribution platforms, and from</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sale of our owned and acquired films on standard-definition video discs and Blu-ray discs (together, “DVDs”) and electronically through digital distributors. Our Filmed Entertainment segment also generates revenue from the production and licensing of live stage plays, from the distribution of filmed entertainment produced by third parties, and from Fandango, our movie ticketing and entertainment business.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Theme Parks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Theme Parks segment consists primarily of our Universal theme parks in Orlando, Florida and Hollywood, California. Our Theme Parks segment generates revenue primarily from theme park attendance and per capita spending. Per capita spending includes ticket price and in-park spending on food, beverages and merchandise. Our Theme Parks segment also receives fees from third parties that own and operate Universal Studios Japan and Universal Studios Singapore for intellectual property licenses and other services.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other business interests primarily include Comcast-Spectacor, which owns the Philadelphia Flyers and the Wells Fargo Center arena in Philadelphia, Pennsylvania and operates arena management-related businesses.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Warner Cable Merger and Related Divestiture Transactions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12, 2014, we entered into an agreement and plan of merger (the “merger agreement”) with Time Warner Cable Inc. (“Time Warner Cable”), which contemplated that Time Warner Cable would become our wholly owned subsidiary. On April 24, 2015, we and Time Warner Cable entered into a termination agreement, which terminated the merger agreement.</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25, 2014, we entered into an agreement with Charter Communications, Inc. (“Charter”), which contemplated three transactions: (1) a spin-off of certain of our existing cable systems into a newly formed public entity, (2) an exchange of certain former Time Warner Cable cable systems for Charter cable systems, and (3) a sale to Charter of certain former Time Warner Cable cable systems for cash (collectively, the “divestiture transactions”). In accordance with the terms of this agreement, the divestiture transactions became terminable upon termination of the merger agreement. On April 24, 2015, we delivered a notice of termination of the agreement to Charter.</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results of operations of our reportable business segments are affected by competition, as all of our businesses operate in intensely competitive, consumer-driven and rapidly changing environments and compete with a growing number of companies that provide a broad range of communications products and services and entertainment, news and information content to consumers.</w:t>
      </w:r>
    </w:p>
    <w:p>
      <w:pPr>
        <w:spacing w:after="0" w:line="4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Competition for our bundled cable services that include video, high-speed Internet and/or voice services consists primarily of direct broadcast satellite (“DBS”) providers, which have a national footprint and compete in all of our service areas, and phone companies with fiber-based networks, which overlap approximately 55% of our service areas and are continuing to expand their fiber-based networks. Our high-speed Internet services primarily compete with phone companies with fiber-based networks, which overlap approximately 60% of our service areas and also are continuing to expand their fiber-based networks. Many of these DBS and phone company competitors offer features, pricing and packaging for these services, individually and in bundles, comparable to what we offer. In May 2014, AT&amp;T, our largest phone company competitor, announced its intention to acquire DirecTV, the nation’s largest DBS provider. If completed, this transaction will create an even larger competitor for our cable services that will have the ability to expand its cable service offerings to include bundled wireless offerings.</w:t>
      </w:r>
    </w:p>
    <w:p>
      <w:pPr>
        <w:spacing w:after="0" w:line="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also continue to be new companies, some with significant financial resources, that potentially may compete on a larger scale with some or all of our cable services. For example, companies continue to emerge that provide Internet streaming and downloading of video programming, and existing companies have launched or announced plans to launch online video services that involve both linear and on-demand programming, some of which charge a lower, or even a nominal or no, fee. Google is providing high-speed Internet and video services in a limited number of areas in which we operate and recently announced plans to expand into additional</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geographical areas. Moreover, wireless technology, such as 3G and 4G wireless broadband services and Wi-Fi networks, may compete with our video and high-speed Internet services, and our voice services are facing increased competition as customers replace landline phones with mobile phones and Internet-based phone services such as Skype.</w:t>
      </w:r>
    </w:p>
    <w:p>
      <w:pPr>
        <w:spacing w:after="0" w:line="4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Each of NBCUniversal’s businesses also faces substantial and increasing competition from providers of similar types of content, as well as from other forms of entertainment and recreational activities. NBCUniversal also must compete to obtain talent, programming and other resources required in operating these businesses.</w:t>
      </w:r>
    </w:p>
    <w:p>
      <w:pPr>
        <w:spacing w:after="0" w:line="4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Technological changes are further intensifying and complicating the competitive landscape for all of our businesses by challenging existing business models and affecting consumer behavior. Services and devices that enable online digital distribution of movies, television shows, and other cable and broadcast video programming continue to gain consumer acceptance and evolve. Two traditional providers of video services have begun to offer smaller packages of programming networks, including one that is providing video services directly to customers over the Internet, at prices lower than our traditional video services. These services and devices may negatively affect demand for our video services, as well as demand for content from our cable networks, broadcast television and filmed entertainment businesses, as the number of entertainment choices available to consumers increases and the challenges posed by audience fragmentation intensify and audience ratings are pressured. In addition, delayed viewing and advertising skipping have become more common as the penetration of digital video recorders (“DVRs”) and similar products has increased and as content has become increasingly available via video on demand services and Internet sources, which may have a negative impact on our advertising revenue.</w:t>
      </w:r>
    </w:p>
    <w:p>
      <w:pPr>
        <w:spacing w:after="0" w:line="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our Cable Communications segment, we believe that adding more content and delivering through an increasing variety of platforms will assist in attracting and retaining customers for our cable services. To further enhance our video and high-speed Internet services, we continue to develop and launch new technology initiatives, such as our X1 platform and Cloud DVR technology, and deploy wireless gateway devices. In our NBCUniversal segments, to compete for consumers of our content and for customers at our theme parks, we have invested, and will continue to invest, substantial amounts in acquiring content and producing original content for our cable networks and broadcast television networks and our owned local broadcast television stations, including the acquisition of sports rights. We will also continue to invest in our film productions and in the development of new theme park attractions.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our businesses is subject to seasonal and cyclical variations. In our Cable Communications segment, our results are impacted by the seasonal nature of customers receiving our cable services in college and vacation markets. This generally results in a reduction in net customer additions in the second quarter and an increase in net customer additions in the third and fourth quarters of each year.</w:t>
      </w:r>
    </w:p>
    <w:p>
      <w:pPr>
        <w:spacing w:after="0" w:line="4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Revenue in our Cable Communications, Cable Networks and Broadcast Television segments is subject to cyclical advertising patterns and changes in viewership levels. Our U.S. advertising revenue is generally higher in the second and fourth quarters of each year, due in part to increases in consumer advertising in the spring and in the period leading up to and including the holiday season. U.S. advertising revenue is also cyclical, with a benefit in even-numbered years due to advertising related to candidates running for political office and issue-oriented advertising. Revenue in our Cable Networks and Broadcast Television segments fluctuates depending on the timing of when our programming is aired on television, which typically results in higher advertising revenue in the second and fourth quarters of each year. Our revenue and operating costs and expenses are cyclical as a result of our periodic broadcasts of major sporting events such as the Olympic Games, which affects our Cable Networks and Broadcast Television segments, and the Super Bowl, which affects our Broadcast Television segment. Our advertising revenue generally increases in the period of these broadcasts due to increased demand for advertising time, and our operating costs and expenses also increase as a result of our production costs and the amortization of the related rights fees.</w:t>
      </w:r>
    </w:p>
    <w:p>
      <w:pPr>
        <w:spacing w:after="0" w:line="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in our Filmed Entertainment segment fluctuates due to the timing of the release of films in movie theaters, on DVD and electronically through digital distributors. Release dates are determined by several factors, including competition and the timing of vacation and holiday periods. As a result, revenue tends to be seasonal,</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with increases experienced each year during the summer months and around the holidays. Revenue in our Cable Networks, Broadcast Television and Filmed Entertainment segments also fluctuates due to the timing of when our content is made available to licensees.</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in our Theme Parks segment fluctuates with changes in theme park attendance that result from the seasonal nature of vacation travel, local entertainment offerings and seasonal weather variations. Our theme parks generally experience peak attendance during the summer months when schools are closed and during early winter and spring holiday periods.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gridSpan w:val="3"/>
          </w:tcPr>
          <w:p>
            <w:pPr>
              <w:jc w:val="right"/>
              <w:ind w:right="474"/>
              <w:spacing w:after="0"/>
              <w:rPr>
                <w:sz w:val="20"/>
                <w:szCs w:val="20"/>
                <w:color w:val="auto"/>
              </w:rPr>
            </w:pPr>
            <w:r>
              <w:rPr>
                <w:rFonts w:ascii="Arial" w:cs="Arial" w:eastAsia="Arial" w:hAnsi="Arial"/>
                <w:sz w:val="14"/>
                <w:szCs w:val="14"/>
                <w:color w:val="auto"/>
                <w:w w:val="99"/>
              </w:rPr>
              <w:t>Three Months Ended</w:t>
            </w:r>
          </w:p>
        </w:tc>
        <w:tc>
          <w:tcPr>
            <w:tcW w:w="1060" w:type="dxa"/>
            <w:vAlign w:val="bottom"/>
          </w:tcPr>
          <w:p>
            <w:pPr>
              <w:jc w:val="right"/>
              <w:ind w:right="195"/>
              <w:spacing w:after="0"/>
              <w:rPr>
                <w:sz w:val="20"/>
                <w:szCs w:val="20"/>
                <w:color w:val="auto"/>
              </w:rPr>
            </w:pPr>
            <w:r>
              <w:rPr>
                <w:rFonts w:ascii="Arial" w:cs="Arial" w:eastAsia="Arial" w:hAnsi="Arial"/>
                <w:sz w:val="14"/>
                <w:szCs w:val="14"/>
                <w:color w:val="auto"/>
              </w:rPr>
              <w:t>Increase/</w:t>
            </w:r>
          </w:p>
        </w:tc>
      </w:tr>
      <w:tr>
        <w:trPr>
          <w:trHeight w:val="159"/>
        </w:trPr>
        <w:tc>
          <w:tcPr>
            <w:tcW w:w="20" w:type="dxa"/>
            <w:vAlign w:val="bottom"/>
          </w:tcPr>
          <w:p>
            <w:pPr>
              <w:spacing w:after="0"/>
              <w:rPr>
                <w:sz w:val="13"/>
                <w:szCs w:val="13"/>
                <w:color w:val="auto"/>
              </w:rPr>
            </w:pPr>
          </w:p>
        </w:tc>
        <w:tc>
          <w:tcPr>
            <w:tcW w:w="796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March 31</w:t>
            </w: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55"/>
              <w:spacing w:after="0" w:line="159" w:lineRule="exact"/>
              <w:rPr>
                <w:sz w:val="20"/>
                <w:szCs w:val="20"/>
                <w:color w:val="auto"/>
              </w:rPr>
            </w:pPr>
            <w:r>
              <w:rPr>
                <w:rFonts w:ascii="Arial" w:cs="Arial" w:eastAsia="Arial" w:hAnsi="Arial"/>
                <w:sz w:val="14"/>
                <w:szCs w:val="14"/>
                <w:color w:val="auto"/>
              </w:rPr>
              <w:t>(Decrease)</w:t>
            </w:r>
          </w:p>
        </w:tc>
      </w:tr>
      <w:tr>
        <w:trPr>
          <w:trHeight w:val="237"/>
        </w:trPr>
        <w:tc>
          <w:tcPr>
            <w:tcW w:w="79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500" w:type="dxa"/>
            <w:vAlign w:val="bottom"/>
          </w:tcPr>
          <w:p>
            <w:pPr>
              <w:spacing w:after="0"/>
              <w:rPr>
                <w:sz w:val="20"/>
                <w:szCs w:val="20"/>
                <w:color w:val="auto"/>
              </w:rPr>
            </w:pPr>
          </w:p>
        </w:tc>
        <w:tc>
          <w:tcPr>
            <w:tcW w:w="1000" w:type="dxa"/>
            <w:vAlign w:val="bottom"/>
          </w:tcPr>
          <w:p>
            <w:pPr>
              <w:jc w:val="right"/>
              <w:ind w:right="596"/>
              <w:spacing w:after="0"/>
              <w:rPr>
                <w:sz w:val="20"/>
                <w:szCs w:val="20"/>
                <w:color w:val="auto"/>
              </w:rPr>
            </w:pPr>
            <w:r>
              <w:rPr>
                <w:rFonts w:ascii="Arial" w:cs="Arial" w:eastAsia="Arial" w:hAnsi="Arial"/>
                <w:sz w:val="14"/>
                <w:szCs w:val="14"/>
                <w:color w:val="auto"/>
                <w:w w:val="96"/>
              </w:rPr>
              <w:t>2015</w:t>
            </w:r>
          </w:p>
        </w:tc>
        <w:tc>
          <w:tcPr>
            <w:tcW w:w="100" w:type="dxa"/>
            <w:vAlign w:val="bottom"/>
          </w:tcPr>
          <w:p>
            <w:pPr>
              <w:spacing w:after="0"/>
              <w:rPr>
                <w:sz w:val="20"/>
                <w:szCs w:val="20"/>
                <w:color w:val="auto"/>
              </w:rPr>
            </w:pPr>
          </w:p>
        </w:tc>
        <w:tc>
          <w:tcPr>
            <w:tcW w:w="780" w:type="dxa"/>
            <w:vAlign w:val="bottom"/>
          </w:tcPr>
          <w:p>
            <w:pPr>
              <w:jc w:val="right"/>
              <w:ind w:right="354"/>
              <w:spacing w:after="0"/>
              <w:rPr>
                <w:sz w:val="20"/>
                <w:szCs w:val="20"/>
                <w:color w:val="auto"/>
              </w:rPr>
            </w:pPr>
            <w:r>
              <w:rPr>
                <w:rFonts w:ascii="Arial" w:cs="Arial" w:eastAsia="Arial" w:hAnsi="Arial"/>
                <w:sz w:val="14"/>
                <w:szCs w:val="14"/>
                <w:color w:val="auto"/>
              </w:rPr>
              <w:t>2014</w:t>
            </w:r>
          </w:p>
        </w:tc>
        <w:tc>
          <w:tcPr>
            <w:tcW w:w="10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E5E5E5"/>
          </w:tcPr>
          <w:p>
            <w:pPr>
              <w:jc w:val="right"/>
              <w:ind w:right="436"/>
              <w:spacing w:after="0"/>
              <w:rPr>
                <w:sz w:val="20"/>
                <w:szCs w:val="20"/>
                <w:color w:val="auto"/>
              </w:rPr>
            </w:pPr>
            <w:r>
              <w:rPr>
                <w:rFonts w:ascii="Arial" w:cs="Arial" w:eastAsia="Arial" w:hAnsi="Arial"/>
                <w:sz w:val="18"/>
                <w:szCs w:val="18"/>
                <w:color w:val="auto"/>
                <w:w w:val="83"/>
              </w:rPr>
              <w:t>17,853</w:t>
            </w: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w w:val="83"/>
              </w:rPr>
              <w:t>17,408</w:t>
            </w:r>
          </w:p>
        </w:tc>
        <w:tc>
          <w:tcPr>
            <w:tcW w:w="10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Costs and Expenses:</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50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436"/>
              <w:spacing w:after="0"/>
              <w:rPr>
                <w:sz w:val="20"/>
                <w:szCs w:val="20"/>
                <w:color w:val="auto"/>
              </w:rPr>
            </w:pPr>
            <w:r>
              <w:rPr>
                <w:rFonts w:ascii="Arial" w:cs="Arial" w:eastAsia="Arial" w:hAnsi="Arial"/>
                <w:sz w:val="18"/>
                <w:szCs w:val="18"/>
                <w:color w:val="auto"/>
              </w:rPr>
              <w:t>5,463</w:t>
            </w:r>
          </w:p>
        </w:tc>
        <w:tc>
          <w:tcPr>
            <w:tcW w:w="1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5,908</w:t>
            </w:r>
          </w:p>
        </w:tc>
        <w:tc>
          <w:tcPr>
            <w:tcW w:w="106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(7.5)</w:t>
            </w: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500" w:type="dxa"/>
            <w:vAlign w:val="bottom"/>
          </w:tcPr>
          <w:p>
            <w:pPr>
              <w:spacing w:after="0"/>
              <w:rPr>
                <w:sz w:val="18"/>
                <w:szCs w:val="18"/>
                <w:color w:val="auto"/>
              </w:rPr>
            </w:pPr>
          </w:p>
        </w:tc>
        <w:tc>
          <w:tcPr>
            <w:tcW w:w="1000" w:type="dxa"/>
            <w:vAlign w:val="bottom"/>
          </w:tcPr>
          <w:p>
            <w:pPr>
              <w:jc w:val="right"/>
              <w:ind w:right="436"/>
              <w:spacing w:after="0"/>
              <w:rPr>
                <w:sz w:val="20"/>
                <w:szCs w:val="20"/>
                <w:color w:val="auto"/>
              </w:rPr>
            </w:pPr>
            <w:r>
              <w:rPr>
                <w:rFonts w:ascii="Arial" w:cs="Arial" w:eastAsia="Arial" w:hAnsi="Arial"/>
                <w:sz w:val="18"/>
                <w:szCs w:val="18"/>
                <w:color w:val="auto"/>
              </w:rPr>
              <w:t>5,079</w:t>
            </w:r>
          </w:p>
        </w:tc>
        <w:tc>
          <w:tcPr>
            <w:tcW w:w="100" w:type="dxa"/>
            <w:vAlign w:val="bottom"/>
          </w:tcPr>
          <w:p>
            <w:pPr>
              <w:spacing w:after="0"/>
              <w:rPr>
                <w:sz w:val="18"/>
                <w:szCs w:val="18"/>
                <w:color w:val="auto"/>
              </w:rPr>
            </w:pPr>
          </w:p>
        </w:tc>
        <w:tc>
          <w:tcPr>
            <w:tcW w:w="780" w:type="dxa"/>
            <w:vAlign w:val="bottom"/>
          </w:tcPr>
          <w:p>
            <w:pPr>
              <w:jc w:val="right"/>
              <w:ind w:right="214"/>
              <w:spacing w:after="0"/>
              <w:rPr>
                <w:sz w:val="20"/>
                <w:szCs w:val="20"/>
                <w:color w:val="auto"/>
              </w:rPr>
            </w:pPr>
            <w:r>
              <w:rPr>
                <w:rFonts w:ascii="Arial" w:cs="Arial" w:eastAsia="Arial" w:hAnsi="Arial"/>
                <w:sz w:val="18"/>
                <w:szCs w:val="18"/>
                <w:color w:val="auto"/>
              </w:rPr>
              <w:t>4,749</w:t>
            </w:r>
          </w:p>
        </w:tc>
        <w:tc>
          <w:tcPr>
            <w:tcW w:w="1060" w:type="dxa"/>
            <w:vAlign w:val="bottom"/>
          </w:tcPr>
          <w:p>
            <w:pPr>
              <w:jc w:val="right"/>
              <w:ind w:right="135"/>
              <w:spacing w:after="0"/>
              <w:rPr>
                <w:sz w:val="20"/>
                <w:szCs w:val="20"/>
                <w:color w:val="auto"/>
              </w:rPr>
            </w:pPr>
            <w:r>
              <w:rPr>
                <w:rFonts w:ascii="Arial" w:cs="Arial" w:eastAsia="Arial" w:hAnsi="Arial"/>
                <w:sz w:val="18"/>
                <w:szCs w:val="18"/>
                <w:color w:val="auto"/>
              </w:rPr>
              <w:t>6.9</w:t>
            </w:r>
          </w:p>
        </w:tc>
      </w:tr>
      <w:tr>
        <w:trPr>
          <w:trHeight w:val="216"/>
        </w:trPr>
        <w:tc>
          <w:tcPr>
            <w:tcW w:w="20" w:type="dxa"/>
            <w:vAlign w:val="bottom"/>
          </w:tcPr>
          <w:p>
            <w:pPr>
              <w:spacing w:after="0"/>
              <w:rPr>
                <w:sz w:val="18"/>
                <w:szCs w:val="18"/>
                <w:color w:val="auto"/>
              </w:rPr>
            </w:pPr>
          </w:p>
        </w:tc>
        <w:tc>
          <w:tcPr>
            <w:tcW w:w="79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50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436"/>
              <w:spacing w:after="0"/>
              <w:rPr>
                <w:sz w:val="20"/>
                <w:szCs w:val="20"/>
                <w:color w:val="auto"/>
              </w:rPr>
            </w:pPr>
            <w:r>
              <w:rPr>
                <w:rFonts w:ascii="Arial" w:cs="Arial" w:eastAsia="Arial" w:hAnsi="Arial"/>
                <w:sz w:val="18"/>
                <w:szCs w:val="18"/>
                <w:color w:val="auto"/>
              </w:rPr>
              <w:t>1,355</w:t>
            </w:r>
          </w:p>
        </w:tc>
        <w:tc>
          <w:tcPr>
            <w:tcW w:w="1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1,213</w:t>
            </w:r>
          </w:p>
        </w:tc>
        <w:tc>
          <w:tcPr>
            <w:tcW w:w="10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11.8</w:t>
            </w: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500" w:type="dxa"/>
            <w:vAlign w:val="bottom"/>
          </w:tcPr>
          <w:p>
            <w:pPr>
              <w:spacing w:after="0"/>
              <w:rPr>
                <w:sz w:val="18"/>
                <w:szCs w:val="18"/>
                <w:color w:val="auto"/>
              </w:rPr>
            </w:pPr>
          </w:p>
        </w:tc>
        <w:tc>
          <w:tcPr>
            <w:tcW w:w="1000" w:type="dxa"/>
            <w:vAlign w:val="bottom"/>
          </w:tcPr>
          <w:p>
            <w:pPr>
              <w:jc w:val="right"/>
              <w:ind w:right="436"/>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18"/>
                <w:szCs w:val="18"/>
                <w:color w:val="auto"/>
              </w:rPr>
            </w:pPr>
          </w:p>
        </w:tc>
        <w:tc>
          <w:tcPr>
            <w:tcW w:w="780" w:type="dxa"/>
            <w:vAlign w:val="bottom"/>
          </w:tcPr>
          <w:p>
            <w:pPr>
              <w:jc w:val="right"/>
              <w:ind w:right="214"/>
              <w:spacing w:after="0"/>
              <w:rPr>
                <w:sz w:val="20"/>
                <w:szCs w:val="20"/>
                <w:color w:val="auto"/>
              </w:rPr>
            </w:pPr>
            <w:r>
              <w:rPr>
                <w:rFonts w:ascii="Arial" w:cs="Arial" w:eastAsia="Arial" w:hAnsi="Arial"/>
                <w:sz w:val="18"/>
                <w:szCs w:val="18"/>
                <w:color w:val="auto"/>
              </w:rPr>
              <w:t>1,569</w:t>
            </w:r>
          </w:p>
        </w:tc>
        <w:tc>
          <w:tcPr>
            <w:tcW w:w="1060" w:type="dxa"/>
            <w:vAlign w:val="bottom"/>
          </w:tcPr>
          <w:p>
            <w:pPr>
              <w:jc w:val="right"/>
              <w:ind w:right="135"/>
              <w:spacing w:after="0"/>
              <w:rPr>
                <w:sz w:val="20"/>
                <w:szCs w:val="20"/>
                <w:color w:val="auto"/>
              </w:rPr>
            </w:pPr>
            <w:r>
              <w:rPr>
                <w:rFonts w:ascii="Arial" w:cs="Arial" w:eastAsia="Arial" w:hAnsi="Arial"/>
                <w:sz w:val="18"/>
                <w:szCs w:val="18"/>
                <w:color w:val="auto"/>
              </w:rPr>
              <w:t>4.1</w:t>
            </w:r>
          </w:p>
        </w:tc>
      </w:tr>
      <w:tr>
        <w:trPr>
          <w:trHeight w:val="216"/>
        </w:trPr>
        <w:tc>
          <w:tcPr>
            <w:tcW w:w="20" w:type="dxa"/>
            <w:vAlign w:val="bottom"/>
          </w:tcPr>
          <w:p>
            <w:pPr>
              <w:spacing w:after="0"/>
              <w:rPr>
                <w:sz w:val="18"/>
                <w:szCs w:val="18"/>
                <w:color w:val="auto"/>
              </w:rPr>
            </w:pPr>
          </w:p>
        </w:tc>
        <w:tc>
          <w:tcPr>
            <w:tcW w:w="79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50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436"/>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401</w:t>
            </w:r>
          </w:p>
        </w:tc>
        <w:tc>
          <w:tcPr>
            <w:tcW w:w="106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7.9</w:t>
            </w:r>
          </w:p>
        </w:tc>
      </w:tr>
      <w:tr>
        <w:trPr>
          <w:trHeight w:val="210"/>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500" w:type="dxa"/>
            <w:vAlign w:val="bottom"/>
          </w:tcPr>
          <w:p>
            <w:pPr>
              <w:spacing w:after="0"/>
              <w:rPr>
                <w:sz w:val="18"/>
                <w:szCs w:val="18"/>
                <w:color w:val="auto"/>
              </w:rPr>
            </w:pPr>
          </w:p>
        </w:tc>
        <w:tc>
          <w:tcPr>
            <w:tcW w:w="1000" w:type="dxa"/>
            <w:vAlign w:val="bottom"/>
          </w:tcPr>
          <w:p>
            <w:pPr>
              <w:jc w:val="right"/>
              <w:ind w:right="436"/>
              <w:spacing w:after="0"/>
              <w:rPr>
                <w:sz w:val="20"/>
                <w:szCs w:val="20"/>
                <w:color w:val="auto"/>
              </w:rPr>
            </w:pPr>
            <w:r>
              <w:rPr>
                <w:rFonts w:ascii="Arial" w:cs="Arial" w:eastAsia="Arial" w:hAnsi="Arial"/>
                <w:sz w:val="18"/>
                <w:szCs w:val="18"/>
                <w:color w:val="auto"/>
              </w:rPr>
              <w:t>3,890</w:t>
            </w:r>
          </w:p>
        </w:tc>
        <w:tc>
          <w:tcPr>
            <w:tcW w:w="100" w:type="dxa"/>
            <w:vAlign w:val="bottom"/>
          </w:tcPr>
          <w:p>
            <w:pPr>
              <w:spacing w:after="0"/>
              <w:rPr>
                <w:sz w:val="18"/>
                <w:szCs w:val="18"/>
                <w:color w:val="auto"/>
              </w:rPr>
            </w:pPr>
          </w:p>
        </w:tc>
        <w:tc>
          <w:tcPr>
            <w:tcW w:w="780" w:type="dxa"/>
            <w:vAlign w:val="bottom"/>
          </w:tcPr>
          <w:p>
            <w:pPr>
              <w:jc w:val="right"/>
              <w:ind w:right="214"/>
              <w:spacing w:after="0"/>
              <w:rPr>
                <w:sz w:val="20"/>
                <w:szCs w:val="20"/>
                <w:color w:val="auto"/>
              </w:rPr>
            </w:pPr>
            <w:r>
              <w:rPr>
                <w:rFonts w:ascii="Arial" w:cs="Arial" w:eastAsia="Arial" w:hAnsi="Arial"/>
                <w:sz w:val="18"/>
                <w:szCs w:val="18"/>
                <w:color w:val="auto"/>
              </w:rPr>
              <w:t>3,568</w:t>
            </w:r>
          </w:p>
        </w:tc>
        <w:tc>
          <w:tcPr>
            <w:tcW w:w="1060" w:type="dxa"/>
            <w:vAlign w:val="bottom"/>
          </w:tcPr>
          <w:p>
            <w:pPr>
              <w:jc w:val="right"/>
              <w:ind w:right="135"/>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79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income (expense) items, net</w:t>
            </w:r>
          </w:p>
        </w:tc>
        <w:tc>
          <w:tcPr>
            <w:tcW w:w="50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376"/>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(512)</w:t>
            </w:r>
          </w:p>
        </w:tc>
        <w:tc>
          <w:tcPr>
            <w:tcW w:w="106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(4.7)</w:t>
            </w:r>
          </w:p>
        </w:tc>
      </w:tr>
      <w:tr>
        <w:trPr>
          <w:trHeight w:val="210"/>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500" w:type="dxa"/>
            <w:vAlign w:val="bottom"/>
          </w:tcPr>
          <w:p>
            <w:pPr>
              <w:spacing w:after="0"/>
              <w:rPr>
                <w:sz w:val="18"/>
                <w:szCs w:val="18"/>
                <w:color w:val="auto"/>
              </w:rPr>
            </w:pPr>
          </w:p>
        </w:tc>
        <w:tc>
          <w:tcPr>
            <w:tcW w:w="1000" w:type="dxa"/>
            <w:vAlign w:val="bottom"/>
          </w:tcPr>
          <w:p>
            <w:pPr>
              <w:jc w:val="right"/>
              <w:ind w:right="436"/>
              <w:spacing w:after="0"/>
              <w:rPr>
                <w:sz w:val="20"/>
                <w:szCs w:val="20"/>
                <w:color w:val="auto"/>
              </w:rPr>
            </w:pPr>
            <w:r>
              <w:rPr>
                <w:rFonts w:ascii="Arial" w:cs="Arial" w:eastAsia="Arial" w:hAnsi="Arial"/>
                <w:sz w:val="18"/>
                <w:szCs w:val="18"/>
                <w:color w:val="auto"/>
              </w:rPr>
              <w:t>3,402</w:t>
            </w:r>
          </w:p>
        </w:tc>
        <w:tc>
          <w:tcPr>
            <w:tcW w:w="100" w:type="dxa"/>
            <w:vAlign w:val="bottom"/>
          </w:tcPr>
          <w:p>
            <w:pPr>
              <w:spacing w:after="0"/>
              <w:rPr>
                <w:sz w:val="18"/>
                <w:szCs w:val="18"/>
                <w:color w:val="auto"/>
              </w:rPr>
            </w:pPr>
          </w:p>
        </w:tc>
        <w:tc>
          <w:tcPr>
            <w:tcW w:w="780" w:type="dxa"/>
            <w:vAlign w:val="bottom"/>
          </w:tcPr>
          <w:p>
            <w:pPr>
              <w:jc w:val="right"/>
              <w:ind w:right="214"/>
              <w:spacing w:after="0"/>
              <w:rPr>
                <w:sz w:val="20"/>
                <w:szCs w:val="20"/>
                <w:color w:val="auto"/>
              </w:rPr>
            </w:pPr>
            <w:r>
              <w:rPr>
                <w:rFonts w:ascii="Arial" w:cs="Arial" w:eastAsia="Arial" w:hAnsi="Arial"/>
                <w:sz w:val="18"/>
                <w:szCs w:val="18"/>
                <w:color w:val="auto"/>
              </w:rPr>
              <w:t>3,056</w:t>
            </w:r>
          </w:p>
        </w:tc>
        <w:tc>
          <w:tcPr>
            <w:tcW w:w="1060" w:type="dxa"/>
            <w:vAlign w:val="bottom"/>
          </w:tcPr>
          <w:p>
            <w:pPr>
              <w:jc w:val="right"/>
              <w:ind w:right="135"/>
              <w:spacing w:after="0"/>
              <w:rPr>
                <w:sz w:val="20"/>
                <w:szCs w:val="20"/>
                <w:color w:val="auto"/>
              </w:rPr>
            </w:pPr>
            <w:r>
              <w:rPr>
                <w:rFonts w:ascii="Arial" w:cs="Arial" w:eastAsia="Arial" w:hAnsi="Arial"/>
                <w:sz w:val="18"/>
                <w:szCs w:val="18"/>
                <w:color w:val="auto"/>
              </w:rPr>
              <w:t>11.3</w:t>
            </w:r>
          </w:p>
        </w:tc>
      </w:tr>
      <w:tr>
        <w:trPr>
          <w:trHeight w:val="216"/>
        </w:trPr>
        <w:tc>
          <w:tcPr>
            <w:tcW w:w="20" w:type="dxa"/>
            <w:vAlign w:val="bottom"/>
          </w:tcPr>
          <w:p>
            <w:pPr>
              <w:spacing w:after="0"/>
              <w:rPr>
                <w:sz w:val="18"/>
                <w:szCs w:val="18"/>
                <w:color w:val="auto"/>
              </w:rPr>
            </w:pPr>
          </w:p>
        </w:tc>
        <w:tc>
          <w:tcPr>
            <w:tcW w:w="79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50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376"/>
              <w:spacing w:after="0"/>
              <w:rPr>
                <w:sz w:val="20"/>
                <w:szCs w:val="20"/>
                <w:color w:val="auto"/>
              </w:rPr>
            </w:pPr>
            <w:r>
              <w:rPr>
                <w:rFonts w:ascii="Arial" w:cs="Arial" w:eastAsia="Arial" w:hAnsi="Arial"/>
                <w:sz w:val="18"/>
                <w:szCs w:val="18"/>
                <w:color w:val="auto"/>
                <w:w w:val="91"/>
              </w:rPr>
              <w:t>(1,261)</w:t>
            </w:r>
          </w:p>
        </w:tc>
        <w:tc>
          <w:tcPr>
            <w:tcW w:w="1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w w:val="91"/>
              </w:rPr>
              <w:t>(1,118)</w:t>
            </w:r>
          </w:p>
        </w:tc>
        <w:tc>
          <w:tcPr>
            <w:tcW w:w="106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12.8</w:t>
            </w:r>
          </w:p>
        </w:tc>
      </w:tr>
      <w:tr>
        <w:trPr>
          <w:trHeight w:val="210"/>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Net income</w:t>
            </w:r>
          </w:p>
        </w:tc>
        <w:tc>
          <w:tcPr>
            <w:tcW w:w="500" w:type="dxa"/>
            <w:vAlign w:val="bottom"/>
          </w:tcPr>
          <w:p>
            <w:pPr>
              <w:spacing w:after="0"/>
              <w:rPr>
                <w:sz w:val="18"/>
                <w:szCs w:val="18"/>
                <w:color w:val="auto"/>
              </w:rPr>
            </w:pPr>
          </w:p>
        </w:tc>
        <w:tc>
          <w:tcPr>
            <w:tcW w:w="1000" w:type="dxa"/>
            <w:vAlign w:val="bottom"/>
          </w:tcPr>
          <w:p>
            <w:pPr>
              <w:jc w:val="right"/>
              <w:ind w:right="436"/>
              <w:spacing w:after="0"/>
              <w:rPr>
                <w:sz w:val="20"/>
                <w:szCs w:val="20"/>
                <w:color w:val="auto"/>
              </w:rPr>
            </w:pPr>
            <w:r>
              <w:rPr>
                <w:rFonts w:ascii="Arial" w:cs="Arial" w:eastAsia="Arial" w:hAnsi="Arial"/>
                <w:sz w:val="18"/>
                <w:szCs w:val="18"/>
                <w:color w:val="auto"/>
              </w:rPr>
              <w:t>2,141</w:t>
            </w:r>
          </w:p>
        </w:tc>
        <w:tc>
          <w:tcPr>
            <w:tcW w:w="100" w:type="dxa"/>
            <w:vAlign w:val="bottom"/>
          </w:tcPr>
          <w:p>
            <w:pPr>
              <w:spacing w:after="0"/>
              <w:rPr>
                <w:sz w:val="18"/>
                <w:szCs w:val="18"/>
                <w:color w:val="auto"/>
              </w:rPr>
            </w:pPr>
          </w:p>
        </w:tc>
        <w:tc>
          <w:tcPr>
            <w:tcW w:w="780" w:type="dxa"/>
            <w:vAlign w:val="bottom"/>
          </w:tcPr>
          <w:p>
            <w:pPr>
              <w:jc w:val="right"/>
              <w:ind w:right="214"/>
              <w:spacing w:after="0"/>
              <w:rPr>
                <w:sz w:val="20"/>
                <w:szCs w:val="20"/>
                <w:color w:val="auto"/>
              </w:rPr>
            </w:pPr>
            <w:r>
              <w:rPr>
                <w:rFonts w:ascii="Arial" w:cs="Arial" w:eastAsia="Arial" w:hAnsi="Arial"/>
                <w:sz w:val="18"/>
                <w:szCs w:val="18"/>
                <w:color w:val="auto"/>
              </w:rPr>
              <w:t>1,938</w:t>
            </w:r>
          </w:p>
        </w:tc>
        <w:tc>
          <w:tcPr>
            <w:tcW w:w="1060" w:type="dxa"/>
            <w:vAlign w:val="bottom"/>
          </w:tcPr>
          <w:p>
            <w:pPr>
              <w:jc w:val="right"/>
              <w:ind w:right="135"/>
              <w:spacing w:after="0"/>
              <w:rPr>
                <w:sz w:val="20"/>
                <w:szCs w:val="20"/>
                <w:color w:val="auto"/>
              </w:rPr>
            </w:pPr>
            <w:r>
              <w:rPr>
                <w:rFonts w:ascii="Arial" w:cs="Arial" w:eastAsia="Arial" w:hAnsi="Arial"/>
                <w:sz w:val="18"/>
                <w:szCs w:val="18"/>
                <w:color w:val="auto"/>
              </w:rPr>
              <w:t>10.5</w:t>
            </w:r>
          </w:p>
        </w:tc>
      </w:tr>
      <w:tr>
        <w:trPr>
          <w:trHeight w:val="216"/>
        </w:trPr>
        <w:tc>
          <w:tcPr>
            <w:tcW w:w="20" w:type="dxa"/>
            <w:vAlign w:val="bottom"/>
          </w:tcPr>
          <w:p>
            <w:pPr>
              <w:spacing w:after="0"/>
              <w:rPr>
                <w:sz w:val="18"/>
                <w:szCs w:val="18"/>
                <w:color w:val="auto"/>
              </w:rPr>
            </w:pPr>
          </w:p>
        </w:tc>
        <w:tc>
          <w:tcPr>
            <w:tcW w:w="79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 and redeemable subsidiary preferred stock</w:t>
            </w:r>
          </w:p>
        </w:tc>
        <w:tc>
          <w:tcPr>
            <w:tcW w:w="50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376"/>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(67)</w:t>
            </w:r>
          </w:p>
        </w:tc>
        <w:tc>
          <w:tcPr>
            <w:tcW w:w="106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22.3</w:t>
            </w:r>
          </w:p>
        </w:tc>
      </w:tr>
      <w:tr>
        <w:trPr>
          <w:trHeight w:val="217"/>
        </w:trPr>
        <w:tc>
          <w:tcPr>
            <w:tcW w:w="20" w:type="dxa"/>
            <w:vAlign w:val="bottom"/>
            <w:tcBorders>
              <w:bottom w:val="single" w:sz="8" w:color="auto"/>
            </w:tcBorders>
          </w:tcPr>
          <w:p>
            <w:pPr>
              <w:spacing w:after="0"/>
              <w:rPr>
                <w:sz w:val="18"/>
                <w:szCs w:val="18"/>
                <w:color w:val="auto"/>
              </w:rPr>
            </w:pPr>
          </w:p>
        </w:tc>
        <w:tc>
          <w:tcPr>
            <w:tcW w:w="7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8"/>
                <w:szCs w:val="18"/>
                <w:b w:val="1"/>
                <w:bCs w:val="1"/>
                <w:color w:val="auto"/>
              </w:rPr>
              <w:t>2,059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rPr>
              <w:t>1,871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Cable Communications, Filmed Entertainment and Theme Parks segments accounted for the increase in consolidated revenue for the three months ended March 31, 2015. The increase in consolidated revenue was offset by a decrease in our Cable Networks and Broadcast Television segments. Consolidated revenue for the three months ended March 31, 2015 includes $376 million of revenue associated with our broadcast of the 2015 Super Bowl in February 2015 and consolidated revenue for the three months ended March 31, 2014 includes $1.1 billion of revenue associated with our broadcast of the 2014 Sochi Olympics in February 2014. Excluding the impact of these events, consolidated revenue increased 7.2% for the three months ended March 31, 2015.</w:t>
      </w:r>
    </w:p>
    <w:p>
      <w:pPr>
        <w:spacing w:after="0" w:line="2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Revenue for our Cable Communications and NBCUniversal segments is discussed separately below under the heading “Segment Operating Results.” Revenue for our other businesses is discussed separately below under the heading “Corporate and Other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Costs and Expenses</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Cable Communications, Filmed Entertainment and Theme Parks segments accounted for substantially all of the increase in consolidated costs and expenses, excluding depreciation and amortization (“operating costs and expenses”) for the three months ended March 31, 2015. The increase was partially offset by lower operating costs and expenses in our Cable Networks and Broadcast Television segments, which were primarily due to our broadcast of the 2014 Sochi Olympics in February 2014. Our consolidated operating costs and expenses also include transaction-related costs associated with the Time Warner Cable merger and the divestiture transactions of $99 million and $17 million for the three months ended March 31, 2015 and 2014, respectively. These transactions were terminated on April 24, 2015.</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costs and expenses for our Cable Communications and NBCUniversal segments are discussed separately below under the heading “Segment Operating Results.” Operating costs and expenses for our corporate and other businesses are discussed separately below under the heading “Corporate and Other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8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segment operating results are presented based on how we assess operating performance and internally report financial information. 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depreciation and amortization expense that results from the capital-intensive nature of certain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Because we use operating income (loss) before depreciation and amortization to measure our segment profit or loss, we reconcile it to operating income, the most directly comparable financial measure calculated and presented in accordance with generally accepted accounting principles in the United States (“GAAP”), in the business segment footnote to our condensed consolidated financial statements (see Note 12 to Comcast’s condensed consolidated financial statements and Note 10 to NBCUniversal’s condensed consolidated financial statements). This measure should not be considered a substitute for operating income (loss), net income (loss) attributable to Comcast Corporation or NBCUniversal, net cash provided by operating activities, or other measures of performance or liquidity we have reported in accordance with GAAP.</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gridSpan w:val="3"/>
          </w:tcPr>
          <w:p>
            <w:pPr>
              <w:jc w:val="right"/>
              <w:ind w:right="433"/>
              <w:spacing w:after="0"/>
              <w:rPr>
                <w:sz w:val="20"/>
                <w:szCs w:val="20"/>
                <w:color w:val="auto"/>
              </w:rPr>
            </w:pPr>
            <w:r>
              <w:rPr>
                <w:rFonts w:ascii="Arial" w:cs="Arial" w:eastAsia="Arial" w:hAnsi="Arial"/>
                <w:sz w:val="14"/>
                <w:szCs w:val="14"/>
                <w:color w:val="auto"/>
                <w:w w:val="99"/>
              </w:rPr>
              <w:t>Three Months Ended</w:t>
            </w:r>
          </w:p>
        </w:tc>
        <w:tc>
          <w:tcPr>
            <w:tcW w:w="1520" w:type="dxa"/>
            <w:vAlign w:val="bottom"/>
            <w:gridSpan w:val="2"/>
          </w:tcPr>
          <w:p>
            <w:pPr>
              <w:jc w:val="right"/>
              <w:ind w:right="413"/>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49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64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March 31</w:t>
            </w:r>
          </w:p>
        </w:tc>
        <w:tc>
          <w:tcPr>
            <w:tcW w:w="7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right"/>
              <w:ind w:right="373"/>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4900" w:type="dxa"/>
            <w:vAlign w:val="bottom"/>
            <w:tcBorders>
              <w:bottom w:val="single" w:sz="8" w:color="auto"/>
            </w:tcBorders>
            <w:vMerge w:val="continue"/>
          </w:tcPr>
          <w:p>
            <w:pPr>
              <w:spacing w:after="0"/>
              <w:rPr>
                <w:sz w:val="12"/>
                <w:szCs w:val="12"/>
                <w:color w:val="auto"/>
              </w:rPr>
            </w:pPr>
          </w:p>
        </w:tc>
        <w:tc>
          <w:tcPr>
            <w:tcW w:w="26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color w:val="auto"/>
                <w:w w:val="96"/>
              </w:rPr>
              <w:t>2015</w:t>
            </w: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color w:val="auto"/>
              </w:rPr>
              <w:t>2014</w:t>
            </w:r>
          </w:p>
        </w:tc>
        <w:tc>
          <w:tcPr>
            <w:tcW w:w="82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9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6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Residential:</w:t>
            </w:r>
          </w:p>
        </w:tc>
        <w:tc>
          <w:tcPr>
            <w:tcW w:w="2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880"/>
              <w:spacing w:after="0"/>
              <w:rPr>
                <w:sz w:val="20"/>
                <w:szCs w:val="20"/>
                <w:color w:val="auto"/>
              </w:rPr>
            </w:pPr>
            <w:r>
              <w:rPr>
                <w:rFonts w:ascii="Arial" w:cs="Arial" w:eastAsia="Arial" w:hAnsi="Arial"/>
                <w:sz w:val="18"/>
                <w:szCs w:val="18"/>
                <w:color w:val="auto"/>
              </w:rPr>
              <w:t>Video</w:t>
            </w:r>
          </w:p>
        </w:tc>
        <w:tc>
          <w:tcPr>
            <w:tcW w:w="316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5,331</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5,178</w:t>
            </w:r>
          </w:p>
        </w:tc>
        <w:tc>
          <w:tcPr>
            <w:tcW w:w="82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$153</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900" w:type="dxa"/>
            <w:vAlign w:val="bottom"/>
          </w:tcPr>
          <w:p>
            <w:pPr>
              <w:ind w:left="880"/>
              <w:spacing w:after="0"/>
              <w:rPr>
                <w:sz w:val="20"/>
                <w:szCs w:val="20"/>
                <w:color w:val="auto"/>
              </w:rPr>
            </w:pPr>
            <w:r>
              <w:rPr>
                <w:rFonts w:ascii="Arial" w:cs="Arial" w:eastAsia="Arial" w:hAnsi="Arial"/>
                <w:sz w:val="18"/>
                <w:szCs w:val="18"/>
                <w:color w:val="auto"/>
              </w:rPr>
              <w:t>High-speed Internet</w:t>
            </w:r>
          </w:p>
        </w:tc>
        <w:tc>
          <w:tcPr>
            <w:tcW w:w="2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jc w:val="right"/>
              <w:ind w:right="176"/>
              <w:spacing w:after="0"/>
              <w:rPr>
                <w:sz w:val="20"/>
                <w:szCs w:val="20"/>
                <w:color w:val="auto"/>
              </w:rPr>
            </w:pPr>
            <w:r>
              <w:rPr>
                <w:rFonts w:ascii="Arial" w:cs="Arial" w:eastAsia="Arial" w:hAnsi="Arial"/>
                <w:sz w:val="18"/>
                <w:szCs w:val="18"/>
                <w:color w:val="auto"/>
              </w:rPr>
              <w:t>3,044</w:t>
            </w:r>
          </w:p>
        </w:tc>
        <w:tc>
          <w:tcPr>
            <w:tcW w:w="340" w:type="dxa"/>
            <w:vAlign w:val="bottom"/>
          </w:tcPr>
          <w:p>
            <w:pPr>
              <w:spacing w:after="0"/>
              <w:rPr>
                <w:sz w:val="18"/>
                <w:szCs w:val="18"/>
                <w:color w:val="auto"/>
              </w:rPr>
            </w:pPr>
          </w:p>
        </w:tc>
        <w:tc>
          <w:tcPr>
            <w:tcW w:w="760" w:type="dxa"/>
            <w:vAlign w:val="bottom"/>
          </w:tcPr>
          <w:p>
            <w:pPr>
              <w:jc w:val="right"/>
              <w:ind w:right="173"/>
              <w:spacing w:after="0"/>
              <w:rPr>
                <w:sz w:val="20"/>
                <w:szCs w:val="20"/>
                <w:color w:val="auto"/>
              </w:rPr>
            </w:pPr>
            <w:r>
              <w:rPr>
                <w:rFonts w:ascii="Arial" w:cs="Arial" w:eastAsia="Arial" w:hAnsi="Arial"/>
                <w:sz w:val="18"/>
                <w:szCs w:val="18"/>
                <w:color w:val="auto"/>
              </w:rPr>
              <w:t>2,750</w:t>
            </w: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294</w:t>
            </w:r>
          </w:p>
        </w:tc>
        <w:tc>
          <w:tcPr>
            <w:tcW w:w="700" w:type="dxa"/>
            <w:vAlign w:val="bottom"/>
          </w:tcPr>
          <w:p>
            <w:pPr>
              <w:jc w:val="right"/>
              <w:ind w:right="133"/>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880"/>
              <w:spacing w:after="0"/>
              <w:rPr>
                <w:sz w:val="20"/>
                <w:szCs w:val="20"/>
                <w:color w:val="auto"/>
              </w:rPr>
            </w:pPr>
            <w:r>
              <w:rPr>
                <w:rFonts w:ascii="Arial" w:cs="Arial" w:eastAsia="Arial" w:hAnsi="Arial"/>
                <w:sz w:val="18"/>
                <w:szCs w:val="18"/>
                <w:color w:val="auto"/>
              </w:rPr>
              <w:t>Voice</w:t>
            </w:r>
          </w:p>
        </w:tc>
        <w:tc>
          <w:tcPr>
            <w:tcW w:w="26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906</w:t>
            </w:r>
          </w:p>
        </w:tc>
        <w:tc>
          <w:tcPr>
            <w:tcW w:w="3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920</w:t>
            </w:r>
          </w:p>
        </w:tc>
        <w:tc>
          <w:tcPr>
            <w:tcW w:w="82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(14)</w:t>
            </w: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Business services</w:t>
            </w:r>
          </w:p>
        </w:tc>
        <w:tc>
          <w:tcPr>
            <w:tcW w:w="2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jc w:val="right"/>
              <w:ind w:right="176"/>
              <w:spacing w:after="0"/>
              <w:rPr>
                <w:sz w:val="20"/>
                <w:szCs w:val="20"/>
                <w:color w:val="auto"/>
              </w:rPr>
            </w:pPr>
            <w:r>
              <w:rPr>
                <w:rFonts w:ascii="Arial" w:cs="Arial" w:eastAsia="Arial" w:hAnsi="Arial"/>
                <w:sz w:val="18"/>
                <w:szCs w:val="18"/>
                <w:color w:val="auto"/>
              </w:rPr>
              <w:t>1,114</w:t>
            </w:r>
          </w:p>
        </w:tc>
        <w:tc>
          <w:tcPr>
            <w:tcW w:w="340" w:type="dxa"/>
            <w:vAlign w:val="bottom"/>
          </w:tcPr>
          <w:p>
            <w:pPr>
              <w:spacing w:after="0"/>
              <w:rPr>
                <w:sz w:val="18"/>
                <w:szCs w:val="18"/>
                <w:color w:val="auto"/>
              </w:rPr>
            </w:pPr>
          </w:p>
        </w:tc>
        <w:tc>
          <w:tcPr>
            <w:tcW w:w="760" w:type="dxa"/>
            <w:vAlign w:val="bottom"/>
          </w:tcPr>
          <w:p>
            <w:pPr>
              <w:jc w:val="right"/>
              <w:ind w:right="173"/>
              <w:spacing w:after="0"/>
              <w:rPr>
                <w:sz w:val="20"/>
                <w:szCs w:val="20"/>
                <w:color w:val="auto"/>
              </w:rPr>
            </w:pPr>
            <w:r>
              <w:rPr>
                <w:rFonts w:ascii="Arial" w:cs="Arial" w:eastAsia="Arial" w:hAnsi="Arial"/>
                <w:sz w:val="18"/>
                <w:szCs w:val="18"/>
                <w:color w:val="auto"/>
              </w:rPr>
              <w:t>917</w:t>
            </w: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197</w:t>
            </w:r>
          </w:p>
        </w:tc>
        <w:tc>
          <w:tcPr>
            <w:tcW w:w="700" w:type="dxa"/>
            <w:vAlign w:val="bottom"/>
          </w:tcPr>
          <w:p>
            <w:pPr>
              <w:jc w:val="right"/>
              <w:ind w:right="133"/>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Advertising</w:t>
            </w:r>
          </w:p>
        </w:tc>
        <w:tc>
          <w:tcPr>
            <w:tcW w:w="26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504</w:t>
            </w:r>
          </w:p>
        </w:tc>
        <w:tc>
          <w:tcPr>
            <w:tcW w:w="3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507</w:t>
            </w:r>
          </w:p>
        </w:tc>
        <w:tc>
          <w:tcPr>
            <w:tcW w:w="82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(3)</w:t>
            </w: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26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531</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485</w:t>
            </w:r>
          </w:p>
        </w:tc>
        <w:tc>
          <w:tcPr>
            <w:tcW w:w="8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46</w:t>
            </w:r>
          </w:p>
        </w:tc>
        <w:tc>
          <w:tcPr>
            <w:tcW w:w="7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0"/>
        </w:trPr>
        <w:tc>
          <w:tcPr>
            <w:tcW w:w="49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26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6"/>
              <w:spacing w:after="0"/>
              <w:rPr>
                <w:sz w:val="20"/>
                <w:szCs w:val="20"/>
                <w:color w:val="auto"/>
              </w:rPr>
            </w:pPr>
            <w:r>
              <w:rPr>
                <w:rFonts w:ascii="Arial" w:cs="Arial" w:eastAsia="Arial" w:hAnsi="Arial"/>
                <w:sz w:val="18"/>
                <w:szCs w:val="18"/>
                <w:b w:val="1"/>
                <w:bCs w:val="1"/>
                <w:color w:val="auto"/>
                <w:w w:val="83"/>
              </w:rPr>
              <w:t>11,430</w:t>
            </w:r>
          </w:p>
        </w:tc>
        <w:tc>
          <w:tcPr>
            <w:tcW w:w="3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73"/>
              <w:spacing w:after="0"/>
              <w:rPr>
                <w:sz w:val="20"/>
                <w:szCs w:val="20"/>
                <w:color w:val="auto"/>
              </w:rPr>
            </w:pPr>
            <w:r>
              <w:rPr>
                <w:rFonts w:ascii="Arial" w:cs="Arial" w:eastAsia="Arial" w:hAnsi="Arial"/>
                <w:sz w:val="18"/>
                <w:szCs w:val="18"/>
                <w:b w:val="1"/>
                <w:bCs w:val="1"/>
                <w:color w:val="auto"/>
                <w:w w:val="87"/>
              </w:rPr>
              <w:t>10,757</w:t>
            </w:r>
          </w:p>
        </w:tc>
        <w:tc>
          <w:tcPr>
            <w:tcW w:w="820" w:type="dxa"/>
            <w:vAlign w:val="bottom"/>
            <w:shd w:val="clear" w:color="auto" w:fill="E5E5E5"/>
          </w:tcPr>
          <w:p>
            <w:pPr>
              <w:jc w:val="right"/>
              <w:ind w:right="116"/>
              <w:spacing w:after="0"/>
              <w:rPr>
                <w:sz w:val="20"/>
                <w:szCs w:val="20"/>
                <w:color w:val="auto"/>
              </w:rPr>
            </w:pPr>
            <w:r>
              <w:rPr>
                <w:rFonts w:ascii="Arial" w:cs="Arial" w:eastAsia="Arial" w:hAnsi="Arial"/>
                <w:sz w:val="18"/>
                <w:szCs w:val="18"/>
                <w:b w:val="1"/>
                <w:bCs w:val="1"/>
                <w:color w:val="auto"/>
              </w:rPr>
              <w:t>673</w:t>
            </w:r>
          </w:p>
        </w:tc>
        <w:tc>
          <w:tcPr>
            <w:tcW w:w="700" w:type="dxa"/>
            <w:vAlign w:val="bottom"/>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6.3</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2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Programming</w:t>
            </w:r>
          </w:p>
        </w:tc>
        <w:tc>
          <w:tcPr>
            <w:tcW w:w="26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2,644</w:t>
            </w:r>
          </w:p>
        </w:tc>
        <w:tc>
          <w:tcPr>
            <w:tcW w:w="3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2,452</w:t>
            </w:r>
          </w:p>
        </w:tc>
        <w:tc>
          <w:tcPr>
            <w:tcW w:w="82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192</w:t>
            </w:r>
          </w:p>
        </w:tc>
        <w:tc>
          <w:tcPr>
            <w:tcW w:w="7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Technical and product support</w:t>
            </w:r>
          </w:p>
        </w:tc>
        <w:tc>
          <w:tcPr>
            <w:tcW w:w="2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jc w:val="right"/>
              <w:ind w:right="176"/>
              <w:spacing w:after="0"/>
              <w:rPr>
                <w:sz w:val="20"/>
                <w:szCs w:val="20"/>
                <w:color w:val="auto"/>
              </w:rPr>
            </w:pPr>
            <w:r>
              <w:rPr>
                <w:rFonts w:ascii="Arial" w:cs="Arial" w:eastAsia="Arial" w:hAnsi="Arial"/>
                <w:sz w:val="18"/>
                <w:szCs w:val="18"/>
                <w:color w:val="auto"/>
              </w:rPr>
              <w:t>1,421</w:t>
            </w:r>
          </w:p>
        </w:tc>
        <w:tc>
          <w:tcPr>
            <w:tcW w:w="340" w:type="dxa"/>
            <w:vAlign w:val="bottom"/>
          </w:tcPr>
          <w:p>
            <w:pPr>
              <w:spacing w:after="0"/>
              <w:rPr>
                <w:sz w:val="18"/>
                <w:szCs w:val="18"/>
                <w:color w:val="auto"/>
              </w:rPr>
            </w:pPr>
          </w:p>
        </w:tc>
        <w:tc>
          <w:tcPr>
            <w:tcW w:w="760" w:type="dxa"/>
            <w:vAlign w:val="bottom"/>
          </w:tcPr>
          <w:p>
            <w:pPr>
              <w:jc w:val="right"/>
              <w:ind w:right="173"/>
              <w:spacing w:after="0"/>
              <w:rPr>
                <w:sz w:val="20"/>
                <w:szCs w:val="20"/>
                <w:color w:val="auto"/>
              </w:rPr>
            </w:pPr>
            <w:r>
              <w:rPr>
                <w:rFonts w:ascii="Arial" w:cs="Arial" w:eastAsia="Arial" w:hAnsi="Arial"/>
                <w:sz w:val="18"/>
                <w:szCs w:val="18"/>
                <w:color w:val="auto"/>
              </w:rPr>
              <w:t>1,384</w:t>
            </w: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37</w:t>
            </w:r>
          </w:p>
        </w:tc>
        <w:tc>
          <w:tcPr>
            <w:tcW w:w="700" w:type="dxa"/>
            <w:vAlign w:val="bottom"/>
          </w:tcPr>
          <w:p>
            <w:pPr>
              <w:jc w:val="right"/>
              <w:ind w:right="13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Customer service</w:t>
            </w:r>
          </w:p>
        </w:tc>
        <w:tc>
          <w:tcPr>
            <w:tcW w:w="26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578</w:t>
            </w:r>
          </w:p>
        </w:tc>
        <w:tc>
          <w:tcPr>
            <w:tcW w:w="3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548</w:t>
            </w:r>
          </w:p>
        </w:tc>
        <w:tc>
          <w:tcPr>
            <w:tcW w:w="82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30</w:t>
            </w:r>
          </w:p>
        </w:tc>
        <w:tc>
          <w:tcPr>
            <w:tcW w:w="7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Franchise and other regulatory fees</w:t>
            </w:r>
          </w:p>
        </w:tc>
        <w:tc>
          <w:tcPr>
            <w:tcW w:w="2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jc w:val="right"/>
              <w:ind w:right="176"/>
              <w:spacing w:after="0"/>
              <w:rPr>
                <w:sz w:val="20"/>
                <w:szCs w:val="20"/>
                <w:color w:val="auto"/>
              </w:rPr>
            </w:pPr>
            <w:r>
              <w:rPr>
                <w:rFonts w:ascii="Arial" w:cs="Arial" w:eastAsia="Arial" w:hAnsi="Arial"/>
                <w:sz w:val="18"/>
                <w:szCs w:val="18"/>
                <w:color w:val="auto"/>
              </w:rPr>
              <w:t>334</w:t>
            </w:r>
          </w:p>
        </w:tc>
        <w:tc>
          <w:tcPr>
            <w:tcW w:w="340" w:type="dxa"/>
            <w:vAlign w:val="bottom"/>
          </w:tcPr>
          <w:p>
            <w:pPr>
              <w:spacing w:after="0"/>
              <w:rPr>
                <w:sz w:val="18"/>
                <w:szCs w:val="18"/>
                <w:color w:val="auto"/>
              </w:rPr>
            </w:pPr>
          </w:p>
        </w:tc>
        <w:tc>
          <w:tcPr>
            <w:tcW w:w="760" w:type="dxa"/>
            <w:vAlign w:val="bottom"/>
          </w:tcPr>
          <w:p>
            <w:pPr>
              <w:jc w:val="right"/>
              <w:ind w:right="173"/>
              <w:spacing w:after="0"/>
              <w:rPr>
                <w:sz w:val="20"/>
                <w:szCs w:val="20"/>
                <w:color w:val="auto"/>
              </w:rPr>
            </w:pPr>
            <w:r>
              <w:rPr>
                <w:rFonts w:ascii="Arial" w:cs="Arial" w:eastAsia="Arial" w:hAnsi="Arial"/>
                <w:sz w:val="18"/>
                <w:szCs w:val="18"/>
                <w:color w:val="auto"/>
              </w:rPr>
              <w:t>321</w:t>
            </w: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13</w:t>
            </w:r>
          </w:p>
        </w:tc>
        <w:tc>
          <w:tcPr>
            <w:tcW w:w="700" w:type="dxa"/>
            <w:vAlign w:val="bottom"/>
          </w:tcPr>
          <w:p>
            <w:pPr>
              <w:jc w:val="right"/>
              <w:ind w:right="133"/>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Advertising, marketing and promotion</w:t>
            </w:r>
          </w:p>
        </w:tc>
        <w:tc>
          <w:tcPr>
            <w:tcW w:w="26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783</w:t>
            </w:r>
          </w:p>
        </w:tc>
        <w:tc>
          <w:tcPr>
            <w:tcW w:w="3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706</w:t>
            </w:r>
          </w:p>
        </w:tc>
        <w:tc>
          <w:tcPr>
            <w:tcW w:w="82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77</w:t>
            </w:r>
          </w:p>
        </w:tc>
        <w:tc>
          <w:tcPr>
            <w:tcW w:w="7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26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996</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946</w:t>
            </w:r>
          </w:p>
        </w:tc>
        <w:tc>
          <w:tcPr>
            <w:tcW w:w="8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50</w:t>
            </w:r>
          </w:p>
        </w:tc>
        <w:tc>
          <w:tcPr>
            <w:tcW w:w="7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operating costs and expenses</w:t>
            </w:r>
          </w:p>
        </w:tc>
        <w:tc>
          <w:tcPr>
            <w:tcW w:w="264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color w:val="auto"/>
              </w:rPr>
              <w:t>6,756</w:t>
            </w:r>
          </w:p>
        </w:tc>
        <w:tc>
          <w:tcPr>
            <w:tcW w:w="3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6,357</w:t>
            </w:r>
          </w:p>
        </w:tc>
        <w:tc>
          <w:tcPr>
            <w:tcW w:w="82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399</w:t>
            </w:r>
          </w:p>
        </w:tc>
        <w:tc>
          <w:tcPr>
            <w:tcW w:w="7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7"/>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3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b w:val="1"/>
                <w:bCs w:val="1"/>
                <w:color w:val="auto"/>
              </w:rPr>
              <w:t>4,674</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4,400</w:t>
            </w:r>
          </w:p>
        </w:tc>
        <w:tc>
          <w:tcPr>
            <w:tcW w:w="8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$274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363"/>
        </w:trPr>
        <w:tc>
          <w:tcPr>
            <w:tcW w:w="4900" w:type="dxa"/>
            <w:vAlign w:val="bottom"/>
          </w:tcPr>
          <w:p>
            <w:pPr>
              <w:spacing w:after="0"/>
              <w:rPr>
                <w:sz w:val="24"/>
                <w:szCs w:val="24"/>
                <w:color w:val="auto"/>
              </w:rPr>
            </w:pPr>
          </w:p>
        </w:tc>
        <w:tc>
          <w:tcPr>
            <w:tcW w:w="2640" w:type="dxa"/>
            <w:vAlign w:val="bottom"/>
          </w:tcPr>
          <w:p>
            <w:pPr>
              <w:jc w:val="right"/>
              <w:ind w:right="1632"/>
              <w:spacing w:after="0"/>
              <w:rPr>
                <w:sz w:val="20"/>
                <w:szCs w:val="20"/>
                <w:color w:val="auto"/>
              </w:rPr>
            </w:pPr>
            <w:r>
              <w:rPr>
                <w:rFonts w:ascii="Arial" w:cs="Arial" w:eastAsia="Arial" w:hAnsi="Arial"/>
                <w:sz w:val="18"/>
                <w:szCs w:val="18"/>
                <w:color w:val="auto"/>
              </w:rPr>
              <w:t>26</w:t>
            </w: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Customer Metrics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340" w:type="dxa"/>
            <w:vAlign w:val="bottom"/>
            <w:tcBorders>
              <w:bottom w:val="single" w:sz="8" w:color="auto"/>
            </w:tcBorders>
            <w:gridSpan w:val="2"/>
          </w:tcPr>
          <w:p>
            <w:pPr>
              <w:jc w:val="right"/>
              <w:ind w:right="714"/>
              <w:spacing w:after="0"/>
              <w:rPr>
                <w:sz w:val="20"/>
                <w:szCs w:val="20"/>
                <w:color w:val="auto"/>
              </w:rPr>
            </w:pPr>
            <w:r>
              <w:rPr>
                <w:rFonts w:ascii="Arial" w:cs="Arial" w:eastAsia="Arial" w:hAnsi="Arial"/>
                <w:sz w:val="14"/>
                <w:szCs w:val="14"/>
                <w:color w:val="auto"/>
              </w:rPr>
              <w:t>Total Customers</w:t>
            </w:r>
          </w:p>
        </w:tc>
        <w:tc>
          <w:tcPr>
            <w:tcW w:w="2140" w:type="dxa"/>
            <w:vAlign w:val="bottom"/>
            <w:tcBorders>
              <w:bottom w:val="single" w:sz="8" w:color="auto"/>
            </w:tcBorders>
            <w:gridSpan w:val="2"/>
          </w:tcPr>
          <w:p>
            <w:pPr>
              <w:jc w:val="center"/>
              <w:ind w:left="160"/>
              <w:spacing w:after="0"/>
              <w:rPr>
                <w:sz w:val="20"/>
                <w:szCs w:val="20"/>
                <w:color w:val="auto"/>
              </w:rPr>
            </w:pPr>
            <w:r>
              <w:rPr>
                <w:rFonts w:ascii="Arial" w:cs="Arial" w:eastAsia="Arial" w:hAnsi="Arial"/>
                <w:sz w:val="14"/>
                <w:szCs w:val="14"/>
                <w:color w:val="auto"/>
                <w:w w:val="89"/>
              </w:rPr>
              <w:t>Net Additional Customers</w:t>
            </w:r>
          </w:p>
        </w:tc>
      </w:tr>
      <w:tr>
        <w:trPr>
          <w:trHeight w:val="131"/>
        </w:trPr>
        <w:tc>
          <w:tcPr>
            <w:tcW w:w="20" w:type="dxa"/>
            <w:vAlign w:val="bottom"/>
          </w:tcPr>
          <w:p>
            <w:pPr>
              <w:spacing w:after="0"/>
              <w:rPr>
                <w:sz w:val="11"/>
                <w:szCs w:val="11"/>
                <w:color w:val="auto"/>
              </w:rPr>
            </w:pPr>
          </w:p>
        </w:tc>
        <w:tc>
          <w:tcPr>
            <w:tcW w:w="6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140" w:type="dxa"/>
            <w:vAlign w:val="bottom"/>
            <w:gridSpan w:val="2"/>
          </w:tcPr>
          <w:p>
            <w:pPr>
              <w:jc w:val="center"/>
              <w:ind w:left="160"/>
              <w:spacing w:after="0" w:line="131" w:lineRule="exact"/>
              <w:rPr>
                <w:sz w:val="20"/>
                <w:szCs w:val="20"/>
                <w:color w:val="auto"/>
              </w:rPr>
            </w:pPr>
            <w:r>
              <w:rPr>
                <w:rFonts w:ascii="Arial" w:cs="Arial" w:eastAsia="Arial" w:hAnsi="Arial"/>
                <w:sz w:val="14"/>
                <w:szCs w:val="14"/>
                <w:color w:val="auto"/>
                <w:w w:val="87"/>
              </w:rPr>
              <w:t>Three Months Ended</w:t>
            </w:r>
          </w:p>
        </w:tc>
      </w:tr>
      <w:tr>
        <w:trPr>
          <w:trHeight w:val="173"/>
        </w:trPr>
        <w:tc>
          <w:tcPr>
            <w:tcW w:w="2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2340" w:type="dxa"/>
            <w:vAlign w:val="bottom"/>
            <w:tcBorders>
              <w:bottom w:val="single" w:sz="8" w:color="auto"/>
            </w:tcBorders>
            <w:gridSpan w:val="2"/>
          </w:tcPr>
          <w:p>
            <w:pPr>
              <w:jc w:val="right"/>
              <w:ind w:right="894"/>
              <w:spacing w:after="0"/>
              <w:rPr>
                <w:sz w:val="20"/>
                <w:szCs w:val="20"/>
                <w:color w:val="auto"/>
              </w:rPr>
            </w:pPr>
            <w:r>
              <w:rPr>
                <w:rFonts w:ascii="Arial" w:cs="Arial" w:eastAsia="Arial" w:hAnsi="Arial"/>
                <w:sz w:val="14"/>
                <w:szCs w:val="14"/>
                <w:color w:val="auto"/>
              </w:rPr>
              <w:t>March 31</w:t>
            </w:r>
          </w:p>
        </w:tc>
        <w:tc>
          <w:tcPr>
            <w:tcW w:w="1520" w:type="dxa"/>
            <w:vAlign w:val="bottom"/>
            <w:tcBorders>
              <w:bottom w:val="single" w:sz="8" w:color="auto"/>
            </w:tcBorders>
          </w:tcPr>
          <w:p>
            <w:pPr>
              <w:jc w:val="center"/>
              <w:ind w:left="760"/>
              <w:spacing w:after="0"/>
              <w:rPr>
                <w:sz w:val="20"/>
                <w:szCs w:val="20"/>
                <w:color w:val="auto"/>
              </w:rPr>
            </w:pPr>
            <w:r>
              <w:rPr>
                <w:rFonts w:ascii="Arial" w:cs="Arial" w:eastAsia="Arial" w:hAnsi="Arial"/>
                <w:sz w:val="14"/>
                <w:szCs w:val="14"/>
                <w:color w:val="auto"/>
                <w:w w:val="89"/>
              </w:rPr>
              <w:t>March 31</w:t>
            </w:r>
          </w:p>
        </w:tc>
        <w:tc>
          <w:tcPr>
            <w:tcW w:w="620" w:type="dxa"/>
            <w:vAlign w:val="bottom"/>
            <w:tcBorders>
              <w:bottom w:val="single" w:sz="8" w:color="auto"/>
            </w:tcBorders>
          </w:tcPr>
          <w:p>
            <w:pPr>
              <w:spacing w:after="0"/>
              <w:rPr>
                <w:sz w:val="15"/>
                <w:szCs w:val="15"/>
                <w:color w:val="auto"/>
              </w:rPr>
            </w:pPr>
          </w:p>
        </w:tc>
      </w:tr>
      <w:tr>
        <w:trPr>
          <w:trHeight w:val="237"/>
        </w:trPr>
        <w:tc>
          <w:tcPr>
            <w:tcW w:w="69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100" w:type="dxa"/>
            <w:vAlign w:val="bottom"/>
          </w:tcPr>
          <w:p>
            <w:pPr>
              <w:jc w:val="right"/>
              <w:ind w:right="278"/>
              <w:spacing w:after="0"/>
              <w:rPr>
                <w:sz w:val="20"/>
                <w:szCs w:val="20"/>
                <w:color w:val="auto"/>
              </w:rPr>
            </w:pPr>
            <w:r>
              <w:rPr>
                <w:rFonts w:ascii="Arial" w:cs="Arial" w:eastAsia="Arial" w:hAnsi="Arial"/>
                <w:sz w:val="14"/>
                <w:szCs w:val="14"/>
                <w:color w:val="auto"/>
              </w:rPr>
              <w:t>2015</w:t>
            </w:r>
          </w:p>
        </w:tc>
        <w:tc>
          <w:tcPr>
            <w:tcW w:w="1240" w:type="dxa"/>
            <w:vAlign w:val="bottom"/>
          </w:tcPr>
          <w:p>
            <w:pPr>
              <w:jc w:val="right"/>
              <w:ind w:right="534"/>
              <w:spacing w:after="0"/>
              <w:rPr>
                <w:sz w:val="20"/>
                <w:szCs w:val="20"/>
                <w:color w:val="auto"/>
              </w:rPr>
            </w:pPr>
            <w:r>
              <w:rPr>
                <w:rFonts w:ascii="Arial" w:cs="Arial" w:eastAsia="Arial" w:hAnsi="Arial"/>
                <w:sz w:val="14"/>
                <w:szCs w:val="14"/>
                <w:color w:val="auto"/>
              </w:rPr>
              <w:t>2014</w:t>
            </w:r>
          </w:p>
        </w:tc>
        <w:tc>
          <w:tcPr>
            <w:tcW w:w="1520" w:type="dxa"/>
            <w:vAlign w:val="bottom"/>
          </w:tcPr>
          <w:p>
            <w:pPr>
              <w:jc w:val="right"/>
              <w:ind w:right="660"/>
              <w:spacing w:after="0"/>
              <w:rPr>
                <w:sz w:val="20"/>
                <w:szCs w:val="20"/>
                <w:color w:val="auto"/>
              </w:rPr>
            </w:pPr>
            <w:r>
              <w:rPr>
                <w:rFonts w:ascii="Arial" w:cs="Arial" w:eastAsia="Arial" w:hAnsi="Arial"/>
                <w:sz w:val="14"/>
                <w:szCs w:val="14"/>
                <w:color w:val="auto"/>
              </w:rPr>
              <w:t>2015</w:t>
            </w:r>
          </w:p>
        </w:tc>
        <w:tc>
          <w:tcPr>
            <w:tcW w:w="620" w:type="dxa"/>
            <w:vAlign w:val="bottom"/>
          </w:tcPr>
          <w:p>
            <w:pPr>
              <w:jc w:val="right"/>
              <w:ind w:right="215"/>
              <w:spacing w:after="0"/>
              <w:rPr>
                <w:sz w:val="20"/>
                <w:szCs w:val="20"/>
                <w:color w:val="auto"/>
              </w:rPr>
            </w:pPr>
            <w:r>
              <w:rPr>
                <w:rFonts w:ascii="Arial" w:cs="Arial" w:eastAsia="Arial" w:hAnsi="Arial"/>
                <w:sz w:val="14"/>
                <w:szCs w:val="14"/>
                <w:color w:val="auto"/>
                <w:w w:val="96"/>
              </w:rPr>
              <w:t>2014</w:t>
            </w:r>
          </w:p>
        </w:tc>
      </w:tr>
      <w:tr>
        <w:trPr>
          <w:trHeight w:val="210"/>
        </w:trPr>
        <w:tc>
          <w:tcPr>
            <w:tcW w:w="20" w:type="dxa"/>
            <w:vAlign w:val="bottom"/>
          </w:tcPr>
          <w:p>
            <w:pPr>
              <w:spacing w:after="0"/>
              <w:rPr>
                <w:sz w:val="18"/>
                <w:szCs w:val="18"/>
                <w:color w:val="auto"/>
              </w:rPr>
            </w:pPr>
          </w:p>
        </w:tc>
        <w:tc>
          <w:tcPr>
            <w:tcW w:w="69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customer relationships</w:t>
            </w:r>
          </w:p>
        </w:tc>
        <w:tc>
          <w:tcPr>
            <w:tcW w:w="1100" w:type="dxa"/>
            <w:vAlign w:val="bottom"/>
            <w:tcBorders>
              <w:top w:val="single" w:sz="8" w:color="auto"/>
            </w:tcBorders>
            <w:shd w:val="clear" w:color="auto" w:fill="E5E5E5"/>
          </w:tcPr>
          <w:p>
            <w:pPr>
              <w:jc w:val="right"/>
              <w:ind w:right="138"/>
              <w:spacing w:after="0"/>
              <w:rPr>
                <w:sz w:val="20"/>
                <w:szCs w:val="20"/>
                <w:color w:val="auto"/>
              </w:rPr>
            </w:pPr>
            <w:r>
              <w:rPr>
                <w:rFonts w:ascii="Arial" w:cs="Arial" w:eastAsia="Arial" w:hAnsi="Arial"/>
                <w:sz w:val="18"/>
                <w:szCs w:val="18"/>
                <w:color w:val="auto"/>
              </w:rPr>
              <w:t>27,234</w:t>
            </w:r>
          </w:p>
        </w:tc>
        <w:tc>
          <w:tcPr>
            <w:tcW w:w="1240" w:type="dxa"/>
            <w:vAlign w:val="bottom"/>
            <w:tcBorders>
              <w:top w:val="single" w:sz="8" w:color="auto"/>
            </w:tcBorders>
            <w:shd w:val="clear" w:color="auto" w:fill="E5E5E5"/>
          </w:tcPr>
          <w:p>
            <w:pPr>
              <w:jc w:val="right"/>
              <w:ind w:right="374"/>
              <w:spacing w:after="0"/>
              <w:rPr>
                <w:sz w:val="20"/>
                <w:szCs w:val="20"/>
                <w:color w:val="auto"/>
              </w:rPr>
            </w:pPr>
            <w:r>
              <w:rPr>
                <w:rFonts w:ascii="Arial" w:cs="Arial" w:eastAsia="Arial" w:hAnsi="Arial"/>
                <w:sz w:val="18"/>
                <w:szCs w:val="18"/>
                <w:color w:val="auto"/>
              </w:rPr>
              <w:t>26,800</w:t>
            </w:r>
          </w:p>
        </w:tc>
        <w:tc>
          <w:tcPr>
            <w:tcW w:w="1520" w:type="dxa"/>
            <w:vAlign w:val="bottom"/>
            <w:tcBorders>
              <w:top w:val="single" w:sz="8" w:color="auto"/>
            </w:tcBorders>
            <w:shd w:val="clear" w:color="auto" w:fill="E5E5E5"/>
          </w:tcPr>
          <w:p>
            <w:pPr>
              <w:jc w:val="right"/>
              <w:ind w:right="480"/>
              <w:spacing w:after="0"/>
              <w:rPr>
                <w:sz w:val="20"/>
                <w:szCs w:val="20"/>
                <w:color w:val="auto"/>
              </w:rPr>
            </w:pPr>
            <w:r>
              <w:rPr>
                <w:rFonts w:ascii="Arial" w:cs="Arial" w:eastAsia="Arial" w:hAnsi="Arial"/>
                <w:sz w:val="18"/>
                <w:szCs w:val="18"/>
                <w:color w:val="auto"/>
              </w:rPr>
              <w:t>199</w:t>
            </w:r>
          </w:p>
        </w:tc>
        <w:tc>
          <w:tcPr>
            <w:tcW w:w="620" w:type="dxa"/>
            <w:vAlign w:val="bottom"/>
            <w:tcBorders>
              <w:top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124</w:t>
            </w: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Single product customers</w:t>
            </w:r>
          </w:p>
        </w:tc>
        <w:tc>
          <w:tcPr>
            <w:tcW w:w="1100" w:type="dxa"/>
            <w:vAlign w:val="bottom"/>
          </w:tcPr>
          <w:p>
            <w:pPr>
              <w:jc w:val="right"/>
              <w:ind w:right="138"/>
              <w:spacing w:after="0"/>
              <w:rPr>
                <w:sz w:val="20"/>
                <w:szCs w:val="20"/>
                <w:color w:val="auto"/>
              </w:rPr>
            </w:pPr>
            <w:r>
              <w:rPr>
                <w:rFonts w:ascii="Arial" w:cs="Arial" w:eastAsia="Arial" w:hAnsi="Arial"/>
                <w:sz w:val="18"/>
                <w:szCs w:val="18"/>
                <w:color w:val="auto"/>
              </w:rPr>
              <w:t>8,399</w:t>
            </w:r>
          </w:p>
        </w:tc>
        <w:tc>
          <w:tcPr>
            <w:tcW w:w="1240" w:type="dxa"/>
            <w:vAlign w:val="bottom"/>
          </w:tcPr>
          <w:p>
            <w:pPr>
              <w:jc w:val="right"/>
              <w:ind w:right="374"/>
              <w:spacing w:after="0"/>
              <w:rPr>
                <w:sz w:val="20"/>
                <w:szCs w:val="20"/>
                <w:color w:val="auto"/>
              </w:rPr>
            </w:pPr>
            <w:r>
              <w:rPr>
                <w:rFonts w:ascii="Arial" w:cs="Arial" w:eastAsia="Arial" w:hAnsi="Arial"/>
                <w:sz w:val="18"/>
                <w:szCs w:val="18"/>
                <w:color w:val="auto"/>
              </w:rPr>
              <w:t>8,605</w:t>
            </w:r>
          </w:p>
        </w:tc>
        <w:tc>
          <w:tcPr>
            <w:tcW w:w="1520" w:type="dxa"/>
            <w:vAlign w:val="bottom"/>
          </w:tcPr>
          <w:p>
            <w:pPr>
              <w:jc w:val="right"/>
              <w:ind w:right="420"/>
              <w:spacing w:after="0"/>
              <w:rPr>
                <w:sz w:val="20"/>
                <w:szCs w:val="20"/>
                <w:color w:val="auto"/>
              </w:rPr>
            </w:pPr>
            <w:r>
              <w:rPr>
                <w:rFonts w:ascii="Arial" w:cs="Arial" w:eastAsia="Arial" w:hAnsi="Arial"/>
                <w:sz w:val="18"/>
                <w:szCs w:val="18"/>
                <w:color w:val="auto"/>
              </w:rPr>
              <w:t>(10)</w:t>
            </w:r>
          </w:p>
        </w:tc>
        <w:tc>
          <w:tcPr>
            <w:tcW w:w="62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20" w:type="dxa"/>
            <w:vAlign w:val="bottom"/>
          </w:tcPr>
          <w:p>
            <w:pPr>
              <w:spacing w:after="0"/>
              <w:rPr>
                <w:sz w:val="18"/>
                <w:szCs w:val="18"/>
                <w:color w:val="auto"/>
              </w:rPr>
            </w:pPr>
          </w:p>
        </w:tc>
        <w:tc>
          <w:tcPr>
            <w:tcW w:w="69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Double product customers</w:t>
            </w:r>
          </w:p>
        </w:tc>
        <w:tc>
          <w:tcPr>
            <w:tcW w:w="1100" w:type="dxa"/>
            <w:vAlign w:val="bottom"/>
            <w:shd w:val="clear" w:color="auto" w:fill="E5E5E5"/>
          </w:tcPr>
          <w:p>
            <w:pPr>
              <w:jc w:val="right"/>
              <w:ind w:right="138"/>
              <w:spacing w:after="0"/>
              <w:rPr>
                <w:sz w:val="20"/>
                <w:szCs w:val="20"/>
                <w:color w:val="auto"/>
              </w:rPr>
            </w:pPr>
            <w:r>
              <w:rPr>
                <w:rFonts w:ascii="Arial" w:cs="Arial" w:eastAsia="Arial" w:hAnsi="Arial"/>
                <w:sz w:val="18"/>
                <w:szCs w:val="18"/>
                <w:color w:val="auto"/>
              </w:rPr>
              <w:t>8,890</w:t>
            </w:r>
          </w:p>
        </w:tc>
        <w:tc>
          <w:tcPr>
            <w:tcW w:w="1240" w:type="dxa"/>
            <w:vAlign w:val="bottom"/>
            <w:shd w:val="clear" w:color="auto" w:fill="E5E5E5"/>
          </w:tcPr>
          <w:p>
            <w:pPr>
              <w:jc w:val="right"/>
              <w:ind w:right="374"/>
              <w:spacing w:after="0"/>
              <w:rPr>
                <w:sz w:val="20"/>
                <w:szCs w:val="20"/>
                <w:color w:val="auto"/>
              </w:rPr>
            </w:pPr>
            <w:r>
              <w:rPr>
                <w:rFonts w:ascii="Arial" w:cs="Arial" w:eastAsia="Arial" w:hAnsi="Arial"/>
                <w:sz w:val="18"/>
                <w:szCs w:val="18"/>
                <w:color w:val="auto"/>
              </w:rPr>
              <w:t>8,656</w:t>
            </w:r>
          </w:p>
        </w:tc>
        <w:tc>
          <w:tcPr>
            <w:tcW w:w="1520" w:type="dxa"/>
            <w:vAlign w:val="bottom"/>
            <w:shd w:val="clear" w:color="auto" w:fill="E5E5E5"/>
          </w:tcPr>
          <w:p>
            <w:pPr>
              <w:jc w:val="right"/>
              <w:ind w:right="480"/>
              <w:spacing w:after="0"/>
              <w:rPr>
                <w:sz w:val="20"/>
                <w:szCs w:val="20"/>
                <w:color w:val="auto"/>
              </w:rPr>
            </w:pPr>
            <w:r>
              <w:rPr>
                <w:rFonts w:ascii="Arial" w:cs="Arial" w:eastAsia="Arial" w:hAnsi="Arial"/>
                <w:sz w:val="18"/>
                <w:szCs w:val="18"/>
                <w:color w:val="auto"/>
              </w:rPr>
              <w:t>140</w:t>
            </w:r>
          </w:p>
        </w:tc>
        <w:tc>
          <w:tcPr>
            <w:tcW w:w="6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116</w:t>
            </w:r>
          </w:p>
        </w:tc>
      </w:tr>
      <w:tr>
        <w:trPr>
          <w:trHeight w:val="216"/>
        </w:trPr>
        <w:tc>
          <w:tcPr>
            <w:tcW w:w="20" w:type="dxa"/>
            <w:vAlign w:val="bottom"/>
          </w:tcPr>
          <w:p>
            <w:pPr>
              <w:spacing w:after="0"/>
              <w:rPr>
                <w:sz w:val="18"/>
                <w:szCs w:val="18"/>
                <w:color w:val="auto"/>
              </w:rPr>
            </w:pPr>
          </w:p>
        </w:tc>
        <w:tc>
          <w:tcPr>
            <w:tcW w:w="69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Triple products customers</w:t>
            </w:r>
          </w:p>
        </w:tc>
        <w:tc>
          <w:tcPr>
            <w:tcW w:w="110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9,945</w:t>
            </w:r>
          </w:p>
        </w:tc>
        <w:tc>
          <w:tcPr>
            <w:tcW w:w="124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9,539</w:t>
            </w:r>
          </w:p>
        </w:tc>
        <w:tc>
          <w:tcPr>
            <w:tcW w:w="1520" w:type="dxa"/>
            <w:vAlign w:val="bottom"/>
            <w:tcBorders>
              <w:bottom w:val="single" w:sz="8" w:color="auto"/>
            </w:tcBorders>
          </w:tcPr>
          <w:p>
            <w:pPr>
              <w:jc w:val="right"/>
              <w:ind w:right="480"/>
              <w:spacing w:after="0"/>
              <w:rPr>
                <w:sz w:val="20"/>
                <w:szCs w:val="20"/>
                <w:color w:val="auto"/>
              </w:rPr>
            </w:pPr>
            <w:r>
              <w:rPr>
                <w:rFonts w:ascii="Arial" w:cs="Arial" w:eastAsia="Arial" w:hAnsi="Arial"/>
                <w:sz w:val="18"/>
                <w:szCs w:val="18"/>
                <w:color w:val="auto"/>
              </w:rPr>
              <w:t>69</w:t>
            </w: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155</w:t>
            </w:r>
          </w:p>
        </w:tc>
      </w:tr>
      <w:tr>
        <w:trPr>
          <w:trHeight w:val="210"/>
        </w:trPr>
        <w:tc>
          <w:tcPr>
            <w:tcW w:w="20" w:type="dxa"/>
            <w:vAlign w:val="bottom"/>
          </w:tcPr>
          <w:p>
            <w:pPr>
              <w:spacing w:after="0"/>
              <w:rPr>
                <w:sz w:val="18"/>
                <w:szCs w:val="18"/>
                <w:color w:val="auto"/>
              </w:rPr>
            </w:pPr>
          </w:p>
        </w:tc>
        <w:tc>
          <w:tcPr>
            <w:tcW w:w="6920" w:type="dxa"/>
            <w:vAlign w:val="bottom"/>
            <w:shd w:val="clear" w:color="auto" w:fill="E5E5E5"/>
          </w:tcPr>
          <w:p>
            <w:pPr>
              <w:spacing w:after="0"/>
              <w:rPr>
                <w:sz w:val="20"/>
                <w:szCs w:val="20"/>
                <w:color w:val="auto"/>
              </w:rPr>
            </w:pPr>
            <w:r>
              <w:rPr>
                <w:rFonts w:ascii="Arial" w:cs="Arial" w:eastAsia="Arial" w:hAnsi="Arial"/>
                <w:sz w:val="18"/>
                <w:szCs w:val="18"/>
                <w:color w:val="auto"/>
              </w:rPr>
              <w:t>Video customers</w:t>
            </w:r>
          </w:p>
        </w:tc>
        <w:tc>
          <w:tcPr>
            <w:tcW w:w="1100" w:type="dxa"/>
            <w:vAlign w:val="bottom"/>
            <w:shd w:val="clear" w:color="auto" w:fill="E5E5E5"/>
          </w:tcPr>
          <w:p>
            <w:pPr>
              <w:jc w:val="right"/>
              <w:ind w:right="138"/>
              <w:spacing w:after="0"/>
              <w:rPr>
                <w:sz w:val="20"/>
                <w:szCs w:val="20"/>
                <w:color w:val="auto"/>
              </w:rPr>
            </w:pPr>
            <w:r>
              <w:rPr>
                <w:rFonts w:ascii="Arial" w:cs="Arial" w:eastAsia="Arial" w:hAnsi="Arial"/>
                <w:sz w:val="18"/>
                <w:szCs w:val="18"/>
                <w:color w:val="auto"/>
              </w:rPr>
              <w:t>22,375</w:t>
            </w:r>
          </w:p>
        </w:tc>
        <w:tc>
          <w:tcPr>
            <w:tcW w:w="1240" w:type="dxa"/>
            <w:vAlign w:val="bottom"/>
            <w:shd w:val="clear" w:color="auto" w:fill="E5E5E5"/>
          </w:tcPr>
          <w:p>
            <w:pPr>
              <w:jc w:val="right"/>
              <w:ind w:right="374"/>
              <w:spacing w:after="0"/>
              <w:rPr>
                <w:sz w:val="20"/>
                <w:szCs w:val="20"/>
                <w:color w:val="auto"/>
              </w:rPr>
            </w:pPr>
            <w:r>
              <w:rPr>
                <w:rFonts w:ascii="Arial" w:cs="Arial" w:eastAsia="Arial" w:hAnsi="Arial"/>
                <w:sz w:val="18"/>
                <w:szCs w:val="18"/>
                <w:color w:val="auto"/>
              </w:rPr>
              <w:t>22,601</w:t>
            </w:r>
          </w:p>
        </w:tc>
        <w:tc>
          <w:tcPr>
            <w:tcW w:w="1520" w:type="dxa"/>
            <w:vAlign w:val="bottom"/>
            <w:shd w:val="clear" w:color="auto" w:fill="E5E5E5"/>
          </w:tcPr>
          <w:p>
            <w:pPr>
              <w:jc w:val="right"/>
              <w:ind w:right="420"/>
              <w:spacing w:after="0"/>
              <w:rPr>
                <w:sz w:val="20"/>
                <w:szCs w:val="20"/>
                <w:color w:val="auto"/>
              </w:rPr>
            </w:pPr>
            <w:r>
              <w:rPr>
                <w:rFonts w:ascii="Arial" w:cs="Arial" w:eastAsia="Arial" w:hAnsi="Arial"/>
                <w:sz w:val="18"/>
                <w:szCs w:val="18"/>
                <w:color w:val="auto"/>
              </w:rPr>
              <w:t>(8)</w:t>
            </w:r>
          </w:p>
        </w:tc>
        <w:tc>
          <w:tcPr>
            <w:tcW w:w="6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High-speed Internet customers</w:t>
            </w:r>
          </w:p>
        </w:tc>
        <w:tc>
          <w:tcPr>
            <w:tcW w:w="1100" w:type="dxa"/>
            <w:vAlign w:val="bottom"/>
          </w:tcPr>
          <w:p>
            <w:pPr>
              <w:jc w:val="right"/>
              <w:ind w:right="138"/>
              <w:spacing w:after="0"/>
              <w:rPr>
                <w:sz w:val="20"/>
                <w:szCs w:val="20"/>
                <w:color w:val="auto"/>
              </w:rPr>
            </w:pPr>
            <w:r>
              <w:rPr>
                <w:rFonts w:ascii="Arial" w:cs="Arial" w:eastAsia="Arial" w:hAnsi="Arial"/>
                <w:sz w:val="18"/>
                <w:szCs w:val="18"/>
                <w:color w:val="auto"/>
              </w:rPr>
              <w:t>22,369</w:t>
            </w:r>
          </w:p>
        </w:tc>
        <w:tc>
          <w:tcPr>
            <w:tcW w:w="1240" w:type="dxa"/>
            <w:vAlign w:val="bottom"/>
          </w:tcPr>
          <w:p>
            <w:pPr>
              <w:jc w:val="right"/>
              <w:ind w:right="374"/>
              <w:spacing w:after="0"/>
              <w:rPr>
                <w:sz w:val="20"/>
                <w:szCs w:val="20"/>
                <w:color w:val="auto"/>
              </w:rPr>
            </w:pPr>
            <w:r>
              <w:rPr>
                <w:rFonts w:ascii="Arial" w:cs="Arial" w:eastAsia="Arial" w:hAnsi="Arial"/>
                <w:sz w:val="18"/>
                <w:szCs w:val="18"/>
                <w:color w:val="auto"/>
              </w:rPr>
              <w:t>21,068</w:t>
            </w:r>
          </w:p>
        </w:tc>
        <w:tc>
          <w:tcPr>
            <w:tcW w:w="1520" w:type="dxa"/>
            <w:vAlign w:val="bottom"/>
          </w:tcPr>
          <w:p>
            <w:pPr>
              <w:jc w:val="right"/>
              <w:ind w:right="480"/>
              <w:spacing w:after="0"/>
              <w:rPr>
                <w:sz w:val="20"/>
                <w:szCs w:val="20"/>
                <w:color w:val="auto"/>
              </w:rPr>
            </w:pPr>
            <w:r>
              <w:rPr>
                <w:rFonts w:ascii="Arial" w:cs="Arial" w:eastAsia="Arial" w:hAnsi="Arial"/>
                <w:sz w:val="18"/>
                <w:szCs w:val="18"/>
                <w:color w:val="auto"/>
              </w:rPr>
              <w:t>407</w:t>
            </w:r>
          </w:p>
        </w:tc>
        <w:tc>
          <w:tcPr>
            <w:tcW w:w="620" w:type="dxa"/>
            <w:vAlign w:val="bottom"/>
          </w:tcPr>
          <w:p>
            <w:pPr>
              <w:jc w:val="right"/>
              <w:ind w:right="15"/>
              <w:spacing w:after="0"/>
              <w:rPr>
                <w:sz w:val="20"/>
                <w:szCs w:val="20"/>
                <w:color w:val="auto"/>
              </w:rPr>
            </w:pPr>
            <w:r>
              <w:rPr>
                <w:rFonts w:ascii="Arial" w:cs="Arial" w:eastAsia="Arial" w:hAnsi="Arial"/>
                <w:sz w:val="18"/>
                <w:szCs w:val="18"/>
                <w:color w:val="auto"/>
              </w:rPr>
              <w:t>383</w:t>
            </w:r>
          </w:p>
        </w:tc>
      </w:tr>
      <w:tr>
        <w:trPr>
          <w:trHeight w:val="216"/>
        </w:trPr>
        <w:tc>
          <w:tcPr>
            <w:tcW w:w="20" w:type="dxa"/>
            <w:vAlign w:val="bottom"/>
          </w:tcPr>
          <w:p>
            <w:pPr>
              <w:spacing w:after="0"/>
              <w:rPr>
                <w:sz w:val="18"/>
                <w:szCs w:val="18"/>
                <w:color w:val="auto"/>
              </w:rPr>
            </w:pPr>
          </w:p>
        </w:tc>
        <w:tc>
          <w:tcPr>
            <w:tcW w:w="6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Voice customers</w:t>
            </w:r>
          </w:p>
        </w:tc>
        <w:tc>
          <w:tcPr>
            <w:tcW w:w="1100" w:type="dxa"/>
            <w:vAlign w:val="bottom"/>
            <w:tcBorders>
              <w:bottom w:val="single" w:sz="8" w:color="auto"/>
            </w:tcBorders>
            <w:shd w:val="clear" w:color="auto" w:fill="E5E5E5"/>
          </w:tcPr>
          <w:p>
            <w:pPr>
              <w:jc w:val="right"/>
              <w:ind w:right="138"/>
              <w:spacing w:after="0"/>
              <w:rPr>
                <w:sz w:val="20"/>
                <w:szCs w:val="20"/>
                <w:color w:val="auto"/>
              </w:rPr>
            </w:pPr>
            <w:r>
              <w:rPr>
                <w:rFonts w:ascii="Arial" w:cs="Arial" w:eastAsia="Arial" w:hAnsi="Arial"/>
                <w:sz w:val="18"/>
                <w:szCs w:val="18"/>
                <w:color w:val="auto"/>
              </w:rPr>
              <w:t>11,270</w:t>
            </w:r>
          </w:p>
        </w:tc>
        <w:tc>
          <w:tcPr>
            <w:tcW w:w="1240" w:type="dxa"/>
            <w:vAlign w:val="bottom"/>
            <w:tcBorders>
              <w:bottom w:val="single" w:sz="8" w:color="auto"/>
            </w:tcBorders>
            <w:shd w:val="clear" w:color="auto" w:fill="E5E5E5"/>
          </w:tcPr>
          <w:p>
            <w:pPr>
              <w:jc w:val="right"/>
              <w:ind w:right="374"/>
              <w:spacing w:after="0"/>
              <w:rPr>
                <w:sz w:val="20"/>
                <w:szCs w:val="20"/>
                <w:color w:val="auto"/>
              </w:rPr>
            </w:pPr>
            <w:r>
              <w:rPr>
                <w:rFonts w:ascii="Arial" w:cs="Arial" w:eastAsia="Arial" w:hAnsi="Arial"/>
                <w:sz w:val="18"/>
                <w:szCs w:val="18"/>
                <w:color w:val="auto"/>
              </w:rPr>
              <w:t>10,865</w:t>
            </w:r>
          </w:p>
        </w:tc>
        <w:tc>
          <w:tcPr>
            <w:tcW w:w="1520" w:type="dxa"/>
            <w:vAlign w:val="bottom"/>
            <w:tcBorders>
              <w:bottom w:val="single" w:sz="8" w:color="auto"/>
            </w:tcBorders>
            <w:shd w:val="clear" w:color="auto" w:fill="E5E5E5"/>
          </w:tcPr>
          <w:p>
            <w:pPr>
              <w:jc w:val="right"/>
              <w:ind w:right="480"/>
              <w:spacing w:after="0"/>
              <w:rPr>
                <w:sz w:val="20"/>
                <w:szCs w:val="20"/>
                <w:color w:val="auto"/>
              </w:rPr>
            </w:pPr>
            <w:r>
              <w:rPr>
                <w:rFonts w:ascii="Arial" w:cs="Arial" w:eastAsia="Arial" w:hAnsi="Arial"/>
                <w:sz w:val="18"/>
                <w:szCs w:val="18"/>
                <w:color w:val="auto"/>
              </w:rPr>
              <w:t>77</w:t>
            </w:r>
          </w:p>
        </w:tc>
        <w:tc>
          <w:tcPr>
            <w:tcW w:w="62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142</w:t>
            </w:r>
          </w:p>
        </w:tc>
      </w:tr>
      <w:tr>
        <w:trPr>
          <w:trHeight w:val="210"/>
        </w:trPr>
        <w:tc>
          <w:tcPr>
            <w:tcW w:w="20" w:type="dxa"/>
            <w:vAlign w:val="bottom"/>
            <w:tcBorders>
              <w:bottom w:val="single" w:sz="8" w:color="auto"/>
            </w:tcBorders>
          </w:tcPr>
          <w:p>
            <w:pPr>
              <w:spacing w:after="0"/>
              <w:rPr>
                <w:sz w:val="18"/>
                <w:szCs w:val="18"/>
                <w:color w:val="auto"/>
              </w:rPr>
            </w:pPr>
          </w:p>
        </w:tc>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Average monthly total revenue per customer relationship</w:t>
            </w:r>
          </w:p>
        </w:tc>
        <w:tc>
          <w:tcPr>
            <w:tcW w:w="110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$140.41</w:t>
            </w:r>
          </w:p>
        </w:tc>
        <w:tc>
          <w:tcPr>
            <w:tcW w:w="124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$134.10</w:t>
            </w:r>
          </w:p>
        </w:tc>
        <w:tc>
          <w:tcPr>
            <w:tcW w:w="15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r>
    </w:tbl>
    <w:p>
      <w:pPr>
        <w:spacing w:after="0" w:line="57"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Customer metrics include residential and business customers and are presented based on actual amounts. Minor differences may exist due to rounding. Customer relationships represent the number of residential and business customers that subscribe to at least one of our cable services. Single product, double product and triple product customers represent customers that subscribe to one, two or three of our cable services, respectively.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Segment—Revenue</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Cable Communications segment leverages our existing cable distribution system to grow revenue by, among other things, adding new residential and business services customers, encouraging existing customers to add new or higher-tier services, and expanding other services such as our business services offerings, advertising, and our home security and automation services. We offer our cable services in bundles and often provide promotional incentives. We seek to balance promotional offers and rate increases with their expected effects on the number of customers and overall revenue.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Video revenue increased 3.0% for the three months ended March 31, 2015 compared to the same period in 2014. An increase in the number of customers receiving additional and higher levels of video service and rate adjustments accounted for an increase in revenue of 4.4% for the three months ended March 31, 2015. As of March 31, 2015, the number of customers who subscribed to our advanced services, which are high-definition video or DVR services, increased 4.6% to 13.2 million customers compared to the same period in 2014. The increase in revenue was partially offset by fewer residential video customers compared to the same period in 2014. The decrease in the number of residential video customers was primarily due to competitive pressures in our service areas from phone and DBS competitors, and the impact of rate adjustments. We may experience further declines in the number of residential video customers.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High-speed Internet revenue increased 10.7% for the three months ended March 31, 2015 compared to the same period in 2014. An increase in the number of residential customers receiving our high-speed Internet service accounted for an increase in revenue of 5.7% for the three months ended March 31, 2015. The remaining increase in revenue for the three months ended March 31, 2015 was primarily due to customers receiving higher levels of service and rate adjustments. Our customer base continues to grow as consumers continue to choose our high-speed Internet service and seek higher-speed offerings.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Voice</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Voice revenue decreased 1.5% for the three months ended March 31, 2015 compared to the same period in 2014. While the growth rate of residential customer additions slowed for the three months ended March 31, 2015, the increase in the number of residential customers receiving our voice service through our discounted bundled offerings accounted for an increase of 3.2% compared to the same period in 2014. The increase in revenue was more than offset by the impact of the allocation of voice revenue for our bundled customers. The amount allocated to voice revenue in the bundled rate decreased for the three months ended March 31, 2015 because video and high-speed Internet rates increased, while voice rates remained relatively flat.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Services</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Business services revenue increased 21.4% for the three months ended March 31, 2015 compared to the same period in 2014. The increase was primarily due to rate adjustments as well as a higher number of small business customers receiving our high-speed Internet and voice services. The remaining increase was primarily related to continued growth in our medium-sized business services, including Ethernet network and advanced voice services, which represented 23% of total business services revenue during the three months ended March 31, 2015. We believe the increase in the number of business customers is primarily the result of our efforts to gain market share from competitors by offering competitive services and pricing.</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Advertising revenue decreased slightly for the three months ended March 31, 2015 compared to the same period in 2014 primarily due to a decrease in political advertising revenue and a decrease in our core national advertising markets, which were partially offset by an increase in revenue in our core local advertising markets. Excluding political advertising revenue, advertising revenue increased 1.3% for the three months ended March 31, 2015 compared to the same period in 2014.</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revenue increased 9.4% for the three months ended March 31, 2015 compared to the same period in 2014 primarily due to an increase in revenue from our home security and automation services, as well as an increase in cable franchise and other regulatory fees.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Segment—Operating Costs and Expenses</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most significant operating cost is the programming expense we incur to provide content to our video customers. We anticipate that our programming expenses will continue to increase. We have and will continue to attempt to maintain a consistent operating margin through rate adjustments, the sale of additional cable services, including advanced services, and the continued growth of business services, as well as by achieving operating efficiencies.</w:t>
      </w:r>
    </w:p>
    <w:p>
      <w:pPr>
        <w:spacing w:after="0" w:line="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Programming expenses increased for the three months ended March 31, 2015 compared to the same period in 2014 primarily due to increases in programming license fees, including sports programming costs and retransmission consent fees, and fees to secure rights for additional programming for our customers across an increasing number of platforms.</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Technical and product support expenses increased for the three months ended March 31, 2015 compared to the same period in 2014 primarily due to expenses related to the development, delivery and support of our enhanced devices and services, including our X1 platform, Cloud DVR technology and wireless gateways, and the continued growth in business services and home security and automation services.</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Customer service expenses increased for the three months ended March 31, 2015 compared to the same period in 2014 primarily due to increased support for improving the customer experience. The increase in customer service expenses was also due to sales and related support activities associated with the continued deployment of our enhanced devices and services, which include our X1 platform, Cloud DVR technology, wireless gateways, and home security and automation services, and the continued growth in business services.</w:t>
      </w:r>
    </w:p>
    <w:p>
      <w:pPr>
        <w:spacing w:after="0" w:line="49"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Franchise and other regulatory fees increased for the three months ended March 31, 2015 compared to the same period in 2014 primarily due to increases in revenue from residential cable services and business services that are related to the fees we are required to pay federal, state and local authorities.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Advertising, marketing and promotion expenses increased for the three months ended March 31, 2015 compared to the same period in 2014 primarily due to an increase in spending associated with attracting new residential and business services customers and encouraging existing customers to add additional or higher-tier services.</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costs and expenses increased for the three months ended March 31, 2015 compared to the same period in 2014 primarily due to an increase in costs to support our advertising sales business, as well as an increase in other administrative costs.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Segments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80" w:type="dxa"/>
            <w:vAlign w:val="bottom"/>
            <w:gridSpan w:val="3"/>
          </w:tcPr>
          <w:p>
            <w:pPr>
              <w:jc w:val="right"/>
              <w:ind w:right="434"/>
              <w:spacing w:after="0"/>
              <w:rPr>
                <w:sz w:val="20"/>
                <w:szCs w:val="20"/>
                <w:color w:val="auto"/>
              </w:rPr>
            </w:pPr>
            <w:r>
              <w:rPr>
                <w:rFonts w:ascii="Arial" w:cs="Arial" w:eastAsia="Arial" w:hAnsi="Arial"/>
                <w:sz w:val="14"/>
                <w:szCs w:val="14"/>
                <w:color w:val="auto"/>
                <w:w w:val="94"/>
              </w:rPr>
              <w:t>Three Months Ended</w:t>
            </w:r>
          </w:p>
        </w:tc>
        <w:tc>
          <w:tcPr>
            <w:tcW w:w="1680" w:type="dxa"/>
            <w:vAlign w:val="bottom"/>
            <w:gridSpan w:val="2"/>
          </w:tcPr>
          <w:p>
            <w:pPr>
              <w:jc w:val="right"/>
              <w:ind w:right="534"/>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74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March 31</w:t>
            </w: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right"/>
              <w:ind w:right="494"/>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742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76"/>
              <w:spacing w:after="0" w:line="142" w:lineRule="exact"/>
              <w:rPr>
                <w:sz w:val="20"/>
                <w:szCs w:val="20"/>
                <w:color w:val="auto"/>
              </w:rPr>
            </w:pPr>
            <w:r>
              <w:rPr>
                <w:rFonts w:ascii="Arial" w:cs="Arial" w:eastAsia="Arial" w:hAnsi="Arial"/>
                <w:sz w:val="14"/>
                <w:szCs w:val="14"/>
                <w:color w:val="auto"/>
                <w:w w:val="83"/>
              </w:rPr>
              <w:t>2015</w:t>
            </w: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color w:val="auto"/>
                <w:w w:val="89"/>
              </w:rPr>
              <w:t>2014</w:t>
            </w:r>
          </w:p>
        </w:tc>
        <w:tc>
          <w:tcPr>
            <w:tcW w:w="88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4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4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440"/>
              <w:spacing w:after="0"/>
              <w:rPr>
                <w:sz w:val="20"/>
                <w:szCs w:val="20"/>
                <w:color w:val="auto"/>
              </w:rPr>
            </w:pPr>
            <w:r>
              <w:rPr>
                <w:rFonts w:ascii="Arial" w:cs="Arial" w:eastAsia="Arial" w:hAnsi="Arial"/>
                <w:sz w:val="18"/>
                <w:szCs w:val="18"/>
                <w:color w:val="auto"/>
              </w:rPr>
              <w:t>Cable Networks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436"/>
              <w:spacing w:after="0"/>
              <w:rPr>
                <w:sz w:val="20"/>
                <w:szCs w:val="20"/>
                <w:color w:val="auto"/>
              </w:rPr>
            </w:pPr>
            <w:r>
              <w:rPr>
                <w:rFonts w:ascii="Arial" w:cs="Arial" w:eastAsia="Arial" w:hAnsi="Arial"/>
                <w:sz w:val="18"/>
                <w:szCs w:val="18"/>
                <w:color w:val="auto"/>
                <w:w w:val="88"/>
              </w:rPr>
              <w:t>2,359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214"/>
              <w:spacing w:after="0"/>
              <w:rPr>
                <w:sz w:val="20"/>
                <w:szCs w:val="20"/>
                <w:color w:val="auto"/>
              </w:rPr>
            </w:pPr>
            <w:r>
              <w:rPr>
                <w:rFonts w:ascii="Arial" w:cs="Arial" w:eastAsia="Arial" w:hAnsi="Arial"/>
                <w:sz w:val="18"/>
                <w:szCs w:val="18"/>
                <w:color w:val="auto"/>
                <w:w w:val="88"/>
              </w:rPr>
              <w:t>2,505</w:t>
            </w:r>
          </w:p>
        </w:tc>
        <w:tc>
          <w:tcPr>
            <w:tcW w:w="880" w:type="dxa"/>
            <w:vAlign w:val="bottom"/>
          </w:tcPr>
          <w:p>
            <w:pPr>
              <w:jc w:val="right"/>
              <w:ind w:right="76"/>
              <w:spacing w:after="0"/>
              <w:rPr>
                <w:sz w:val="20"/>
                <w:szCs w:val="20"/>
                <w:color w:val="auto"/>
              </w:rPr>
            </w:pPr>
            <w:r>
              <w:rPr>
                <w:rFonts w:ascii="Arial" w:cs="Arial" w:eastAsia="Arial" w:hAnsi="Arial"/>
                <w:sz w:val="18"/>
                <w:szCs w:val="18"/>
                <w:color w:val="auto"/>
              </w:rPr>
              <w:t>$(146)</w:t>
            </w:r>
          </w:p>
        </w:tc>
        <w:tc>
          <w:tcPr>
            <w:tcW w:w="8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74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Broadcast Television</w:t>
            </w:r>
          </w:p>
        </w:tc>
        <w:tc>
          <w:tcPr>
            <w:tcW w:w="54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436"/>
              <w:spacing w:after="0"/>
              <w:rPr>
                <w:sz w:val="20"/>
                <w:szCs w:val="20"/>
                <w:color w:val="auto"/>
              </w:rPr>
            </w:pPr>
            <w:r>
              <w:rPr>
                <w:rFonts w:ascii="Arial" w:cs="Arial" w:eastAsia="Arial" w:hAnsi="Arial"/>
                <w:sz w:val="18"/>
                <w:szCs w:val="18"/>
                <w:color w:val="auto"/>
                <w:w w:val="88"/>
              </w:rPr>
              <w:t>2,248</w:t>
            </w:r>
          </w:p>
        </w:tc>
        <w:tc>
          <w:tcPr>
            <w:tcW w:w="1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w w:val="88"/>
              </w:rPr>
              <w:t>2,621</w:t>
            </w:r>
          </w:p>
        </w:tc>
        <w:tc>
          <w:tcPr>
            <w:tcW w:w="880" w:type="dxa"/>
            <w:vAlign w:val="bottom"/>
            <w:shd w:val="clear" w:color="auto" w:fill="E5E5E5"/>
          </w:tcPr>
          <w:p>
            <w:pPr>
              <w:jc w:val="right"/>
              <w:ind w:right="76"/>
              <w:spacing w:after="0"/>
              <w:rPr>
                <w:sz w:val="20"/>
                <w:szCs w:val="20"/>
                <w:color w:val="auto"/>
              </w:rPr>
            </w:pPr>
            <w:r>
              <w:rPr>
                <w:rFonts w:ascii="Arial" w:cs="Arial" w:eastAsia="Arial" w:hAnsi="Arial"/>
                <w:sz w:val="18"/>
                <w:szCs w:val="18"/>
                <w:color w:val="auto"/>
              </w:rPr>
              <w:t>(373)</w:t>
            </w:r>
          </w:p>
        </w:tc>
        <w:tc>
          <w:tcPr>
            <w:tcW w:w="8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7420" w:type="dxa"/>
            <w:vAlign w:val="bottom"/>
          </w:tcPr>
          <w:p>
            <w:pPr>
              <w:ind w:left="440"/>
              <w:spacing w:after="0"/>
              <w:rPr>
                <w:sz w:val="20"/>
                <w:szCs w:val="20"/>
                <w:color w:val="auto"/>
              </w:rPr>
            </w:pPr>
            <w:r>
              <w:rPr>
                <w:rFonts w:ascii="Arial" w:cs="Arial" w:eastAsia="Arial" w:hAnsi="Arial"/>
                <w:sz w:val="18"/>
                <w:szCs w:val="18"/>
                <w:color w:val="auto"/>
              </w:rPr>
              <w:t>Filmed Entertainment</w:t>
            </w:r>
          </w:p>
        </w:tc>
        <w:tc>
          <w:tcPr>
            <w:tcW w:w="540" w:type="dxa"/>
            <w:vAlign w:val="bottom"/>
          </w:tcPr>
          <w:p>
            <w:pPr>
              <w:spacing w:after="0"/>
              <w:rPr>
                <w:sz w:val="18"/>
                <w:szCs w:val="18"/>
                <w:color w:val="auto"/>
              </w:rPr>
            </w:pPr>
          </w:p>
        </w:tc>
        <w:tc>
          <w:tcPr>
            <w:tcW w:w="940" w:type="dxa"/>
            <w:vAlign w:val="bottom"/>
          </w:tcPr>
          <w:p>
            <w:pPr>
              <w:jc w:val="right"/>
              <w:ind w:right="436"/>
              <w:spacing w:after="0"/>
              <w:rPr>
                <w:sz w:val="20"/>
                <w:szCs w:val="20"/>
                <w:color w:val="auto"/>
              </w:rPr>
            </w:pPr>
            <w:r>
              <w:rPr>
                <w:rFonts w:ascii="Arial" w:cs="Arial" w:eastAsia="Arial" w:hAnsi="Arial"/>
                <w:sz w:val="18"/>
                <w:szCs w:val="18"/>
                <w:color w:val="auto"/>
                <w:w w:val="88"/>
              </w:rPr>
              <w:t>1,446</w:t>
            </w:r>
          </w:p>
        </w:tc>
        <w:tc>
          <w:tcPr>
            <w:tcW w:w="120" w:type="dxa"/>
            <w:vAlign w:val="bottom"/>
          </w:tcPr>
          <w:p>
            <w:pPr>
              <w:spacing w:after="0"/>
              <w:rPr>
                <w:sz w:val="18"/>
                <w:szCs w:val="18"/>
                <w:color w:val="auto"/>
              </w:rPr>
            </w:pPr>
          </w:p>
        </w:tc>
        <w:tc>
          <w:tcPr>
            <w:tcW w:w="720" w:type="dxa"/>
            <w:vAlign w:val="bottom"/>
          </w:tcPr>
          <w:p>
            <w:pPr>
              <w:jc w:val="right"/>
              <w:ind w:right="214"/>
              <w:spacing w:after="0"/>
              <w:rPr>
                <w:sz w:val="20"/>
                <w:szCs w:val="20"/>
                <w:color w:val="auto"/>
              </w:rPr>
            </w:pPr>
            <w:r>
              <w:rPr>
                <w:rFonts w:ascii="Arial" w:cs="Arial" w:eastAsia="Arial" w:hAnsi="Arial"/>
                <w:sz w:val="18"/>
                <w:szCs w:val="18"/>
                <w:color w:val="auto"/>
                <w:w w:val="88"/>
              </w:rPr>
              <w:t>1,351</w:t>
            </w:r>
          </w:p>
        </w:tc>
        <w:tc>
          <w:tcPr>
            <w:tcW w:w="880" w:type="dxa"/>
            <w:vAlign w:val="bottom"/>
          </w:tcPr>
          <w:p>
            <w:pPr>
              <w:jc w:val="right"/>
              <w:ind w:right="136"/>
              <w:spacing w:after="0"/>
              <w:rPr>
                <w:sz w:val="20"/>
                <w:szCs w:val="20"/>
                <w:color w:val="auto"/>
              </w:rPr>
            </w:pPr>
            <w:r>
              <w:rPr>
                <w:rFonts w:ascii="Arial" w:cs="Arial" w:eastAsia="Arial" w:hAnsi="Arial"/>
                <w:sz w:val="18"/>
                <w:szCs w:val="18"/>
                <w:color w:val="auto"/>
              </w:rPr>
              <w:t>95</w:t>
            </w:r>
          </w:p>
        </w:tc>
        <w:tc>
          <w:tcPr>
            <w:tcW w:w="800" w:type="dxa"/>
            <w:vAlign w:val="bottom"/>
          </w:tcPr>
          <w:p>
            <w:pPr>
              <w:jc w:val="right"/>
              <w:ind w:right="194"/>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74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Theme Parks</w:t>
            </w:r>
          </w:p>
        </w:tc>
        <w:tc>
          <w:tcPr>
            <w:tcW w:w="54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436"/>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487</w:t>
            </w:r>
          </w:p>
        </w:tc>
        <w:tc>
          <w:tcPr>
            <w:tcW w:w="88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164</w:t>
            </w:r>
          </w:p>
        </w:tc>
        <w:tc>
          <w:tcPr>
            <w:tcW w:w="80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74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Headquarters, other and eliminations</w:t>
            </w: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(88)</w:t>
            </w:r>
          </w:p>
        </w:tc>
        <w:tc>
          <w:tcPr>
            <w:tcW w:w="8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(12)</w:t>
            </w:r>
          </w:p>
        </w:tc>
        <w:tc>
          <w:tcPr>
            <w:tcW w:w="8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7"/>
        </w:trPr>
        <w:tc>
          <w:tcPr>
            <w:tcW w:w="7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E5E5E5"/>
          </w:tcPr>
          <w:p>
            <w:pPr>
              <w:jc w:val="right"/>
              <w:ind w:right="436"/>
              <w:spacing w:after="0"/>
              <w:rPr>
                <w:sz w:val="20"/>
                <w:szCs w:val="20"/>
                <w:color w:val="auto"/>
              </w:rPr>
            </w:pPr>
            <w:r>
              <w:rPr>
                <w:rFonts w:ascii="Arial" w:cs="Arial" w:eastAsia="Arial" w:hAnsi="Arial"/>
                <w:sz w:val="18"/>
                <w:szCs w:val="18"/>
                <w:b w:val="1"/>
                <w:bCs w:val="1"/>
                <w:color w:val="auto"/>
                <w:w w:val="88"/>
              </w:rPr>
              <w:t>6,604</w:t>
            </w: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b w:val="1"/>
                <w:bCs w:val="1"/>
                <w:color w:val="auto"/>
                <w:w w:val="88"/>
              </w:rPr>
              <w:t>6,876</w:t>
            </w:r>
          </w:p>
        </w:tc>
        <w:tc>
          <w:tcPr>
            <w:tcW w:w="880" w:type="dxa"/>
            <w:vAlign w:val="bottom"/>
            <w:tcBorders>
              <w:bottom w:val="single" w:sz="8" w:color="auto"/>
            </w:tcBorders>
            <w:shd w:val="clear" w:color="auto" w:fill="E5E5E5"/>
          </w:tcPr>
          <w:p>
            <w:pPr>
              <w:jc w:val="right"/>
              <w:ind w:right="76"/>
              <w:spacing w:after="0"/>
              <w:rPr>
                <w:sz w:val="20"/>
                <w:szCs w:val="20"/>
                <w:color w:val="auto"/>
              </w:rPr>
            </w:pPr>
            <w:r>
              <w:rPr>
                <w:rFonts w:ascii="Arial" w:cs="Arial" w:eastAsia="Arial" w:hAnsi="Arial"/>
                <w:sz w:val="18"/>
                <w:szCs w:val="18"/>
                <w:b w:val="1"/>
                <w:bCs w:val="1"/>
                <w:color w:val="auto"/>
              </w:rPr>
              <w:t>$(272)</w:t>
            </w:r>
          </w:p>
        </w:tc>
        <w:tc>
          <w:tcPr>
            <w:tcW w:w="8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ind w:right="436"/>
              <w:spacing w:after="0"/>
              <w:rPr>
                <w:sz w:val="20"/>
                <w:szCs w:val="20"/>
                <w:color w:val="auto"/>
              </w:rPr>
            </w:pPr>
            <w:r>
              <w:rPr>
                <w:rFonts w:ascii="Arial" w:cs="Arial" w:eastAsia="Arial" w:hAnsi="Arial"/>
                <w:sz w:val="18"/>
                <w:szCs w:val="18"/>
                <w:color w:val="auto"/>
              </w:rPr>
              <w:t>898</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895</w:t>
            </w:r>
          </w:p>
        </w:tc>
        <w:tc>
          <w:tcPr>
            <w:tcW w:w="88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   3</w:t>
            </w:r>
          </w:p>
        </w:tc>
        <w:tc>
          <w:tcPr>
            <w:tcW w:w="8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742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540" w:type="dxa"/>
            <w:vAlign w:val="bottom"/>
          </w:tcPr>
          <w:p>
            <w:pPr>
              <w:spacing w:after="0"/>
              <w:rPr>
                <w:sz w:val="18"/>
                <w:szCs w:val="18"/>
                <w:color w:val="auto"/>
              </w:rPr>
            </w:pPr>
          </w:p>
        </w:tc>
        <w:tc>
          <w:tcPr>
            <w:tcW w:w="940" w:type="dxa"/>
            <w:vAlign w:val="bottom"/>
          </w:tcPr>
          <w:p>
            <w:pPr>
              <w:jc w:val="right"/>
              <w:ind w:right="436"/>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8"/>
                <w:szCs w:val="18"/>
                <w:color w:val="auto"/>
              </w:rPr>
            </w:pPr>
          </w:p>
        </w:tc>
        <w:tc>
          <w:tcPr>
            <w:tcW w:w="720" w:type="dxa"/>
            <w:vAlign w:val="bottom"/>
          </w:tcPr>
          <w:p>
            <w:pPr>
              <w:jc w:val="right"/>
              <w:ind w:right="214"/>
              <w:spacing w:after="0"/>
              <w:rPr>
                <w:sz w:val="20"/>
                <w:szCs w:val="20"/>
                <w:color w:val="auto"/>
              </w:rPr>
            </w:pPr>
            <w:r>
              <w:rPr>
                <w:rFonts w:ascii="Arial" w:cs="Arial" w:eastAsia="Arial" w:hAnsi="Arial"/>
                <w:sz w:val="18"/>
                <w:szCs w:val="18"/>
                <w:color w:val="auto"/>
              </w:rPr>
              <w:t>122</w:t>
            </w:r>
          </w:p>
        </w:tc>
        <w:tc>
          <w:tcPr>
            <w:tcW w:w="880" w:type="dxa"/>
            <w:vAlign w:val="bottom"/>
          </w:tcPr>
          <w:p>
            <w:pPr>
              <w:jc w:val="right"/>
              <w:ind w:right="136"/>
              <w:spacing w:after="0"/>
              <w:rPr>
                <w:sz w:val="20"/>
                <w:szCs w:val="20"/>
                <w:color w:val="auto"/>
              </w:rPr>
            </w:pPr>
            <w:r>
              <w:rPr>
                <w:rFonts w:ascii="Arial" w:cs="Arial" w:eastAsia="Arial" w:hAnsi="Arial"/>
                <w:sz w:val="18"/>
                <w:szCs w:val="18"/>
                <w:color w:val="auto"/>
              </w:rPr>
              <w:t>60</w:t>
            </w:r>
          </w:p>
        </w:tc>
        <w:tc>
          <w:tcPr>
            <w:tcW w:w="800" w:type="dxa"/>
            <w:vAlign w:val="bottom"/>
          </w:tcPr>
          <w:p>
            <w:pPr>
              <w:jc w:val="right"/>
              <w:ind w:right="194"/>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74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54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436"/>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288</w:t>
            </w:r>
          </w:p>
        </w:tc>
        <w:tc>
          <w:tcPr>
            <w:tcW w:w="88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5</w:t>
            </w:r>
          </w:p>
        </w:tc>
        <w:tc>
          <w:tcPr>
            <w:tcW w:w="80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742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540" w:type="dxa"/>
            <w:vAlign w:val="bottom"/>
          </w:tcPr>
          <w:p>
            <w:pPr>
              <w:spacing w:after="0"/>
              <w:rPr>
                <w:sz w:val="18"/>
                <w:szCs w:val="18"/>
                <w:color w:val="auto"/>
              </w:rPr>
            </w:pPr>
          </w:p>
        </w:tc>
        <w:tc>
          <w:tcPr>
            <w:tcW w:w="940" w:type="dxa"/>
            <w:vAlign w:val="bottom"/>
          </w:tcPr>
          <w:p>
            <w:pPr>
              <w:jc w:val="right"/>
              <w:ind w:right="436"/>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8"/>
                <w:szCs w:val="18"/>
                <w:color w:val="auto"/>
              </w:rPr>
            </w:pPr>
          </w:p>
        </w:tc>
        <w:tc>
          <w:tcPr>
            <w:tcW w:w="720" w:type="dxa"/>
            <w:vAlign w:val="bottom"/>
          </w:tcPr>
          <w:p>
            <w:pPr>
              <w:jc w:val="right"/>
              <w:ind w:right="214"/>
              <w:spacing w:after="0"/>
              <w:rPr>
                <w:sz w:val="20"/>
                <w:szCs w:val="20"/>
                <w:color w:val="auto"/>
              </w:rPr>
            </w:pPr>
            <w:r>
              <w:rPr>
                <w:rFonts w:ascii="Arial" w:cs="Arial" w:eastAsia="Arial" w:hAnsi="Arial"/>
                <w:sz w:val="18"/>
                <w:szCs w:val="18"/>
                <w:color w:val="auto"/>
              </w:rPr>
              <w:t>170</w:t>
            </w:r>
          </w:p>
        </w:tc>
        <w:tc>
          <w:tcPr>
            <w:tcW w:w="880" w:type="dxa"/>
            <w:vAlign w:val="bottom"/>
          </w:tcPr>
          <w:p>
            <w:pPr>
              <w:jc w:val="right"/>
              <w:ind w:right="136"/>
              <w:spacing w:after="0"/>
              <w:rPr>
                <w:sz w:val="20"/>
                <w:szCs w:val="20"/>
                <w:color w:val="auto"/>
              </w:rPr>
            </w:pPr>
            <w:r>
              <w:rPr>
                <w:rFonts w:ascii="Arial" w:cs="Arial" w:eastAsia="Arial" w:hAnsi="Arial"/>
                <w:sz w:val="18"/>
                <w:szCs w:val="18"/>
                <w:color w:val="auto"/>
              </w:rPr>
              <w:t>93</w:t>
            </w:r>
          </w:p>
        </w:tc>
        <w:tc>
          <w:tcPr>
            <w:tcW w:w="800" w:type="dxa"/>
            <w:vAlign w:val="bottom"/>
          </w:tcPr>
          <w:p>
            <w:pPr>
              <w:jc w:val="right"/>
              <w:ind w:right="194"/>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742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Headquarters, other and eliminations</w:t>
            </w:r>
          </w:p>
        </w:tc>
        <w:tc>
          <w:tcPr>
            <w:tcW w:w="54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ind w:right="376"/>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(164)</w:t>
            </w:r>
          </w:p>
        </w:tc>
        <w:tc>
          <w:tcPr>
            <w:tcW w:w="880" w:type="dxa"/>
            <w:vAlign w:val="bottom"/>
            <w:tcBorders>
              <w:bottom w:val="single" w:sz="8" w:color="auto"/>
            </w:tcBorders>
            <w:shd w:val="clear" w:color="auto" w:fill="E5E5E5"/>
          </w:tcPr>
          <w:p>
            <w:pPr>
              <w:jc w:val="right"/>
              <w:ind w:right="136"/>
              <w:spacing w:after="0"/>
              <w:rPr>
                <w:sz w:val="20"/>
                <w:szCs w:val="20"/>
                <w:color w:val="auto"/>
              </w:rPr>
            </w:pPr>
            <w:r>
              <w:rPr>
                <w:rFonts w:ascii="Arial" w:cs="Arial" w:eastAsia="Arial" w:hAnsi="Arial"/>
                <w:sz w:val="18"/>
                <w:szCs w:val="18"/>
                <w:color w:val="auto"/>
              </w:rPr>
              <w:t>22</w:t>
            </w:r>
          </w:p>
        </w:tc>
        <w:tc>
          <w:tcPr>
            <w:tcW w:w="80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7"/>
        </w:trPr>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operating income before depreciation and amortization</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436"/>
              <w:spacing w:after="0"/>
              <w:rPr>
                <w:sz w:val="20"/>
                <w:szCs w:val="20"/>
                <w:color w:val="auto"/>
              </w:rPr>
            </w:pPr>
            <w:r>
              <w:rPr>
                <w:rFonts w:ascii="Arial" w:cs="Arial" w:eastAsia="Arial" w:hAnsi="Arial"/>
                <w:sz w:val="18"/>
                <w:szCs w:val="18"/>
                <w:b w:val="1"/>
                <w:bCs w:val="1"/>
                <w:color w:val="auto"/>
                <w:w w:val="88"/>
              </w:rPr>
              <w:t>1,494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w w:val="88"/>
              </w:rPr>
              <w:t>1,311</w:t>
            </w:r>
          </w:p>
        </w:tc>
        <w:tc>
          <w:tcPr>
            <w:tcW w:w="88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b w:val="1"/>
                <w:bCs w:val="1"/>
                <w:color w:val="auto"/>
              </w:rPr>
              <w:t>$ 183</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14.0%</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Networks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40" w:type="dxa"/>
            <w:vAlign w:val="bottom"/>
            <w:gridSpan w:val="3"/>
          </w:tcPr>
          <w:p>
            <w:pPr>
              <w:jc w:val="right"/>
              <w:ind w:right="394"/>
              <w:spacing w:after="0"/>
              <w:rPr>
                <w:sz w:val="20"/>
                <w:szCs w:val="20"/>
                <w:color w:val="auto"/>
              </w:rPr>
            </w:pPr>
            <w:r>
              <w:rPr>
                <w:rFonts w:ascii="Arial" w:cs="Arial" w:eastAsia="Arial" w:hAnsi="Arial"/>
                <w:sz w:val="14"/>
                <w:szCs w:val="14"/>
                <w:color w:val="auto"/>
                <w:w w:val="94"/>
              </w:rPr>
              <w:t>Three Months Ended</w:t>
            </w:r>
          </w:p>
        </w:tc>
        <w:tc>
          <w:tcPr>
            <w:tcW w:w="1680" w:type="dxa"/>
            <w:vAlign w:val="bottom"/>
            <w:gridSpan w:val="2"/>
          </w:tcPr>
          <w:p>
            <w:pPr>
              <w:jc w:val="right"/>
              <w:ind w:right="514"/>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74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12"/>
              <w:spacing w:after="0" w:line="159" w:lineRule="exact"/>
              <w:rPr>
                <w:sz w:val="20"/>
                <w:szCs w:val="20"/>
                <w:color w:val="auto"/>
              </w:rPr>
            </w:pPr>
            <w:r>
              <w:rPr>
                <w:rFonts w:ascii="Arial" w:cs="Arial" w:eastAsia="Arial" w:hAnsi="Arial"/>
                <w:sz w:val="14"/>
                <w:szCs w:val="14"/>
                <w:color w:val="auto"/>
              </w:rPr>
              <w:t>March 31</w:t>
            </w:r>
          </w:p>
        </w:tc>
        <w:tc>
          <w:tcPr>
            <w:tcW w:w="6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right"/>
              <w:ind w:right="454"/>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748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jc w:val="right"/>
              <w:ind w:right="317"/>
              <w:spacing w:after="0" w:line="142" w:lineRule="exact"/>
              <w:rPr>
                <w:sz w:val="20"/>
                <w:szCs w:val="20"/>
                <w:color w:val="auto"/>
              </w:rPr>
            </w:pPr>
            <w:r>
              <w:rPr>
                <w:rFonts w:ascii="Arial" w:cs="Arial" w:eastAsia="Arial" w:hAnsi="Arial"/>
                <w:sz w:val="14"/>
                <w:szCs w:val="14"/>
                <w:color w:val="auto"/>
                <w:w w:val="89"/>
              </w:rPr>
              <w:t>2015</w:t>
            </w:r>
          </w:p>
        </w:tc>
        <w:tc>
          <w:tcPr>
            <w:tcW w:w="360" w:type="dxa"/>
            <w:vAlign w:val="bottom"/>
          </w:tcPr>
          <w:p>
            <w:pPr>
              <w:spacing w:after="0"/>
              <w:rPr>
                <w:sz w:val="12"/>
                <w:szCs w:val="12"/>
                <w:color w:val="auto"/>
              </w:rPr>
            </w:pPr>
          </w:p>
        </w:tc>
        <w:tc>
          <w:tcPr>
            <w:tcW w:w="680" w:type="dxa"/>
            <w:vAlign w:val="bottom"/>
          </w:tcPr>
          <w:p>
            <w:pPr>
              <w:jc w:val="right"/>
              <w:ind w:right="294"/>
              <w:spacing w:after="0" w:line="142" w:lineRule="exact"/>
              <w:rPr>
                <w:sz w:val="20"/>
                <w:szCs w:val="20"/>
                <w:color w:val="auto"/>
              </w:rPr>
            </w:pPr>
            <w:r>
              <w:rPr>
                <w:rFonts w:ascii="Arial" w:cs="Arial" w:eastAsia="Arial" w:hAnsi="Arial"/>
                <w:sz w:val="14"/>
                <w:szCs w:val="14"/>
                <w:color w:val="auto"/>
                <w:w w:val="89"/>
              </w:rPr>
              <w:t>2014</w:t>
            </w:r>
          </w:p>
        </w:tc>
        <w:tc>
          <w:tcPr>
            <w:tcW w:w="900" w:type="dxa"/>
            <w:vAlign w:val="bottom"/>
          </w:tcPr>
          <w:p>
            <w:pPr>
              <w:jc w:val="right"/>
              <w:ind w:right="317"/>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33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Distribution</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77"/>
              <w:spacing w:after="0"/>
              <w:rPr>
                <w:sz w:val="20"/>
                <w:szCs w:val="20"/>
                <w:color w:val="auto"/>
              </w:rPr>
            </w:pPr>
            <w:r>
              <w:rPr>
                <w:rFonts w:ascii="Arial" w:cs="Arial" w:eastAsia="Arial" w:hAnsi="Arial"/>
                <w:sz w:val="18"/>
                <w:szCs w:val="18"/>
                <w:color w:val="auto"/>
                <w:w w:val="93"/>
              </w:rPr>
              <w:t>1,358</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4"/>
              <w:spacing w:after="0"/>
              <w:rPr>
                <w:sz w:val="20"/>
                <w:szCs w:val="20"/>
                <w:color w:val="auto"/>
              </w:rPr>
            </w:pPr>
            <w:r>
              <w:rPr>
                <w:rFonts w:ascii="Arial" w:cs="Arial" w:eastAsia="Arial" w:hAnsi="Arial"/>
                <w:sz w:val="18"/>
                <w:szCs w:val="18"/>
                <w:color w:val="auto"/>
                <w:w w:val="88"/>
              </w:rPr>
              <w:t>1,473</w:t>
            </w:r>
          </w:p>
        </w:tc>
        <w:tc>
          <w:tcPr>
            <w:tcW w:w="900" w:type="dxa"/>
            <w:vAlign w:val="bottom"/>
          </w:tcPr>
          <w:p>
            <w:pPr>
              <w:jc w:val="right"/>
              <w:ind w:right="77"/>
              <w:spacing w:after="0"/>
              <w:rPr>
                <w:sz w:val="20"/>
                <w:szCs w:val="20"/>
                <w:color w:val="auto"/>
              </w:rPr>
            </w:pPr>
            <w:r>
              <w:rPr>
                <w:rFonts w:ascii="Arial" w:cs="Arial" w:eastAsia="Arial" w:hAnsi="Arial"/>
                <w:sz w:val="18"/>
                <w:szCs w:val="18"/>
                <w:color w:val="auto"/>
              </w:rPr>
              <w:t>$(115)</w:t>
            </w:r>
          </w:p>
        </w:tc>
        <w:tc>
          <w:tcPr>
            <w:tcW w:w="7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rPr>
              <w:t>851</w:t>
            </w:r>
          </w:p>
        </w:tc>
        <w:tc>
          <w:tcPr>
            <w:tcW w:w="3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896</w:t>
            </w:r>
          </w:p>
        </w:tc>
        <w:tc>
          <w:tcPr>
            <w:tcW w:w="90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(45)</w:t>
            </w:r>
          </w:p>
        </w:tc>
        <w:tc>
          <w:tcPr>
            <w:tcW w:w="7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Content licensing and other</w:t>
            </w: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150</w:t>
            </w: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136</w:t>
            </w:r>
          </w:p>
        </w:tc>
        <w:tc>
          <w:tcPr>
            <w:tcW w:w="9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14</w:t>
            </w:r>
          </w:p>
        </w:tc>
        <w:tc>
          <w:tcPr>
            <w:tcW w:w="78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77"/>
              <w:spacing w:after="0"/>
              <w:rPr>
                <w:sz w:val="20"/>
                <w:szCs w:val="20"/>
                <w:color w:val="auto"/>
              </w:rPr>
            </w:pPr>
            <w:r>
              <w:rPr>
                <w:rFonts w:ascii="Arial" w:cs="Arial" w:eastAsia="Arial" w:hAnsi="Arial"/>
                <w:sz w:val="18"/>
                <w:szCs w:val="18"/>
                <w:b w:val="1"/>
                <w:bCs w:val="1"/>
                <w:color w:val="auto"/>
                <w:w w:val="93"/>
              </w:rPr>
              <w:t>2,359</w:t>
            </w:r>
          </w:p>
        </w:tc>
        <w:tc>
          <w:tcPr>
            <w:tcW w:w="3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4"/>
              <w:spacing w:after="0"/>
              <w:rPr>
                <w:sz w:val="20"/>
                <w:szCs w:val="20"/>
                <w:color w:val="auto"/>
              </w:rPr>
            </w:pPr>
            <w:r>
              <w:rPr>
                <w:rFonts w:ascii="Arial" w:cs="Arial" w:eastAsia="Arial" w:hAnsi="Arial"/>
                <w:sz w:val="18"/>
                <w:szCs w:val="18"/>
                <w:b w:val="1"/>
                <w:bCs w:val="1"/>
                <w:color w:val="auto"/>
                <w:w w:val="88"/>
              </w:rPr>
              <w:t>2,505</w:t>
            </w:r>
          </w:p>
        </w:tc>
        <w:tc>
          <w:tcPr>
            <w:tcW w:w="900" w:type="dxa"/>
            <w:vAlign w:val="bottom"/>
            <w:shd w:val="clear" w:color="auto" w:fill="E5E5E5"/>
          </w:tcPr>
          <w:p>
            <w:pPr>
              <w:jc w:val="right"/>
              <w:ind w:right="77"/>
              <w:spacing w:after="0"/>
              <w:rPr>
                <w:sz w:val="20"/>
                <w:szCs w:val="20"/>
                <w:color w:val="auto"/>
              </w:rPr>
            </w:pPr>
            <w:r>
              <w:rPr>
                <w:rFonts w:ascii="Arial" w:cs="Arial" w:eastAsia="Arial" w:hAnsi="Arial"/>
                <w:sz w:val="18"/>
                <w:szCs w:val="18"/>
                <w:b w:val="1"/>
                <w:bCs w:val="1"/>
                <w:color w:val="auto"/>
              </w:rPr>
              <w:t>(146)</w:t>
            </w:r>
          </w:p>
        </w:tc>
        <w:tc>
          <w:tcPr>
            <w:tcW w:w="780" w:type="dxa"/>
            <w:vAlign w:val="bottom"/>
            <w:shd w:val="clear" w:color="auto" w:fill="E5E5E5"/>
          </w:tcPr>
          <w:p>
            <w:pPr>
              <w:jc w:val="right"/>
              <w:ind w:right="114"/>
              <w:spacing w:after="0"/>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w w:val="93"/>
              </w:rPr>
              <w:t>1,023</w:t>
            </w:r>
          </w:p>
        </w:tc>
        <w:tc>
          <w:tcPr>
            <w:tcW w:w="3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w w:val="88"/>
              </w:rPr>
              <w:t>1,187</w:t>
            </w:r>
          </w:p>
        </w:tc>
        <w:tc>
          <w:tcPr>
            <w:tcW w:w="90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(164)</w:t>
            </w:r>
          </w:p>
        </w:tc>
        <w:tc>
          <w:tcPr>
            <w:tcW w:w="7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520" w:type="dxa"/>
            <w:vAlign w:val="bottom"/>
          </w:tcPr>
          <w:p>
            <w:pPr>
              <w:spacing w:after="0"/>
              <w:rPr>
                <w:sz w:val="18"/>
                <w:szCs w:val="18"/>
                <w:color w:val="auto"/>
              </w:rPr>
            </w:pPr>
          </w:p>
        </w:tc>
        <w:tc>
          <w:tcPr>
            <w:tcW w:w="700" w:type="dxa"/>
            <w:vAlign w:val="bottom"/>
          </w:tcPr>
          <w:p>
            <w:pPr>
              <w:jc w:val="right"/>
              <w:ind w:right="177"/>
              <w:spacing w:after="0"/>
              <w:rPr>
                <w:sz w:val="20"/>
                <w:szCs w:val="20"/>
                <w:color w:val="auto"/>
              </w:rPr>
            </w:pPr>
            <w:r>
              <w:rPr>
                <w:rFonts w:ascii="Arial" w:cs="Arial" w:eastAsia="Arial" w:hAnsi="Arial"/>
                <w:sz w:val="18"/>
                <w:szCs w:val="18"/>
                <w:color w:val="auto"/>
              </w:rPr>
              <w:t>305</w:t>
            </w:r>
          </w:p>
        </w:tc>
        <w:tc>
          <w:tcPr>
            <w:tcW w:w="360" w:type="dxa"/>
            <w:vAlign w:val="bottom"/>
          </w:tcPr>
          <w:p>
            <w:pPr>
              <w:spacing w:after="0"/>
              <w:rPr>
                <w:sz w:val="18"/>
                <w:szCs w:val="18"/>
                <w:color w:val="auto"/>
              </w:rPr>
            </w:pPr>
          </w:p>
        </w:tc>
        <w:tc>
          <w:tcPr>
            <w:tcW w:w="680" w:type="dxa"/>
            <w:vAlign w:val="bottom"/>
          </w:tcPr>
          <w:p>
            <w:pPr>
              <w:jc w:val="right"/>
              <w:ind w:right="174"/>
              <w:spacing w:after="0"/>
              <w:rPr>
                <w:sz w:val="20"/>
                <w:szCs w:val="20"/>
                <w:color w:val="auto"/>
              </w:rPr>
            </w:pPr>
            <w:r>
              <w:rPr>
                <w:rFonts w:ascii="Arial" w:cs="Arial" w:eastAsia="Arial" w:hAnsi="Arial"/>
                <w:sz w:val="18"/>
                <w:szCs w:val="18"/>
                <w:color w:val="auto"/>
              </w:rPr>
              <w:t>303</w:t>
            </w:r>
          </w:p>
        </w:tc>
        <w:tc>
          <w:tcPr>
            <w:tcW w:w="900" w:type="dxa"/>
            <w:vAlign w:val="bottom"/>
          </w:tcPr>
          <w:p>
            <w:pPr>
              <w:jc w:val="right"/>
              <w:ind w:right="137"/>
              <w:spacing w:after="0"/>
              <w:rPr>
                <w:sz w:val="20"/>
                <w:szCs w:val="20"/>
                <w:color w:val="auto"/>
              </w:rPr>
            </w:pPr>
            <w:r>
              <w:rPr>
                <w:rFonts w:ascii="Arial" w:cs="Arial" w:eastAsia="Arial" w:hAnsi="Arial"/>
                <w:sz w:val="18"/>
                <w:szCs w:val="18"/>
                <w:color w:val="auto"/>
              </w:rPr>
              <w:t>2</w:t>
            </w:r>
          </w:p>
        </w:tc>
        <w:tc>
          <w:tcPr>
            <w:tcW w:w="780" w:type="dxa"/>
            <w:vAlign w:val="bottom"/>
          </w:tcPr>
          <w:p>
            <w:pPr>
              <w:jc w:val="right"/>
              <w:ind w:right="174"/>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5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color w:val="auto"/>
              </w:rPr>
              <w:t>133</w:t>
            </w:r>
          </w:p>
        </w:tc>
        <w:tc>
          <w:tcPr>
            <w:tcW w:w="3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120</w:t>
            </w:r>
          </w:p>
        </w:tc>
        <w:tc>
          <w:tcPr>
            <w:tcW w:w="90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13</w:t>
            </w:r>
          </w:p>
        </w:tc>
        <w:tc>
          <w:tcPr>
            <w:tcW w:w="78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costs and expenses</w:t>
            </w: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w w:val="93"/>
              </w:rPr>
              <w:t>1,461</w:t>
            </w: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w w:val="88"/>
              </w:rPr>
              <w:t>1,610</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(149)</w:t>
            </w:r>
          </w:p>
        </w:tc>
        <w:tc>
          <w:tcPr>
            <w:tcW w:w="7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b w:val="1"/>
                <w:bCs w:val="1"/>
                <w:color w:val="auto"/>
              </w:rPr>
              <w:t>898</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b w:val="1"/>
                <w:bCs w:val="1"/>
                <w:color w:val="auto"/>
              </w:rPr>
              <w:t>895</w:t>
            </w:r>
          </w:p>
        </w:tc>
        <w:tc>
          <w:tcPr>
            <w:tcW w:w="90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b w:val="1"/>
                <w:bCs w:val="1"/>
                <w:color w:val="auto"/>
              </w:rPr>
              <w:t>$   3</w:t>
            </w:r>
          </w:p>
        </w:tc>
        <w:tc>
          <w:tcPr>
            <w:tcW w:w="7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Segment—Revenue</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Cable Networks revenue decreased for the three months ended March 31, 2015 compared to the same period in 2014 primarily due to decreases in distribution revenue and advertising revenue, which were partially offset by an increase in content licensing and other revenue. The decrease in distribution revenue was primarily due to $177 million in revenue in the prior year period associated with our broadcast of the 2014 Sochi Olympics, which was partially offset by an increase in distribution revenue related to the contractual rates charged under distribution agreements in the current year period. The decrease in advertising revenue was primarily due to $80 million in advertising revenue in the prior year period associated with the 2014 Sochi Olympics, which was partially offset by the benefit from a reduction in deferred advertising revenue in the current year period. While we continued to experience audience ratings declines that negatively affected advertising revenue, higher prices and an increase in the volume of advertising units sold offset the impact of audience ratings. The increase in content licensing and other revenue was primarily due to the timing of availability of content under our licensing agreements with digital distributors. Excluding $257 million of revenue associated with our broadcast of the 2014 Sochi Olympics in the prior year period, Cable Networks segment revenue increased 4.9% for the three months ended March 31, 2015.</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For the three months ended March 31, 2015 and 2014, 14% and 12%, respectively, of our Cable Networks segment revenue was generated from our Cable Communications segment. These amounts are eliminated in our condensed consolidated financial statements but are included in the amounts presented above.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Segment—Operating Costs and Expenses</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Operating costs and expenses decreased for the three months ended March 31, 2015 compared to the same period in 2014 primarily due to a decrease in programming and production costs, which was partially offset by an increase in advertising, marketing and promotion expenses. The decrease in programming and production costs was primarily due to costs associated with our broadcast of the 2014 Sochi Olympics in the prior year period, which was partially offset by our continued investment in programming, including sports programming rights costs. The increase in advertising, marketing and promotion expenses was primarily due to increased spending on marketing related to the launch of new programming on our cable networks.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Broadcast Television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40" w:type="dxa"/>
            <w:vAlign w:val="bottom"/>
            <w:gridSpan w:val="3"/>
          </w:tcPr>
          <w:p>
            <w:pPr>
              <w:jc w:val="right"/>
              <w:ind w:right="394"/>
              <w:spacing w:after="0"/>
              <w:rPr>
                <w:sz w:val="20"/>
                <w:szCs w:val="20"/>
                <w:color w:val="auto"/>
              </w:rPr>
            </w:pPr>
            <w:r>
              <w:rPr>
                <w:rFonts w:ascii="Arial" w:cs="Arial" w:eastAsia="Arial" w:hAnsi="Arial"/>
                <w:sz w:val="14"/>
                <w:szCs w:val="14"/>
                <w:color w:val="auto"/>
                <w:w w:val="94"/>
              </w:rPr>
              <w:t>Three Months Ended</w:t>
            </w:r>
          </w:p>
        </w:tc>
        <w:tc>
          <w:tcPr>
            <w:tcW w:w="1680" w:type="dxa"/>
            <w:vAlign w:val="bottom"/>
            <w:gridSpan w:val="2"/>
          </w:tcPr>
          <w:p>
            <w:pPr>
              <w:jc w:val="right"/>
              <w:ind w:right="514"/>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74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12"/>
              <w:spacing w:after="0" w:line="159" w:lineRule="exact"/>
              <w:rPr>
                <w:sz w:val="20"/>
                <w:szCs w:val="20"/>
                <w:color w:val="auto"/>
              </w:rPr>
            </w:pPr>
            <w:r>
              <w:rPr>
                <w:rFonts w:ascii="Arial" w:cs="Arial" w:eastAsia="Arial" w:hAnsi="Arial"/>
                <w:sz w:val="14"/>
                <w:szCs w:val="14"/>
                <w:color w:val="auto"/>
              </w:rPr>
              <w:t>March 31</w:t>
            </w:r>
          </w:p>
        </w:tc>
        <w:tc>
          <w:tcPr>
            <w:tcW w:w="6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right"/>
              <w:ind w:right="454"/>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748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jc w:val="right"/>
              <w:ind w:right="317"/>
              <w:spacing w:after="0" w:line="142" w:lineRule="exact"/>
              <w:rPr>
                <w:sz w:val="20"/>
                <w:szCs w:val="20"/>
                <w:color w:val="auto"/>
              </w:rPr>
            </w:pPr>
            <w:r>
              <w:rPr>
                <w:rFonts w:ascii="Arial" w:cs="Arial" w:eastAsia="Arial" w:hAnsi="Arial"/>
                <w:sz w:val="14"/>
                <w:szCs w:val="14"/>
                <w:color w:val="auto"/>
                <w:w w:val="89"/>
              </w:rPr>
              <w:t>2015</w:t>
            </w:r>
          </w:p>
        </w:tc>
        <w:tc>
          <w:tcPr>
            <w:tcW w:w="360" w:type="dxa"/>
            <w:vAlign w:val="bottom"/>
          </w:tcPr>
          <w:p>
            <w:pPr>
              <w:spacing w:after="0"/>
              <w:rPr>
                <w:sz w:val="12"/>
                <w:szCs w:val="12"/>
                <w:color w:val="auto"/>
              </w:rPr>
            </w:pPr>
          </w:p>
        </w:tc>
        <w:tc>
          <w:tcPr>
            <w:tcW w:w="680" w:type="dxa"/>
            <w:vAlign w:val="bottom"/>
          </w:tcPr>
          <w:p>
            <w:pPr>
              <w:jc w:val="right"/>
              <w:ind w:right="294"/>
              <w:spacing w:after="0" w:line="142" w:lineRule="exact"/>
              <w:rPr>
                <w:sz w:val="20"/>
                <w:szCs w:val="20"/>
                <w:color w:val="auto"/>
              </w:rPr>
            </w:pPr>
            <w:r>
              <w:rPr>
                <w:rFonts w:ascii="Arial" w:cs="Arial" w:eastAsia="Arial" w:hAnsi="Arial"/>
                <w:sz w:val="14"/>
                <w:szCs w:val="14"/>
                <w:color w:val="auto"/>
                <w:w w:val="89"/>
              </w:rPr>
              <w:t>2014</w:t>
            </w:r>
          </w:p>
        </w:tc>
        <w:tc>
          <w:tcPr>
            <w:tcW w:w="900" w:type="dxa"/>
            <w:vAlign w:val="bottom"/>
          </w:tcPr>
          <w:p>
            <w:pPr>
              <w:jc w:val="right"/>
              <w:ind w:right="317"/>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33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Advertising</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77"/>
              <w:spacing w:after="0"/>
              <w:rPr>
                <w:sz w:val="20"/>
                <w:szCs w:val="20"/>
                <w:color w:val="auto"/>
              </w:rPr>
            </w:pPr>
            <w:r>
              <w:rPr>
                <w:rFonts w:ascii="Arial" w:cs="Arial" w:eastAsia="Arial" w:hAnsi="Arial"/>
                <w:sz w:val="18"/>
                <w:szCs w:val="18"/>
                <w:color w:val="auto"/>
                <w:w w:val="93"/>
              </w:rPr>
              <w:t>1,539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4"/>
              <w:spacing w:after="0"/>
              <w:rPr>
                <w:sz w:val="20"/>
                <w:szCs w:val="20"/>
                <w:color w:val="auto"/>
              </w:rPr>
            </w:pPr>
            <w:r>
              <w:rPr>
                <w:rFonts w:ascii="Arial" w:cs="Arial" w:eastAsia="Arial" w:hAnsi="Arial"/>
                <w:sz w:val="18"/>
                <w:szCs w:val="18"/>
                <w:color w:val="auto"/>
                <w:w w:val="88"/>
              </w:rPr>
              <w:t>1,833</w:t>
            </w:r>
          </w:p>
        </w:tc>
        <w:tc>
          <w:tcPr>
            <w:tcW w:w="900" w:type="dxa"/>
            <w:vAlign w:val="bottom"/>
          </w:tcPr>
          <w:p>
            <w:pPr>
              <w:jc w:val="right"/>
              <w:ind w:right="77"/>
              <w:spacing w:after="0"/>
              <w:rPr>
                <w:sz w:val="20"/>
                <w:szCs w:val="20"/>
                <w:color w:val="auto"/>
              </w:rPr>
            </w:pPr>
            <w:r>
              <w:rPr>
                <w:rFonts w:ascii="Arial" w:cs="Arial" w:eastAsia="Arial" w:hAnsi="Arial"/>
                <w:sz w:val="18"/>
                <w:szCs w:val="18"/>
                <w:color w:val="auto"/>
              </w:rPr>
              <w:t>$(294)</w:t>
            </w:r>
          </w:p>
        </w:tc>
        <w:tc>
          <w:tcPr>
            <w:tcW w:w="78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Content licensing</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rPr>
              <w:t>485</w:t>
            </w:r>
          </w:p>
        </w:tc>
        <w:tc>
          <w:tcPr>
            <w:tcW w:w="3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496</w:t>
            </w:r>
          </w:p>
        </w:tc>
        <w:tc>
          <w:tcPr>
            <w:tcW w:w="90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(11)</w:t>
            </w:r>
          </w:p>
        </w:tc>
        <w:tc>
          <w:tcPr>
            <w:tcW w:w="7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224</w:t>
            </w: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292</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(68)</w:t>
            </w:r>
          </w:p>
        </w:tc>
        <w:tc>
          <w:tcPr>
            <w:tcW w:w="7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77"/>
              <w:spacing w:after="0"/>
              <w:rPr>
                <w:sz w:val="20"/>
                <w:szCs w:val="20"/>
                <w:color w:val="auto"/>
              </w:rPr>
            </w:pPr>
            <w:r>
              <w:rPr>
                <w:rFonts w:ascii="Arial" w:cs="Arial" w:eastAsia="Arial" w:hAnsi="Arial"/>
                <w:sz w:val="18"/>
                <w:szCs w:val="18"/>
                <w:b w:val="1"/>
                <w:bCs w:val="1"/>
                <w:color w:val="auto"/>
                <w:w w:val="93"/>
              </w:rPr>
              <w:t>2,248</w:t>
            </w:r>
          </w:p>
        </w:tc>
        <w:tc>
          <w:tcPr>
            <w:tcW w:w="3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4"/>
              <w:spacing w:after="0"/>
              <w:rPr>
                <w:sz w:val="20"/>
                <w:szCs w:val="20"/>
                <w:color w:val="auto"/>
              </w:rPr>
            </w:pPr>
            <w:r>
              <w:rPr>
                <w:rFonts w:ascii="Arial" w:cs="Arial" w:eastAsia="Arial" w:hAnsi="Arial"/>
                <w:sz w:val="18"/>
                <w:szCs w:val="18"/>
                <w:b w:val="1"/>
                <w:bCs w:val="1"/>
                <w:color w:val="auto"/>
                <w:w w:val="88"/>
              </w:rPr>
              <w:t>2,621</w:t>
            </w:r>
          </w:p>
        </w:tc>
        <w:tc>
          <w:tcPr>
            <w:tcW w:w="900" w:type="dxa"/>
            <w:vAlign w:val="bottom"/>
            <w:shd w:val="clear" w:color="auto" w:fill="E5E5E5"/>
          </w:tcPr>
          <w:p>
            <w:pPr>
              <w:jc w:val="right"/>
              <w:ind w:right="77"/>
              <w:spacing w:after="0"/>
              <w:rPr>
                <w:sz w:val="20"/>
                <w:szCs w:val="20"/>
                <w:color w:val="auto"/>
              </w:rPr>
            </w:pPr>
            <w:r>
              <w:rPr>
                <w:rFonts w:ascii="Arial" w:cs="Arial" w:eastAsia="Arial" w:hAnsi="Arial"/>
                <w:sz w:val="18"/>
                <w:szCs w:val="18"/>
                <w:b w:val="1"/>
                <w:bCs w:val="1"/>
                <w:color w:val="auto"/>
              </w:rPr>
              <w:t>(373)</w:t>
            </w:r>
          </w:p>
        </w:tc>
        <w:tc>
          <w:tcPr>
            <w:tcW w:w="780" w:type="dxa"/>
            <w:vAlign w:val="bottom"/>
            <w:shd w:val="clear" w:color="auto" w:fill="E5E5E5"/>
          </w:tcPr>
          <w:p>
            <w:pPr>
              <w:jc w:val="right"/>
              <w:ind w:right="114"/>
              <w:spacing w:after="0"/>
              <w:rPr>
                <w:sz w:val="20"/>
                <w:szCs w:val="20"/>
                <w:color w:val="auto"/>
              </w:rPr>
            </w:pPr>
            <w:r>
              <w:rPr>
                <w:rFonts w:ascii="Arial" w:cs="Arial" w:eastAsia="Arial" w:hAnsi="Arial"/>
                <w:sz w:val="18"/>
                <w:szCs w:val="18"/>
                <w:b w:val="1"/>
                <w:bCs w:val="1"/>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w w:val="93"/>
              </w:rPr>
              <w:t>1,626</w:t>
            </w:r>
          </w:p>
        </w:tc>
        <w:tc>
          <w:tcPr>
            <w:tcW w:w="3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w w:val="88"/>
              </w:rPr>
              <w:t>2,028</w:t>
            </w:r>
          </w:p>
        </w:tc>
        <w:tc>
          <w:tcPr>
            <w:tcW w:w="90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(402)</w:t>
            </w:r>
          </w:p>
        </w:tc>
        <w:tc>
          <w:tcPr>
            <w:tcW w:w="7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520" w:type="dxa"/>
            <w:vAlign w:val="bottom"/>
          </w:tcPr>
          <w:p>
            <w:pPr>
              <w:spacing w:after="0"/>
              <w:rPr>
                <w:sz w:val="18"/>
                <w:szCs w:val="18"/>
                <w:color w:val="auto"/>
              </w:rPr>
            </w:pPr>
          </w:p>
        </w:tc>
        <w:tc>
          <w:tcPr>
            <w:tcW w:w="700" w:type="dxa"/>
            <w:vAlign w:val="bottom"/>
          </w:tcPr>
          <w:p>
            <w:pPr>
              <w:jc w:val="right"/>
              <w:ind w:right="177"/>
              <w:spacing w:after="0"/>
              <w:rPr>
                <w:sz w:val="20"/>
                <w:szCs w:val="20"/>
                <w:color w:val="auto"/>
              </w:rPr>
            </w:pPr>
            <w:r>
              <w:rPr>
                <w:rFonts w:ascii="Arial" w:cs="Arial" w:eastAsia="Arial" w:hAnsi="Arial"/>
                <w:sz w:val="18"/>
                <w:szCs w:val="18"/>
                <w:color w:val="auto"/>
              </w:rPr>
              <w:t>310</w:t>
            </w:r>
          </w:p>
        </w:tc>
        <w:tc>
          <w:tcPr>
            <w:tcW w:w="360" w:type="dxa"/>
            <w:vAlign w:val="bottom"/>
          </w:tcPr>
          <w:p>
            <w:pPr>
              <w:spacing w:after="0"/>
              <w:rPr>
                <w:sz w:val="18"/>
                <w:szCs w:val="18"/>
                <w:color w:val="auto"/>
              </w:rPr>
            </w:pPr>
          </w:p>
        </w:tc>
        <w:tc>
          <w:tcPr>
            <w:tcW w:w="680" w:type="dxa"/>
            <w:vAlign w:val="bottom"/>
          </w:tcPr>
          <w:p>
            <w:pPr>
              <w:jc w:val="right"/>
              <w:ind w:right="174"/>
              <w:spacing w:after="0"/>
              <w:rPr>
                <w:sz w:val="20"/>
                <w:szCs w:val="20"/>
                <w:color w:val="auto"/>
              </w:rPr>
            </w:pPr>
            <w:r>
              <w:rPr>
                <w:rFonts w:ascii="Arial" w:cs="Arial" w:eastAsia="Arial" w:hAnsi="Arial"/>
                <w:sz w:val="18"/>
                <w:szCs w:val="18"/>
                <w:color w:val="auto"/>
              </w:rPr>
              <w:t>323</w:t>
            </w:r>
          </w:p>
        </w:tc>
        <w:tc>
          <w:tcPr>
            <w:tcW w:w="900" w:type="dxa"/>
            <w:vAlign w:val="bottom"/>
          </w:tcPr>
          <w:p>
            <w:pPr>
              <w:jc w:val="right"/>
              <w:ind w:right="77"/>
              <w:spacing w:after="0"/>
              <w:rPr>
                <w:sz w:val="20"/>
                <w:szCs w:val="20"/>
                <w:color w:val="auto"/>
              </w:rPr>
            </w:pPr>
            <w:r>
              <w:rPr>
                <w:rFonts w:ascii="Arial" w:cs="Arial" w:eastAsia="Arial" w:hAnsi="Arial"/>
                <w:sz w:val="18"/>
                <w:szCs w:val="18"/>
                <w:color w:val="auto"/>
              </w:rPr>
              <w:t>(13)</w:t>
            </w: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5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color w:val="auto"/>
              </w:rPr>
              <w:t>130</w:t>
            </w:r>
          </w:p>
        </w:tc>
        <w:tc>
          <w:tcPr>
            <w:tcW w:w="3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148</w:t>
            </w:r>
          </w:p>
        </w:tc>
        <w:tc>
          <w:tcPr>
            <w:tcW w:w="90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color w:val="auto"/>
              </w:rPr>
              <w:t>(18)</w:t>
            </w:r>
          </w:p>
        </w:tc>
        <w:tc>
          <w:tcPr>
            <w:tcW w:w="78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costs and expenses</w:t>
            </w: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w w:val="93"/>
              </w:rPr>
              <w:t>2,066</w:t>
            </w: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w w:val="88"/>
              </w:rPr>
              <w:t>2,499</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(433)</w:t>
            </w:r>
          </w:p>
        </w:tc>
        <w:tc>
          <w:tcPr>
            <w:tcW w:w="7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b w:val="1"/>
                <w:bCs w:val="1"/>
                <w:color w:val="auto"/>
              </w:rPr>
              <w:t>182</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b w:val="1"/>
                <w:bCs w:val="1"/>
                <w:color w:val="auto"/>
              </w:rPr>
              <w:t>122</w:t>
            </w:r>
          </w:p>
        </w:tc>
        <w:tc>
          <w:tcPr>
            <w:tcW w:w="90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b w:val="1"/>
                <w:bCs w:val="1"/>
                <w:color w:val="auto"/>
              </w:rPr>
              <w:t>$  60</w:t>
            </w:r>
          </w:p>
        </w:tc>
        <w:tc>
          <w:tcPr>
            <w:tcW w:w="7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48.9%</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Segment—Revenue</w:t>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Broadcast Television revenue decreased for the three months ended March 31, 2015 compared to the same period in 2014 primarily due to additional advertising revenue in the prior year period associated with our broadcast of the 2014 Sochi Olympics, which was partially offset by an increase in advertising revenue in the current year period associated with our broadcast of the 2015 Super Bowl. Excluding $846 million of revenue associated with the broadcast of the 2014 Sochi Olympics in the prior year period and $376 million of revenue associated with our broadcast of the 2015 Super Bowl in the current year period, revenue increased 5.5% primarily due to higher prices and an increase in the volume of advertising units sold, as well as an increase in other revenue related to fees recognized under our retransmission consent agreements.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Segment—Operating Costs and Expenses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costs and expenses decreased for the three months ended March 31, 2015 compared to the same period in 2014 primarily due to our broadcast of the 2014 Sochi Olympics in the prior year period. The decrease was partially offset by an increase in programming and production costs associated with our broadcast of the 2015 Super Bowl.</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Filmed Entertainment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gridSpan w:val="3"/>
          </w:tcPr>
          <w:p>
            <w:pPr>
              <w:jc w:val="right"/>
              <w:ind w:right="394"/>
              <w:spacing w:after="0"/>
              <w:rPr>
                <w:sz w:val="20"/>
                <w:szCs w:val="20"/>
                <w:color w:val="auto"/>
              </w:rPr>
            </w:pPr>
            <w:r>
              <w:rPr>
                <w:rFonts w:ascii="Arial" w:cs="Arial" w:eastAsia="Arial" w:hAnsi="Arial"/>
                <w:sz w:val="14"/>
                <w:szCs w:val="14"/>
                <w:color w:val="auto"/>
                <w:w w:val="93"/>
              </w:rPr>
              <w:t>Three Months Ended</w:t>
            </w:r>
          </w:p>
        </w:tc>
        <w:tc>
          <w:tcPr>
            <w:tcW w:w="1460" w:type="dxa"/>
            <w:vAlign w:val="bottom"/>
            <w:gridSpan w:val="2"/>
          </w:tcPr>
          <w:p>
            <w:pPr>
              <w:jc w:val="right"/>
              <w:ind w:right="394"/>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77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12"/>
              <w:spacing w:after="0" w:line="159" w:lineRule="exact"/>
              <w:rPr>
                <w:sz w:val="20"/>
                <w:szCs w:val="20"/>
                <w:color w:val="auto"/>
              </w:rPr>
            </w:pPr>
            <w:r>
              <w:rPr>
                <w:rFonts w:ascii="Arial" w:cs="Arial" w:eastAsia="Arial" w:hAnsi="Arial"/>
                <w:sz w:val="14"/>
                <w:szCs w:val="14"/>
                <w:color w:val="auto"/>
              </w:rPr>
              <w:t>March 31</w:t>
            </w:r>
          </w:p>
        </w:tc>
        <w:tc>
          <w:tcPr>
            <w:tcW w:w="6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right"/>
              <w:ind w:right="354"/>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772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color w:val="auto"/>
                <w:w w:val="83"/>
              </w:rPr>
              <w:t>2015</w:t>
            </w:r>
          </w:p>
        </w:tc>
        <w:tc>
          <w:tcPr>
            <w:tcW w:w="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color w:val="auto"/>
                <w:w w:val="83"/>
              </w:rPr>
              <w:t>2014</w:t>
            </w:r>
          </w:p>
        </w:tc>
        <w:tc>
          <w:tcPr>
            <w:tcW w:w="74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7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440"/>
              <w:spacing w:after="0"/>
              <w:rPr>
                <w:sz w:val="20"/>
                <w:szCs w:val="20"/>
                <w:color w:val="auto"/>
              </w:rPr>
            </w:pPr>
            <w:r>
              <w:rPr>
                <w:rFonts w:ascii="Arial" w:cs="Arial" w:eastAsia="Arial" w:hAnsi="Arial"/>
                <w:sz w:val="18"/>
                <w:szCs w:val="18"/>
                <w:color w:val="auto"/>
              </w:rPr>
              <w:t>Theatrical</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7"/>
              <w:spacing w:after="0"/>
              <w:rPr>
                <w:sz w:val="20"/>
                <w:szCs w:val="20"/>
                <w:color w:val="auto"/>
              </w:rPr>
            </w:pPr>
            <w:r>
              <w:rPr>
                <w:rFonts w:ascii="Arial" w:cs="Arial" w:eastAsia="Arial" w:hAnsi="Arial"/>
                <w:sz w:val="18"/>
                <w:szCs w:val="18"/>
                <w:color w:val="auto"/>
              </w:rPr>
              <w:t>371</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4"/>
              <w:spacing w:after="0"/>
              <w:rPr>
                <w:sz w:val="20"/>
                <w:szCs w:val="20"/>
                <w:color w:val="auto"/>
              </w:rPr>
            </w:pPr>
            <w:r>
              <w:rPr>
                <w:rFonts w:ascii="Arial" w:cs="Arial" w:eastAsia="Arial" w:hAnsi="Arial"/>
                <w:sz w:val="18"/>
                <w:szCs w:val="18"/>
                <w:color w:val="auto"/>
              </w:rPr>
              <w:t>376</w:t>
            </w:r>
          </w:p>
        </w:tc>
        <w:tc>
          <w:tcPr>
            <w:tcW w:w="740" w:type="dxa"/>
            <w:vAlign w:val="bottom"/>
          </w:tcPr>
          <w:p>
            <w:pPr>
              <w:jc w:val="right"/>
              <w:ind w:right="77"/>
              <w:spacing w:after="0"/>
              <w:rPr>
                <w:sz w:val="20"/>
                <w:szCs w:val="20"/>
                <w:color w:val="auto"/>
              </w:rPr>
            </w:pPr>
            <w:r>
              <w:rPr>
                <w:rFonts w:ascii="Arial" w:cs="Arial" w:eastAsia="Arial" w:hAnsi="Arial"/>
                <w:sz w:val="18"/>
                <w:szCs w:val="18"/>
                <w:color w:val="auto"/>
              </w:rPr>
              <w:t>$ (5)</w:t>
            </w: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7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5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rPr>
              <w:t>538</w:t>
            </w:r>
          </w:p>
        </w:tc>
        <w:tc>
          <w:tcPr>
            <w:tcW w:w="3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465</w:t>
            </w:r>
          </w:p>
        </w:tc>
        <w:tc>
          <w:tcPr>
            <w:tcW w:w="74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73</w:t>
            </w:r>
          </w:p>
        </w:tc>
        <w:tc>
          <w:tcPr>
            <w:tcW w:w="72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7720" w:type="dxa"/>
            <w:vAlign w:val="bottom"/>
          </w:tcPr>
          <w:p>
            <w:pPr>
              <w:ind w:left="440"/>
              <w:spacing w:after="0"/>
              <w:rPr>
                <w:sz w:val="20"/>
                <w:szCs w:val="20"/>
                <w:color w:val="auto"/>
              </w:rPr>
            </w:pPr>
            <w:r>
              <w:rPr>
                <w:rFonts w:ascii="Arial" w:cs="Arial" w:eastAsia="Arial" w:hAnsi="Arial"/>
                <w:sz w:val="18"/>
                <w:szCs w:val="18"/>
                <w:color w:val="auto"/>
              </w:rPr>
              <w:t>Home entertainment</w:t>
            </w:r>
          </w:p>
        </w:tc>
        <w:tc>
          <w:tcPr>
            <w:tcW w:w="520" w:type="dxa"/>
            <w:vAlign w:val="bottom"/>
          </w:tcPr>
          <w:p>
            <w:pPr>
              <w:spacing w:after="0"/>
              <w:rPr>
                <w:sz w:val="18"/>
                <w:szCs w:val="18"/>
                <w:color w:val="auto"/>
              </w:rPr>
            </w:pPr>
          </w:p>
        </w:tc>
        <w:tc>
          <w:tcPr>
            <w:tcW w:w="680" w:type="dxa"/>
            <w:vAlign w:val="bottom"/>
          </w:tcPr>
          <w:p>
            <w:pPr>
              <w:jc w:val="right"/>
              <w:ind w:right="177"/>
              <w:spacing w:after="0"/>
              <w:rPr>
                <w:sz w:val="20"/>
                <w:szCs w:val="20"/>
                <w:color w:val="auto"/>
              </w:rPr>
            </w:pPr>
            <w:r>
              <w:rPr>
                <w:rFonts w:ascii="Arial" w:cs="Arial" w:eastAsia="Arial" w:hAnsi="Arial"/>
                <w:sz w:val="18"/>
                <w:szCs w:val="18"/>
                <w:color w:val="auto"/>
              </w:rPr>
              <w:t>364</w:t>
            </w:r>
          </w:p>
        </w:tc>
        <w:tc>
          <w:tcPr>
            <w:tcW w:w="360" w:type="dxa"/>
            <w:vAlign w:val="bottom"/>
          </w:tcPr>
          <w:p>
            <w:pPr>
              <w:spacing w:after="0"/>
              <w:rPr>
                <w:sz w:val="18"/>
                <w:szCs w:val="18"/>
                <w:color w:val="auto"/>
              </w:rPr>
            </w:pPr>
          </w:p>
        </w:tc>
        <w:tc>
          <w:tcPr>
            <w:tcW w:w="680" w:type="dxa"/>
            <w:vAlign w:val="bottom"/>
          </w:tcPr>
          <w:p>
            <w:pPr>
              <w:jc w:val="right"/>
              <w:ind w:right="174"/>
              <w:spacing w:after="0"/>
              <w:rPr>
                <w:sz w:val="20"/>
                <w:szCs w:val="20"/>
                <w:color w:val="auto"/>
              </w:rPr>
            </w:pPr>
            <w:r>
              <w:rPr>
                <w:rFonts w:ascii="Arial" w:cs="Arial" w:eastAsia="Arial" w:hAnsi="Arial"/>
                <w:sz w:val="18"/>
                <w:szCs w:val="18"/>
                <w:color w:val="auto"/>
              </w:rPr>
              <w:t>351</w:t>
            </w:r>
          </w:p>
        </w:tc>
        <w:tc>
          <w:tcPr>
            <w:tcW w:w="740" w:type="dxa"/>
            <w:vAlign w:val="bottom"/>
          </w:tcPr>
          <w:p>
            <w:pPr>
              <w:jc w:val="right"/>
              <w:ind w:right="137"/>
              <w:spacing w:after="0"/>
              <w:rPr>
                <w:sz w:val="20"/>
                <w:szCs w:val="20"/>
                <w:color w:val="auto"/>
              </w:rPr>
            </w:pPr>
            <w:r>
              <w:rPr>
                <w:rFonts w:ascii="Arial" w:cs="Arial" w:eastAsia="Arial" w:hAnsi="Arial"/>
                <w:sz w:val="18"/>
                <w:szCs w:val="18"/>
                <w:color w:val="auto"/>
              </w:rPr>
              <w:t>13</w:t>
            </w:r>
          </w:p>
        </w:tc>
        <w:tc>
          <w:tcPr>
            <w:tcW w:w="720" w:type="dxa"/>
            <w:vAlign w:val="bottom"/>
          </w:tcPr>
          <w:p>
            <w:pPr>
              <w:jc w:val="right"/>
              <w:ind w:right="174"/>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772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color w:val="auto"/>
              </w:rPr>
              <w:t>173</w:t>
            </w:r>
          </w:p>
        </w:tc>
        <w:tc>
          <w:tcPr>
            <w:tcW w:w="3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159</w:t>
            </w:r>
          </w:p>
        </w:tc>
        <w:tc>
          <w:tcPr>
            <w:tcW w:w="74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14</w:t>
            </w:r>
          </w:p>
        </w:tc>
        <w:tc>
          <w:tcPr>
            <w:tcW w:w="72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0"/>
        </w:trPr>
        <w:tc>
          <w:tcPr>
            <w:tcW w:w="772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520" w:type="dxa"/>
            <w:vAlign w:val="bottom"/>
          </w:tcPr>
          <w:p>
            <w:pPr>
              <w:spacing w:after="0"/>
              <w:rPr>
                <w:sz w:val="18"/>
                <w:szCs w:val="18"/>
                <w:color w:val="auto"/>
              </w:rPr>
            </w:pPr>
          </w:p>
        </w:tc>
        <w:tc>
          <w:tcPr>
            <w:tcW w:w="680" w:type="dxa"/>
            <w:vAlign w:val="bottom"/>
          </w:tcPr>
          <w:p>
            <w:pPr>
              <w:jc w:val="right"/>
              <w:ind w:right="177"/>
              <w:spacing w:after="0"/>
              <w:rPr>
                <w:sz w:val="20"/>
                <w:szCs w:val="20"/>
                <w:color w:val="auto"/>
              </w:rPr>
            </w:pPr>
            <w:r>
              <w:rPr>
                <w:rFonts w:ascii="Arial" w:cs="Arial" w:eastAsia="Arial" w:hAnsi="Arial"/>
                <w:sz w:val="18"/>
                <w:szCs w:val="18"/>
                <w:b w:val="1"/>
                <w:bCs w:val="1"/>
                <w:color w:val="auto"/>
                <w:w w:val="88"/>
              </w:rPr>
              <w:t>1,446</w:t>
            </w:r>
          </w:p>
        </w:tc>
        <w:tc>
          <w:tcPr>
            <w:tcW w:w="360" w:type="dxa"/>
            <w:vAlign w:val="bottom"/>
          </w:tcPr>
          <w:p>
            <w:pPr>
              <w:spacing w:after="0"/>
              <w:rPr>
                <w:sz w:val="18"/>
                <w:szCs w:val="18"/>
                <w:color w:val="auto"/>
              </w:rPr>
            </w:pPr>
          </w:p>
        </w:tc>
        <w:tc>
          <w:tcPr>
            <w:tcW w:w="680" w:type="dxa"/>
            <w:vAlign w:val="bottom"/>
          </w:tcPr>
          <w:p>
            <w:pPr>
              <w:jc w:val="right"/>
              <w:ind w:right="174"/>
              <w:spacing w:after="0"/>
              <w:rPr>
                <w:sz w:val="20"/>
                <w:szCs w:val="20"/>
                <w:color w:val="auto"/>
              </w:rPr>
            </w:pPr>
            <w:r>
              <w:rPr>
                <w:rFonts w:ascii="Arial" w:cs="Arial" w:eastAsia="Arial" w:hAnsi="Arial"/>
                <w:sz w:val="18"/>
                <w:szCs w:val="18"/>
                <w:b w:val="1"/>
                <w:bCs w:val="1"/>
                <w:color w:val="auto"/>
                <w:w w:val="88"/>
              </w:rPr>
              <w:t>1,351</w:t>
            </w:r>
          </w:p>
        </w:tc>
        <w:tc>
          <w:tcPr>
            <w:tcW w:w="740" w:type="dxa"/>
            <w:vAlign w:val="bottom"/>
          </w:tcPr>
          <w:p>
            <w:pPr>
              <w:jc w:val="right"/>
              <w:ind w:right="137"/>
              <w:spacing w:after="0"/>
              <w:rPr>
                <w:sz w:val="20"/>
                <w:szCs w:val="20"/>
                <w:color w:val="auto"/>
              </w:rPr>
            </w:pPr>
            <w:r>
              <w:rPr>
                <w:rFonts w:ascii="Arial" w:cs="Arial" w:eastAsia="Arial" w:hAnsi="Arial"/>
                <w:sz w:val="18"/>
                <w:szCs w:val="18"/>
                <w:b w:val="1"/>
                <w:bCs w:val="1"/>
                <w:color w:val="auto"/>
              </w:rPr>
              <w:t>95</w:t>
            </w:r>
          </w:p>
        </w:tc>
        <w:tc>
          <w:tcPr>
            <w:tcW w:w="720" w:type="dxa"/>
            <w:vAlign w:val="bottom"/>
          </w:tcPr>
          <w:p>
            <w:pPr>
              <w:jc w:val="right"/>
              <w:ind w:right="174"/>
              <w:spacing w:after="0"/>
              <w:rPr>
                <w:sz w:val="20"/>
                <w:szCs w:val="20"/>
                <w:color w:val="auto"/>
              </w:rPr>
            </w:pPr>
            <w:r>
              <w:rPr>
                <w:rFonts w:ascii="Arial" w:cs="Arial" w:eastAsia="Arial" w:hAnsi="Arial"/>
                <w:sz w:val="18"/>
                <w:szCs w:val="18"/>
                <w:b w:val="1"/>
                <w:bCs w:val="1"/>
                <w:color w:val="auto"/>
              </w:rPr>
              <w:t>7.0</w:t>
            </w:r>
          </w:p>
        </w:tc>
        <w:tc>
          <w:tcPr>
            <w:tcW w:w="0" w:type="dxa"/>
            <w:vAlign w:val="bottom"/>
          </w:tcPr>
          <w:p>
            <w:pPr>
              <w:spacing w:after="0"/>
              <w:rPr>
                <w:sz w:val="1"/>
                <w:szCs w:val="1"/>
                <w:color w:val="auto"/>
              </w:rPr>
            </w:pPr>
          </w:p>
        </w:tc>
      </w:tr>
      <w:tr>
        <w:trPr>
          <w:trHeight w:val="216"/>
        </w:trPr>
        <w:tc>
          <w:tcPr>
            <w:tcW w:w="77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costs and expenses</w:t>
            </w:r>
          </w:p>
        </w:tc>
        <w:tc>
          <w:tcPr>
            <w:tcW w:w="5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440"/>
              <w:spacing w:after="0"/>
              <w:rPr>
                <w:sz w:val="20"/>
                <w:szCs w:val="20"/>
                <w:color w:val="auto"/>
              </w:rPr>
            </w:pPr>
            <w:r>
              <w:rPr>
                <w:rFonts w:ascii="Arial" w:cs="Arial" w:eastAsia="Arial" w:hAnsi="Arial"/>
                <w:sz w:val="18"/>
                <w:szCs w:val="18"/>
                <w:color w:val="auto"/>
              </w:rPr>
              <w:t>Programming and production</w:t>
            </w:r>
          </w:p>
        </w:tc>
        <w:tc>
          <w:tcPr>
            <w:tcW w:w="520" w:type="dxa"/>
            <w:vAlign w:val="bottom"/>
          </w:tcPr>
          <w:p>
            <w:pPr>
              <w:spacing w:after="0"/>
              <w:rPr>
                <w:sz w:val="18"/>
                <w:szCs w:val="18"/>
                <w:color w:val="auto"/>
              </w:rPr>
            </w:pPr>
          </w:p>
        </w:tc>
        <w:tc>
          <w:tcPr>
            <w:tcW w:w="680" w:type="dxa"/>
            <w:vAlign w:val="bottom"/>
          </w:tcPr>
          <w:p>
            <w:pPr>
              <w:jc w:val="right"/>
              <w:ind w:right="177"/>
              <w:spacing w:after="0"/>
              <w:rPr>
                <w:sz w:val="20"/>
                <w:szCs w:val="20"/>
                <w:color w:val="auto"/>
              </w:rPr>
            </w:pPr>
            <w:r>
              <w:rPr>
                <w:rFonts w:ascii="Arial" w:cs="Arial" w:eastAsia="Arial" w:hAnsi="Arial"/>
                <w:sz w:val="18"/>
                <w:szCs w:val="18"/>
                <w:color w:val="auto"/>
              </w:rPr>
              <w:t>611</w:t>
            </w:r>
          </w:p>
        </w:tc>
        <w:tc>
          <w:tcPr>
            <w:tcW w:w="360" w:type="dxa"/>
            <w:vAlign w:val="bottom"/>
          </w:tcPr>
          <w:p>
            <w:pPr>
              <w:spacing w:after="0"/>
              <w:rPr>
                <w:sz w:val="18"/>
                <w:szCs w:val="18"/>
                <w:color w:val="auto"/>
              </w:rPr>
            </w:pPr>
          </w:p>
        </w:tc>
        <w:tc>
          <w:tcPr>
            <w:tcW w:w="680" w:type="dxa"/>
            <w:vAlign w:val="bottom"/>
          </w:tcPr>
          <w:p>
            <w:pPr>
              <w:jc w:val="right"/>
              <w:ind w:right="174"/>
              <w:spacing w:after="0"/>
              <w:rPr>
                <w:sz w:val="20"/>
                <w:szCs w:val="20"/>
                <w:color w:val="auto"/>
              </w:rPr>
            </w:pPr>
            <w:r>
              <w:rPr>
                <w:rFonts w:ascii="Arial" w:cs="Arial" w:eastAsia="Arial" w:hAnsi="Arial"/>
                <w:sz w:val="18"/>
                <w:szCs w:val="18"/>
                <w:color w:val="auto"/>
              </w:rPr>
              <w:t>604</w:t>
            </w:r>
          </w:p>
        </w:tc>
        <w:tc>
          <w:tcPr>
            <w:tcW w:w="740" w:type="dxa"/>
            <w:vAlign w:val="bottom"/>
          </w:tcPr>
          <w:p>
            <w:pPr>
              <w:jc w:val="right"/>
              <w:ind w:right="137"/>
              <w:spacing w:after="0"/>
              <w:rPr>
                <w:sz w:val="20"/>
                <w:szCs w:val="20"/>
                <w:color w:val="auto"/>
              </w:rPr>
            </w:pPr>
            <w:r>
              <w:rPr>
                <w:rFonts w:ascii="Arial" w:cs="Arial" w:eastAsia="Arial" w:hAnsi="Arial"/>
                <w:sz w:val="18"/>
                <w:szCs w:val="18"/>
                <w:color w:val="auto"/>
              </w:rPr>
              <w:t>7</w:t>
            </w:r>
          </w:p>
        </w:tc>
        <w:tc>
          <w:tcPr>
            <w:tcW w:w="720" w:type="dxa"/>
            <w:vAlign w:val="bottom"/>
          </w:tcPr>
          <w:p>
            <w:pPr>
              <w:jc w:val="right"/>
              <w:ind w:right="17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7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Other operating and administrative</w:t>
            </w:r>
          </w:p>
        </w:tc>
        <w:tc>
          <w:tcPr>
            <w:tcW w:w="5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rPr>
              <w:t>196</w:t>
            </w:r>
          </w:p>
        </w:tc>
        <w:tc>
          <w:tcPr>
            <w:tcW w:w="3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188</w:t>
            </w:r>
          </w:p>
        </w:tc>
        <w:tc>
          <w:tcPr>
            <w:tcW w:w="74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8</w:t>
            </w:r>
          </w:p>
        </w:tc>
        <w:tc>
          <w:tcPr>
            <w:tcW w:w="72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77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Advertising, marketing and promotion</w:t>
            </w:r>
          </w:p>
        </w:tc>
        <w:tc>
          <w:tcPr>
            <w:tcW w:w="5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346</w:t>
            </w: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271</w:t>
            </w:r>
          </w:p>
        </w:tc>
        <w:tc>
          <w:tcPr>
            <w:tcW w:w="7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75</w:t>
            </w: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operating costs and expenses</w:t>
            </w:r>
          </w:p>
        </w:tc>
        <w:tc>
          <w:tcPr>
            <w:tcW w:w="5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color w:val="auto"/>
                <w:w w:val="88"/>
              </w:rPr>
              <w:t>1,153</w:t>
            </w:r>
          </w:p>
        </w:tc>
        <w:tc>
          <w:tcPr>
            <w:tcW w:w="3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w w:val="88"/>
              </w:rPr>
              <w:t>1,063</w:t>
            </w:r>
          </w:p>
        </w:tc>
        <w:tc>
          <w:tcPr>
            <w:tcW w:w="74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90</w:t>
            </w:r>
          </w:p>
        </w:tc>
        <w:tc>
          <w:tcPr>
            <w:tcW w:w="72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7"/>
        </w:trPr>
        <w:tc>
          <w:tcPr>
            <w:tcW w:w="7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b w:val="1"/>
                <w:bCs w:val="1"/>
                <w:color w:val="auto"/>
              </w:rPr>
              <w:t>293</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288</w:t>
            </w:r>
          </w:p>
        </w:tc>
        <w:tc>
          <w:tcPr>
            <w:tcW w:w="7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$ 5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Segment—Revenue</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Filmed Entertainment revenue increased for the three months ended March 31, 2015 compared to the same period in 2014 primarily due to increases in content licensing, home entertainment and other revenue, which was partially offset by a decrease in theatrical revenue. The increase in content licensing revenue was primarily due to the timing of availability of content under licensing agreements. The decrease in theatrical revenue was primarily due to fewer theatrical releases in the current year period compared to the same period in 2014, which was partially offset by the strong performance of our current period releases, including </w:t>
      </w:r>
      <w:r>
        <w:rPr>
          <w:rFonts w:ascii="Arial" w:cs="Arial" w:eastAsia="Arial" w:hAnsi="Arial"/>
          <w:sz w:val="18"/>
          <w:szCs w:val="18"/>
          <w:i w:val="1"/>
          <w:iCs w:val="1"/>
          <w:color w:val="auto"/>
        </w:rPr>
        <w:t>Fifty Shades of Grey</w:t>
      </w:r>
      <w:r>
        <w:rPr>
          <w:rFonts w:ascii="Arial" w:cs="Arial" w:eastAsia="Arial" w:hAnsi="Arial"/>
          <w:sz w:val="18"/>
          <w:szCs w:val="18"/>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Segment—Operating Costs and Expenses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Operating costs and expenses increased for the three months ended March 31, 2015 compared to the same period in 2014 primarily due to an increase in advertising, marketing and promotion expenses. The increase in advertising, marketing and promotion expenses in the current year period was primarily due to an increase in marketing costs associated with our future theatrical releases, including </w:t>
      </w:r>
      <w:r>
        <w:rPr>
          <w:rFonts w:ascii="Arial" w:cs="Arial" w:eastAsia="Arial" w:hAnsi="Arial"/>
          <w:sz w:val="18"/>
          <w:szCs w:val="18"/>
          <w:i w:val="1"/>
          <w:iCs w:val="1"/>
          <w:color w:val="auto"/>
        </w:rPr>
        <w:t>Furious 7</w:t>
      </w:r>
      <w:r>
        <w:rPr>
          <w:rFonts w:ascii="Arial" w:cs="Arial" w:eastAsia="Arial" w:hAnsi="Arial"/>
          <w:sz w:val="18"/>
          <w:szCs w:val="18"/>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Theme Parks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40" w:type="dxa"/>
            <w:vAlign w:val="bottom"/>
            <w:gridSpan w:val="3"/>
          </w:tcPr>
          <w:p>
            <w:pPr>
              <w:jc w:val="right"/>
              <w:ind w:right="397"/>
              <w:spacing w:after="0"/>
              <w:rPr>
                <w:sz w:val="20"/>
                <w:szCs w:val="20"/>
                <w:color w:val="auto"/>
              </w:rPr>
            </w:pPr>
            <w:r>
              <w:rPr>
                <w:rFonts w:ascii="Arial" w:cs="Arial" w:eastAsia="Arial" w:hAnsi="Arial"/>
                <w:sz w:val="14"/>
                <w:szCs w:val="14"/>
                <w:color w:val="auto"/>
                <w:w w:val="94"/>
              </w:rPr>
              <w:t>Three Months Ended</w:t>
            </w: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w w:val="83"/>
              </w:rPr>
              <w:t>Increase/</w:t>
            </w:r>
          </w:p>
        </w:tc>
        <w:tc>
          <w:tcPr>
            <w:tcW w:w="0" w:type="dxa"/>
            <w:vAlign w:val="bottom"/>
          </w:tcPr>
          <w:p>
            <w:pPr>
              <w:spacing w:after="0"/>
              <w:rPr>
                <w:sz w:val="1"/>
                <w:szCs w:val="1"/>
                <w:color w:val="auto"/>
              </w:rPr>
            </w:pPr>
          </w:p>
        </w:tc>
      </w:tr>
      <w:tr>
        <w:trPr>
          <w:trHeight w:val="159"/>
        </w:trPr>
        <w:tc>
          <w:tcPr>
            <w:tcW w:w="76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12"/>
              <w:spacing w:after="0" w:line="159" w:lineRule="exact"/>
              <w:rPr>
                <w:sz w:val="20"/>
                <w:szCs w:val="20"/>
                <w:color w:val="auto"/>
              </w:rPr>
            </w:pPr>
            <w:r>
              <w:rPr>
                <w:rFonts w:ascii="Arial" w:cs="Arial" w:eastAsia="Arial" w:hAnsi="Arial"/>
                <w:sz w:val="14"/>
                <w:szCs w:val="14"/>
                <w:color w:val="auto"/>
              </w:rPr>
              <w:t>March 31</w:t>
            </w:r>
          </w:p>
        </w:tc>
        <w:tc>
          <w:tcPr>
            <w:tcW w:w="6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83"/>
              </w:rPr>
              <w:t>(Decrease)</w:t>
            </w:r>
          </w:p>
        </w:tc>
        <w:tc>
          <w:tcPr>
            <w:tcW w:w="0" w:type="dxa"/>
            <w:vAlign w:val="bottom"/>
          </w:tcPr>
          <w:p>
            <w:pPr>
              <w:spacing w:after="0"/>
              <w:rPr>
                <w:sz w:val="1"/>
                <w:szCs w:val="1"/>
                <w:color w:val="auto"/>
              </w:rPr>
            </w:pPr>
          </w:p>
        </w:tc>
      </w:tr>
      <w:tr>
        <w:trPr>
          <w:trHeight w:val="142"/>
        </w:trPr>
        <w:tc>
          <w:tcPr>
            <w:tcW w:w="764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22"/>
              <w:spacing w:after="0" w:line="142" w:lineRule="exact"/>
              <w:rPr>
                <w:sz w:val="20"/>
                <w:szCs w:val="20"/>
                <w:color w:val="auto"/>
              </w:rPr>
            </w:pPr>
            <w:r>
              <w:rPr>
                <w:rFonts w:ascii="Arial" w:cs="Arial" w:eastAsia="Arial" w:hAnsi="Arial"/>
                <w:sz w:val="14"/>
                <w:szCs w:val="14"/>
                <w:color w:val="auto"/>
                <w:w w:val="89"/>
              </w:rPr>
              <w:t>2015</w:t>
            </w:r>
          </w:p>
        </w:tc>
        <w:tc>
          <w:tcPr>
            <w:tcW w:w="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color w:val="auto"/>
                <w:w w:val="89"/>
              </w:rPr>
              <w:t>2014</w:t>
            </w:r>
          </w:p>
        </w:tc>
        <w:tc>
          <w:tcPr>
            <w:tcW w:w="800" w:type="dxa"/>
            <w:vAlign w:val="bottom"/>
            <w:tcBorders>
              <w:bottom w:val="single" w:sz="8" w:color="auto"/>
            </w:tcBorders>
          </w:tcPr>
          <w:p>
            <w:pPr>
              <w:jc w:val="right"/>
              <w:ind w:right="242"/>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6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82"/>
              <w:spacing w:after="0"/>
              <w:rPr>
                <w:sz w:val="20"/>
                <w:szCs w:val="20"/>
                <w:color w:val="auto"/>
              </w:rPr>
            </w:pPr>
            <w:r>
              <w:rPr>
                <w:rFonts w:ascii="Arial" w:cs="Arial" w:eastAsia="Arial" w:hAnsi="Arial"/>
                <w:sz w:val="18"/>
                <w:szCs w:val="18"/>
                <w:color w:val="auto"/>
              </w:rPr>
              <w:t>651</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487</w:t>
            </w:r>
          </w:p>
        </w:tc>
        <w:tc>
          <w:tcPr>
            <w:tcW w:w="800" w:type="dxa"/>
            <w:vAlign w:val="bottom"/>
            <w:shd w:val="clear" w:color="auto" w:fill="E5E5E5"/>
          </w:tcPr>
          <w:p>
            <w:pPr>
              <w:jc w:val="right"/>
              <w:ind w:right="102"/>
              <w:spacing w:after="0"/>
              <w:rPr>
                <w:sz w:val="20"/>
                <w:szCs w:val="20"/>
                <w:color w:val="auto"/>
              </w:rPr>
            </w:pPr>
            <w:r>
              <w:rPr>
                <w:rFonts w:ascii="Arial" w:cs="Arial" w:eastAsia="Arial" w:hAnsi="Arial"/>
                <w:sz w:val="18"/>
                <w:szCs w:val="18"/>
                <w:color w:val="auto"/>
              </w:rPr>
              <w:t>$164</w:t>
            </w:r>
          </w:p>
        </w:tc>
        <w:tc>
          <w:tcPr>
            <w:tcW w:w="720" w:type="dxa"/>
            <w:vAlign w:val="bottom"/>
            <w:shd w:val="clear" w:color="auto" w:fill="E5E5E5"/>
          </w:tcPr>
          <w:p>
            <w:pPr>
              <w:ind w:left="18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82"/>
              <w:spacing w:after="0"/>
              <w:rPr>
                <w:sz w:val="20"/>
                <w:szCs w:val="20"/>
                <w:color w:val="auto"/>
              </w:rPr>
            </w:pPr>
            <w:r>
              <w:rPr>
                <w:rFonts w:ascii="Arial" w:cs="Arial" w:eastAsia="Arial" w:hAnsi="Arial"/>
                <w:sz w:val="18"/>
                <w:szCs w:val="18"/>
                <w:color w:val="auto"/>
              </w:rPr>
              <w:t>388</w:t>
            </w: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317</w:t>
            </w:r>
          </w:p>
        </w:tc>
        <w:tc>
          <w:tcPr>
            <w:tcW w:w="800" w:type="dxa"/>
            <w:vAlign w:val="bottom"/>
            <w:tcBorders>
              <w:bottom w:val="single" w:sz="8" w:color="auto"/>
            </w:tcBorders>
          </w:tcPr>
          <w:p>
            <w:pPr>
              <w:jc w:val="right"/>
              <w:ind w:right="102"/>
              <w:spacing w:after="0"/>
              <w:rPr>
                <w:sz w:val="20"/>
                <w:szCs w:val="20"/>
                <w:color w:val="auto"/>
              </w:rPr>
            </w:pPr>
            <w:r>
              <w:rPr>
                <w:rFonts w:ascii="Arial" w:cs="Arial" w:eastAsia="Arial" w:hAnsi="Arial"/>
                <w:sz w:val="18"/>
                <w:szCs w:val="18"/>
                <w:color w:val="auto"/>
              </w:rPr>
              <w:t>71</w:t>
            </w: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7"/>
        </w:trPr>
        <w:tc>
          <w:tcPr>
            <w:tcW w:w="76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82"/>
              <w:spacing w:after="0"/>
              <w:rPr>
                <w:sz w:val="20"/>
                <w:szCs w:val="20"/>
                <w:color w:val="auto"/>
              </w:rPr>
            </w:pPr>
            <w:r>
              <w:rPr>
                <w:rFonts w:ascii="Arial" w:cs="Arial" w:eastAsia="Arial" w:hAnsi="Arial"/>
                <w:sz w:val="18"/>
                <w:szCs w:val="18"/>
                <w:b w:val="1"/>
                <w:bCs w:val="1"/>
                <w:color w:val="auto"/>
              </w:rPr>
              <w:t>263</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170</w:t>
            </w:r>
          </w:p>
        </w:tc>
        <w:tc>
          <w:tcPr>
            <w:tcW w:w="800" w:type="dxa"/>
            <w:vAlign w:val="bottom"/>
            <w:tcBorders>
              <w:bottom w:val="single" w:sz="8" w:color="auto"/>
            </w:tcBorders>
            <w:shd w:val="clear" w:color="auto" w:fill="E5E5E5"/>
          </w:tcPr>
          <w:p>
            <w:pPr>
              <w:jc w:val="right"/>
              <w:ind w:right="102"/>
              <w:spacing w:after="0"/>
              <w:rPr>
                <w:sz w:val="20"/>
                <w:szCs w:val="20"/>
                <w:color w:val="auto"/>
              </w:rPr>
            </w:pPr>
            <w:r>
              <w:rPr>
                <w:rFonts w:ascii="Arial" w:cs="Arial" w:eastAsia="Arial" w:hAnsi="Arial"/>
                <w:sz w:val="18"/>
                <w:szCs w:val="18"/>
                <w:b w:val="1"/>
                <w:bCs w:val="1"/>
                <w:color w:val="auto"/>
              </w:rPr>
              <w:t>$ 93</w:t>
            </w:r>
          </w:p>
        </w:tc>
        <w:tc>
          <w:tcPr>
            <w:tcW w:w="72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54.6%</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Segment—Revenue</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Theme Parks revenue increased for the three months ended March 31, 2015 compared to the same period in 2014 primarily due to higher guest attendance and an increase in per capita spending as a result of the continued success of our attractions, including </w:t>
      </w:r>
      <w:r>
        <w:rPr>
          <w:rFonts w:ascii="Arial" w:cs="Arial" w:eastAsia="Arial" w:hAnsi="Arial"/>
          <w:sz w:val="16"/>
          <w:szCs w:val="16"/>
          <w:i w:val="1"/>
          <w:iCs w:val="1"/>
          <w:color w:val="auto"/>
        </w:rPr>
        <w:t>The Wizarding World of Harry Potter</w:t>
      </w:r>
      <w:r>
        <w:rPr>
          <w:rFonts w:ascii="Arial" w:cs="Arial" w:eastAsia="Arial" w:hAnsi="Arial"/>
          <w:sz w:val="16"/>
          <w:szCs w:val="16"/>
          <w:color w:val="auto"/>
        </w:rPr>
        <w:t>™—</w:t>
      </w:r>
      <w:r>
        <w:rPr>
          <w:rFonts w:ascii="Arial" w:cs="Arial" w:eastAsia="Arial" w:hAnsi="Arial"/>
          <w:sz w:val="16"/>
          <w:szCs w:val="16"/>
          <w:i w:val="1"/>
          <w:iCs w:val="1"/>
          <w:color w:val="auto"/>
        </w:rPr>
        <w:t>Diagon Alley</w:t>
      </w:r>
      <w:r>
        <w:rPr>
          <w:rFonts w:ascii="Arial" w:cs="Arial" w:eastAsia="Arial" w:hAnsi="Arial"/>
          <w:sz w:val="16"/>
          <w:szCs w:val="16"/>
          <w:color w:val="auto"/>
        </w:rPr>
        <w:t xml:space="preserve">™ in Orlando, which opened in July 2014, and </w:t>
      </w:r>
      <w:r>
        <w:rPr>
          <w:rFonts w:ascii="Arial" w:cs="Arial" w:eastAsia="Arial" w:hAnsi="Arial"/>
          <w:sz w:val="16"/>
          <w:szCs w:val="16"/>
          <w:i w:val="1"/>
          <w:iCs w:val="1"/>
          <w:color w:val="auto"/>
        </w:rPr>
        <w:t>Despicable Me: Minion Mayhem</w:t>
      </w:r>
      <w:r>
        <w:rPr>
          <w:rFonts w:ascii="Arial" w:cs="Arial" w:eastAsia="Arial" w:hAnsi="Arial"/>
          <w:sz w:val="16"/>
          <w:szCs w:val="16"/>
          <w:color w:val="auto"/>
        </w:rPr>
        <w:t xml:space="preserve"> in Hollywood, which opened in April 2014.</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Segment—Operating Costs and Expenses</w:t>
      </w:r>
    </w:p>
    <w:p>
      <w:pPr>
        <w:spacing w:after="0" w:line="7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 xml:space="preserve">Operating costs and expenses increased for the three months ended March 31, 2015 compared to the same period in 2014 primarily due to additional costs associated with newer attractions, such as </w:t>
      </w:r>
      <w:r>
        <w:rPr>
          <w:rFonts w:ascii="Arial" w:cs="Arial" w:eastAsia="Arial" w:hAnsi="Arial"/>
          <w:sz w:val="16"/>
          <w:szCs w:val="16"/>
          <w:i w:val="1"/>
          <w:iCs w:val="1"/>
          <w:color w:val="auto"/>
        </w:rPr>
        <w:t>The Wizarding World of Harry Potter</w:t>
      </w:r>
      <w:r>
        <w:rPr>
          <w:rFonts w:ascii="Arial" w:cs="Arial" w:eastAsia="Arial" w:hAnsi="Arial"/>
          <w:sz w:val="16"/>
          <w:szCs w:val="16"/>
          <w:color w:val="auto"/>
        </w:rPr>
        <w:t>™—</w:t>
      </w:r>
      <w:r>
        <w:rPr>
          <w:rFonts w:ascii="Arial" w:cs="Arial" w:eastAsia="Arial" w:hAnsi="Arial"/>
          <w:sz w:val="16"/>
          <w:szCs w:val="16"/>
          <w:i w:val="1"/>
          <w:iCs w:val="1"/>
          <w:color w:val="auto"/>
        </w:rPr>
        <w:t>Diagon Alley</w:t>
      </w:r>
      <w:r>
        <w:rPr>
          <w:rFonts w:ascii="Arial" w:cs="Arial" w:eastAsia="Arial" w:hAnsi="Arial"/>
          <w:sz w:val="16"/>
          <w:szCs w:val="16"/>
          <w:color w:val="auto"/>
        </w:rPr>
        <w:t>™ in Orlando, and increased attendance at both parks.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Headquarters, Other and Eliminations</w:t>
      </w:r>
    </w:p>
    <w:p>
      <w:pPr>
        <w:spacing w:after="0" w:line="8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change in operating income (loss) before depreciation and amortization for headquarters, other and eliminations for the three months ended March 31, 2015 compared to the same period in 2014 was primarily due to lower severance costs recorded in the current year period compared to the same period in 2014.</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and Other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gridSpan w:val="3"/>
          </w:tcPr>
          <w:p>
            <w:pPr>
              <w:jc w:val="right"/>
              <w:ind w:right="457"/>
              <w:spacing w:after="0"/>
              <w:rPr>
                <w:sz w:val="20"/>
                <w:szCs w:val="20"/>
                <w:color w:val="auto"/>
              </w:rPr>
            </w:pPr>
            <w:r>
              <w:rPr>
                <w:rFonts w:ascii="Arial" w:cs="Arial" w:eastAsia="Arial" w:hAnsi="Arial"/>
                <w:sz w:val="14"/>
                <w:szCs w:val="14"/>
                <w:color w:val="auto"/>
                <w:w w:val="94"/>
              </w:rPr>
              <w:t>Three Months Ended</w:t>
            </w:r>
          </w:p>
        </w:tc>
        <w:tc>
          <w:tcPr>
            <w:tcW w:w="1620" w:type="dxa"/>
            <w:vAlign w:val="bottom"/>
            <w:gridSpan w:val="2"/>
          </w:tcPr>
          <w:p>
            <w:pPr>
              <w:jc w:val="right"/>
              <w:ind w:right="517"/>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74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March 31</w:t>
            </w: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right"/>
              <w:ind w:right="457"/>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748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82"/>
              <w:spacing w:after="0" w:line="142" w:lineRule="exact"/>
              <w:rPr>
                <w:sz w:val="20"/>
                <w:szCs w:val="20"/>
                <w:color w:val="auto"/>
              </w:rPr>
            </w:pPr>
            <w:r>
              <w:rPr>
                <w:rFonts w:ascii="Arial" w:cs="Arial" w:eastAsia="Arial" w:hAnsi="Arial"/>
                <w:sz w:val="14"/>
                <w:szCs w:val="14"/>
                <w:color w:val="auto"/>
                <w:w w:val="89"/>
              </w:rPr>
              <w:t>2015</w:t>
            </w: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57"/>
              <w:spacing w:after="0" w:line="142" w:lineRule="exact"/>
              <w:rPr>
                <w:sz w:val="20"/>
                <w:szCs w:val="20"/>
                <w:color w:val="auto"/>
              </w:rPr>
            </w:pPr>
            <w:r>
              <w:rPr>
                <w:rFonts w:ascii="Arial" w:cs="Arial" w:eastAsia="Arial" w:hAnsi="Arial"/>
                <w:sz w:val="14"/>
                <w:szCs w:val="14"/>
                <w:color w:val="auto"/>
                <w:w w:val="83"/>
              </w:rPr>
              <w:t>2014</w:t>
            </w:r>
          </w:p>
        </w:tc>
        <w:tc>
          <w:tcPr>
            <w:tcW w:w="820" w:type="dxa"/>
            <w:vAlign w:val="bottom"/>
            <w:tcBorders>
              <w:bottom w:val="single" w:sz="8" w:color="auto"/>
            </w:tcBorders>
          </w:tcPr>
          <w:p>
            <w:pPr>
              <w:jc w:val="right"/>
              <w:ind w:right="302"/>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357"/>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4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ind w:right="442"/>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174</w:t>
            </w:r>
          </w:p>
        </w:tc>
        <w:tc>
          <w:tcPr>
            <w:tcW w:w="820" w:type="dxa"/>
            <w:vAlign w:val="bottom"/>
            <w:shd w:val="clear" w:color="auto" w:fill="E5E5E5"/>
          </w:tcPr>
          <w:p>
            <w:pPr>
              <w:jc w:val="right"/>
              <w:ind w:right="142"/>
              <w:spacing w:after="0"/>
              <w:rPr>
                <w:sz w:val="20"/>
                <w:szCs w:val="20"/>
                <w:color w:val="auto"/>
              </w:rPr>
            </w:pPr>
            <w:r>
              <w:rPr>
                <w:rFonts w:ascii="Arial" w:cs="Arial" w:eastAsia="Arial" w:hAnsi="Arial"/>
                <w:sz w:val="18"/>
                <w:szCs w:val="18"/>
                <w:color w:val="auto"/>
              </w:rPr>
              <w:t>$ 30</w:t>
            </w:r>
          </w:p>
        </w:tc>
        <w:tc>
          <w:tcPr>
            <w:tcW w:w="80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7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2"/>
              <w:spacing w:after="0"/>
              <w:rPr>
                <w:sz w:val="20"/>
                <w:szCs w:val="20"/>
                <w:color w:val="auto"/>
              </w:rPr>
            </w:pPr>
            <w:r>
              <w:rPr>
                <w:rFonts w:ascii="Arial" w:cs="Arial" w:eastAsia="Arial" w:hAnsi="Arial"/>
                <w:sz w:val="18"/>
                <w:szCs w:val="18"/>
                <w:color w:val="auto"/>
              </w:rPr>
              <w:t>429</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rPr>
              <w:t>327</w:t>
            </w:r>
          </w:p>
        </w:tc>
        <w:tc>
          <w:tcPr>
            <w:tcW w:w="820" w:type="dxa"/>
            <w:vAlign w:val="bottom"/>
            <w:tcBorders>
              <w:bottom w:val="single" w:sz="8" w:color="auto"/>
            </w:tcBorders>
          </w:tcPr>
          <w:p>
            <w:pPr>
              <w:jc w:val="right"/>
              <w:ind w:right="142"/>
              <w:spacing w:after="0"/>
              <w:rPr>
                <w:sz w:val="20"/>
                <w:szCs w:val="20"/>
                <w:color w:val="auto"/>
              </w:rPr>
            </w:pPr>
            <w:r>
              <w:rPr>
                <w:rFonts w:ascii="Arial" w:cs="Arial" w:eastAsia="Arial" w:hAnsi="Arial"/>
                <w:sz w:val="18"/>
                <w:szCs w:val="18"/>
                <w:color w:val="auto"/>
              </w:rPr>
              <w:t>102</w:t>
            </w: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7"/>
        </w:trPr>
        <w:tc>
          <w:tcPr>
            <w:tcW w:w="74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loss before depreciation and amortization</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E5E5E5"/>
          </w:tcPr>
          <w:p>
            <w:pPr>
              <w:jc w:val="right"/>
              <w:ind w:right="382"/>
              <w:spacing w:after="0"/>
              <w:rPr>
                <w:sz w:val="20"/>
                <w:szCs w:val="20"/>
                <w:color w:val="auto"/>
              </w:rPr>
            </w:pPr>
            <w:r>
              <w:rPr>
                <w:rFonts w:ascii="Arial" w:cs="Arial" w:eastAsia="Arial" w:hAnsi="Arial"/>
                <w:sz w:val="18"/>
                <w:szCs w:val="18"/>
                <w:b w:val="1"/>
                <w:bCs w:val="1"/>
                <w:color w:val="auto"/>
              </w:rPr>
              <w:t>(225)</w:t>
            </w: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(153)</w:t>
            </w:r>
          </w:p>
        </w:tc>
        <w:tc>
          <w:tcPr>
            <w:tcW w:w="820" w:type="dxa"/>
            <w:vAlign w:val="bottom"/>
            <w:tcBorders>
              <w:bottom w:val="single" w:sz="8" w:color="auto"/>
            </w:tcBorders>
            <w:shd w:val="clear" w:color="auto" w:fill="E5E5E5"/>
          </w:tcPr>
          <w:p>
            <w:pPr>
              <w:jc w:val="right"/>
              <w:ind w:right="82"/>
              <w:spacing w:after="0"/>
              <w:rPr>
                <w:sz w:val="20"/>
                <w:szCs w:val="20"/>
                <w:color w:val="auto"/>
              </w:rPr>
            </w:pPr>
            <w:r>
              <w:rPr>
                <w:rFonts w:ascii="Arial" w:cs="Arial" w:eastAsia="Arial" w:hAnsi="Arial"/>
                <w:sz w:val="18"/>
                <w:szCs w:val="18"/>
                <w:b w:val="1"/>
                <w:bCs w:val="1"/>
                <w:color w:val="auto"/>
              </w:rPr>
              <w:t>$ (72)</w:t>
            </w:r>
          </w:p>
        </w:tc>
        <w:tc>
          <w:tcPr>
            <w:tcW w:w="8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(47.2)%</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Other—Revenue</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revenue primarily relates to Comcast-Spectacor, which owns the Philadelphia Flyers and the Wells Fargo Center arena in Philadelphia, Pennsylvania and operates arena management-related businesses.</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revenue increased for the three months ended March 31, 2015 compared to the same period in 2014 primarily due to an increase in revenue from food and other services associated with new contracts entered into by our Comcast-Spectacor business.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Other—Operating Costs and Expenses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Corporate and Other operating costs and expenses primarily include overhead, personnel costs, the costs of corporate initiatives and branding, and operating costs and expenses associated with Comcast-Spectacor.</w:t>
      </w:r>
    </w:p>
    <w:p>
      <w:pPr>
        <w:spacing w:after="0" w:line="3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Corporate and Other operating costs and expenses for the three months ended March 31, 2015 and 2014 includes $99 million and $17 million, respectively, of transaction-related costs associated with the Time Warner Cable merger and divestiture transactions, which transactions were terminated on April 24, 2015.</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Other Income (Expense) Items, Net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20" w:type="dxa"/>
            <w:vAlign w:val="bottom"/>
            <w:gridSpan w:val="3"/>
          </w:tcPr>
          <w:p>
            <w:pPr>
              <w:jc w:val="right"/>
              <w:ind w:right="256"/>
              <w:spacing w:after="0"/>
              <w:rPr>
                <w:sz w:val="20"/>
                <w:szCs w:val="20"/>
                <w:color w:val="auto"/>
              </w:rPr>
            </w:pPr>
            <w:r>
              <w:rPr>
                <w:rFonts w:ascii="Arial" w:cs="Arial" w:eastAsia="Arial" w:hAnsi="Arial"/>
                <w:sz w:val="14"/>
                <w:szCs w:val="14"/>
                <w:color w:val="auto"/>
                <w:w w:val="88"/>
              </w:rPr>
              <w:t>Three Months Ended</w:t>
            </w:r>
          </w:p>
        </w:tc>
        <w:tc>
          <w:tcPr>
            <w:tcW w:w="0" w:type="dxa"/>
            <w:vAlign w:val="bottom"/>
          </w:tcPr>
          <w:p>
            <w:pPr>
              <w:spacing w:after="0"/>
              <w:rPr>
                <w:sz w:val="1"/>
                <w:szCs w:val="1"/>
                <w:color w:val="auto"/>
              </w:rPr>
            </w:pPr>
          </w:p>
        </w:tc>
      </w:tr>
      <w:tr>
        <w:trPr>
          <w:trHeight w:val="159"/>
        </w:trPr>
        <w:tc>
          <w:tcPr>
            <w:tcW w:w="93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March 31</w:t>
            </w: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36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60"/>
              <w:spacing w:after="0" w:line="142" w:lineRule="exact"/>
              <w:rPr>
                <w:sz w:val="20"/>
                <w:szCs w:val="20"/>
                <w:color w:val="auto"/>
              </w:rPr>
            </w:pPr>
            <w:r>
              <w:rPr>
                <w:rFonts w:ascii="Arial" w:cs="Arial" w:eastAsia="Arial" w:hAnsi="Arial"/>
                <w:sz w:val="14"/>
                <w:szCs w:val="14"/>
                <w:color w:val="auto"/>
                <w:w w:val="89"/>
              </w:rPr>
              <w:t>2015</w:t>
            </w: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color w:val="auto"/>
                <w:w w:val="83"/>
              </w:rPr>
              <w:t>2014</w:t>
            </w:r>
          </w:p>
        </w:tc>
        <w:tc>
          <w:tcPr>
            <w:tcW w:w="0" w:type="dxa"/>
            <w:vAlign w:val="bottom"/>
          </w:tcPr>
          <w:p>
            <w:pPr>
              <w:spacing w:after="0"/>
              <w:rPr>
                <w:sz w:val="1"/>
                <w:szCs w:val="1"/>
                <w:color w:val="auto"/>
              </w:rPr>
            </w:pPr>
          </w:p>
        </w:tc>
      </w:tr>
      <w:tr>
        <w:trPr>
          <w:trHeight w:val="210"/>
        </w:trPr>
        <w:tc>
          <w:tcPr>
            <w:tcW w:w="9360" w:type="dxa"/>
            <w:vAlign w:val="bottom"/>
            <w:shd w:val="clear" w:color="auto" w:fill="E5E5E5"/>
          </w:tcPr>
          <w:p>
            <w:pPr>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60"/>
              <w:spacing w:after="0"/>
              <w:rPr>
                <w:sz w:val="20"/>
                <w:szCs w:val="20"/>
                <w:color w:val="auto"/>
              </w:rPr>
            </w:pPr>
            <w:r>
              <w:rPr>
                <w:rFonts w:ascii="Arial" w:cs="Arial" w:eastAsia="Arial" w:hAnsi="Arial"/>
                <w:sz w:val="18"/>
                <w:szCs w:val="18"/>
                <w:color w:val="auto"/>
              </w:rPr>
              <w:t>(656)</w:t>
            </w:r>
          </w:p>
        </w:tc>
        <w:tc>
          <w:tcPr>
            <w:tcW w:w="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76"/>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Investment income (loss), net</w:t>
            </w:r>
          </w:p>
        </w:tc>
        <w:tc>
          <w:tcPr>
            <w:tcW w:w="540" w:type="dxa"/>
            <w:vAlign w:val="bottom"/>
          </w:tcPr>
          <w:p>
            <w:pPr>
              <w:spacing w:after="0"/>
              <w:rPr>
                <w:sz w:val="18"/>
                <w:szCs w:val="18"/>
                <w:color w:val="auto"/>
              </w:rPr>
            </w:pPr>
          </w:p>
        </w:tc>
        <w:tc>
          <w:tcPr>
            <w:tcW w:w="640" w:type="dxa"/>
            <w:vAlign w:val="bottom"/>
          </w:tcPr>
          <w:p>
            <w:pPr>
              <w:jc w:val="right"/>
              <w:ind w:right="12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640" w:type="dxa"/>
            <w:vAlign w:val="bottom"/>
          </w:tcPr>
          <w:p>
            <w:pPr>
              <w:jc w:val="right"/>
              <w:ind w:right="136"/>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9360" w:type="dxa"/>
            <w:vAlign w:val="bottom"/>
            <w:shd w:val="clear" w:color="auto" w:fill="E5E5E5"/>
          </w:tcPr>
          <w:p>
            <w:pPr>
              <w:spacing w:after="0"/>
              <w:rPr>
                <w:sz w:val="20"/>
                <w:szCs w:val="20"/>
                <w:color w:val="auto"/>
              </w:rPr>
            </w:pPr>
            <w:r>
              <w:rPr>
                <w:rFonts w:ascii="Arial" w:cs="Arial" w:eastAsia="Arial" w:hAnsi="Arial"/>
                <w:sz w:val="18"/>
                <w:szCs w:val="18"/>
                <w:color w:val="auto"/>
              </w:rPr>
              <w:t>Equity in net income (losses) of investees, net</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20"/>
              <w:spacing w:after="0"/>
              <w:rPr>
                <w:sz w:val="20"/>
                <w:szCs w:val="20"/>
                <w:color w:val="auto"/>
              </w:rPr>
            </w:pPr>
            <w:r>
              <w:rPr>
                <w:rFonts w:ascii="Arial" w:cs="Arial" w:eastAsia="Arial" w:hAnsi="Arial"/>
                <w:sz w:val="18"/>
                <w:szCs w:val="18"/>
                <w:color w:val="auto"/>
              </w:rPr>
              <w:t>33</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9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 net</w:t>
            </w:r>
          </w:p>
        </w:tc>
        <w:tc>
          <w:tcPr>
            <w:tcW w:w="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color w:val="auto"/>
              </w:rPr>
              <w:t>102</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7"/>
        </w:trPr>
        <w:tc>
          <w:tcPr>
            <w:tcW w:w="93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(488)</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76"/>
              <w:spacing w:after="0"/>
              <w:rPr>
                <w:sz w:val="20"/>
                <w:szCs w:val="20"/>
                <w:color w:val="auto"/>
              </w:rPr>
            </w:pPr>
            <w:r>
              <w:rPr>
                <w:rFonts w:ascii="Arial" w:cs="Arial" w:eastAsia="Arial" w:hAnsi="Arial"/>
                <w:sz w:val="18"/>
                <w:szCs w:val="18"/>
                <w:b w:val="1"/>
                <w:bCs w:val="1"/>
                <w:color w:val="auto"/>
              </w:rPr>
              <w:t>(512)</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Net</w:t>
      </w:r>
    </w:p>
    <w:p>
      <w:pPr>
        <w:spacing w:after="0" w:line="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components of investment income (loss), net for the three months ended March 31, 2015 and 2014 are presented in a table in Note 6 to Comcast’s condensed consolidated financial statements.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change in other income (expense), net for the three months ended March 31, 2015 compared to the same period in 2014 was primarily due to both the net impact of a $164 million gain related to the sale of a business recorded in the current year period and a $27 million favorable settlement of a contingency recorded in the prior year period related to the AT&amp;T Broadband transaction in 2002.</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Income Tax Expense</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Income tax expense for the three months ended March 31, 2015 and 2014 reflects an effective income tax rate that differs from the federal statutory rate primarily due to state income taxes and adjustments associated with</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uncertain tax positions. We expect our 2015 annual effective tax rate to be in the range of 37% to 39%, absent changes in tax laws or further changes in uncertain tax positions. It is reasonably possible that certain tax contests could be resolved within the next 12 months that may result in a decrease in our effective tax rate.</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facilities, and our ability to obtain future external financing. We anticipate that we will continue to use a substantial portion of our cash flows to meet our debt repayment obligations, to fund our capital expenditures, to invest in business opportunities and to return capital to shareholders.</w:t>
      </w:r>
    </w:p>
    <w:p>
      <w:pPr>
        <w:spacing w:after="0" w:line="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30, 2015, we entered into an agreement to establish a new, strategic company focused on investing in and operating growth-oriented companies, both domestically and internationally. Michael J. Angelakis, our Chief Financial Officer, will serve as the Chief Executive Officer of this company, and the agreement will be exclusively with us as the only non-management investor. We expect to consolidate the results of this company with our operations once it launches in 2015 or 2016, and the company will have a term of 10 years. We have committed to invest up to $4 billion in the company and also will pay an annual $40 million management fee, subject to certain offsets.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2060" w:type="dxa"/>
            <w:vAlign w:val="bottom"/>
            <w:gridSpan w:val="2"/>
          </w:tcPr>
          <w:p>
            <w:pPr>
              <w:jc w:val="right"/>
              <w:ind w:right="254"/>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93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060" w:type="dxa"/>
            <w:vAlign w:val="bottom"/>
            <w:tcBorders>
              <w:bottom w:val="single" w:sz="8" w:color="auto"/>
            </w:tcBorders>
            <w:gridSpan w:val="2"/>
          </w:tcPr>
          <w:p>
            <w:pPr>
              <w:jc w:val="right"/>
              <w:ind w:right="574"/>
              <w:spacing w:after="0" w:line="159" w:lineRule="exact"/>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42"/>
        </w:trPr>
        <w:tc>
          <w:tcPr>
            <w:tcW w:w="9360" w:type="dxa"/>
            <w:vAlign w:val="bottom"/>
            <w:tcBorders>
              <w:bottom w:val="single" w:sz="8" w:color="auto"/>
            </w:tcBorders>
            <w:vMerge w:val="continue"/>
          </w:tcPr>
          <w:p>
            <w:pPr>
              <w:spacing w:after="0"/>
              <w:rPr>
                <w:sz w:val="12"/>
                <w:szCs w:val="12"/>
                <w:color w:val="auto"/>
              </w:rPr>
            </w:pPr>
          </w:p>
        </w:tc>
        <w:tc>
          <w:tcPr>
            <w:tcW w:w="118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color w:val="auto"/>
              </w:rPr>
              <w:t>2015</w:t>
            </w:r>
          </w:p>
        </w:tc>
        <w:tc>
          <w:tcPr>
            <w:tcW w:w="8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10"/>
        </w:trPr>
        <w:tc>
          <w:tcPr>
            <w:tcW w:w="936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w:t>
            </w:r>
          </w:p>
        </w:tc>
        <w:tc>
          <w:tcPr>
            <w:tcW w:w="118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$ 3,890</w:t>
            </w:r>
          </w:p>
        </w:tc>
        <w:tc>
          <w:tcPr>
            <w:tcW w:w="8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$ 3,568</w:t>
            </w:r>
          </w:p>
        </w:tc>
        <w:tc>
          <w:tcPr>
            <w:tcW w:w="0" w:type="dxa"/>
            <w:vAlign w:val="bottom"/>
          </w:tcPr>
          <w:p>
            <w:pPr>
              <w:spacing w:after="0"/>
              <w:rPr>
                <w:sz w:val="1"/>
                <w:szCs w:val="1"/>
                <w:color w:val="auto"/>
              </w:rPr>
            </w:pPr>
          </w:p>
        </w:tc>
      </w:tr>
      <w:tr>
        <w:trPr>
          <w:trHeight w:val="216"/>
        </w:trPr>
        <w:tc>
          <w:tcPr>
            <w:tcW w:w="9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118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2,066</w:t>
            </w:r>
          </w:p>
        </w:tc>
        <w:tc>
          <w:tcPr>
            <w:tcW w:w="8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10"/>
        </w:trPr>
        <w:tc>
          <w:tcPr>
            <w:tcW w:w="93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Operating income before depreciation and amortization</w:t>
            </w:r>
          </w:p>
        </w:tc>
        <w:tc>
          <w:tcPr>
            <w:tcW w:w="118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5,956</w:t>
            </w:r>
          </w:p>
        </w:tc>
        <w:tc>
          <w:tcPr>
            <w:tcW w:w="8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5,538</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Noncash share-based compensation</w:t>
            </w:r>
          </w:p>
        </w:tc>
        <w:tc>
          <w:tcPr>
            <w:tcW w:w="1180" w:type="dxa"/>
            <w:vAlign w:val="bottom"/>
          </w:tcPr>
          <w:p>
            <w:pPr>
              <w:jc w:val="right"/>
              <w:ind w:right="117"/>
              <w:spacing w:after="0"/>
              <w:rPr>
                <w:sz w:val="20"/>
                <w:szCs w:val="20"/>
                <w:color w:val="auto"/>
              </w:rPr>
            </w:pPr>
            <w:r>
              <w:rPr>
                <w:rFonts w:ascii="Arial" w:cs="Arial" w:eastAsia="Arial" w:hAnsi="Arial"/>
                <w:sz w:val="18"/>
                <w:szCs w:val="18"/>
                <w:color w:val="auto"/>
              </w:rPr>
              <w:t>135</w:t>
            </w:r>
          </w:p>
        </w:tc>
        <w:tc>
          <w:tcPr>
            <w:tcW w:w="880" w:type="dxa"/>
            <w:vAlign w:val="bottom"/>
          </w:tcPr>
          <w:p>
            <w:pPr>
              <w:jc w:val="right"/>
              <w:ind w:right="134"/>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93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Changes in operating assets and liabilities</w:t>
            </w:r>
          </w:p>
        </w:tc>
        <w:tc>
          <w:tcPr>
            <w:tcW w:w="118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color w:val="auto"/>
              </w:rPr>
              <w:t>73</w:t>
            </w:r>
          </w:p>
        </w:tc>
        <w:tc>
          <w:tcPr>
            <w:tcW w:w="88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0"/>
        </w:trPr>
        <w:tc>
          <w:tcPr>
            <w:tcW w:w="9360" w:type="dxa"/>
            <w:vAlign w:val="bottom"/>
          </w:tcPr>
          <w:p>
            <w:pPr>
              <w:ind w:left="440"/>
              <w:spacing w:after="0"/>
              <w:rPr>
                <w:sz w:val="20"/>
                <w:szCs w:val="20"/>
                <w:color w:val="auto"/>
              </w:rPr>
            </w:pPr>
            <w:r>
              <w:rPr>
                <w:rFonts w:ascii="Arial" w:cs="Arial" w:eastAsia="Arial" w:hAnsi="Arial"/>
                <w:sz w:val="18"/>
                <w:szCs w:val="18"/>
                <w:color w:val="auto"/>
              </w:rPr>
              <w:t>Cash basis operating income</w:t>
            </w:r>
          </w:p>
        </w:tc>
        <w:tc>
          <w:tcPr>
            <w:tcW w:w="1180" w:type="dxa"/>
            <w:vAlign w:val="bottom"/>
          </w:tcPr>
          <w:p>
            <w:pPr>
              <w:jc w:val="right"/>
              <w:ind w:right="117"/>
              <w:spacing w:after="0"/>
              <w:rPr>
                <w:sz w:val="20"/>
                <w:szCs w:val="20"/>
                <w:color w:val="auto"/>
              </w:rPr>
            </w:pPr>
            <w:r>
              <w:rPr>
                <w:rFonts w:ascii="Arial" w:cs="Arial" w:eastAsia="Arial" w:hAnsi="Arial"/>
                <w:sz w:val="18"/>
                <w:szCs w:val="18"/>
                <w:color w:val="auto"/>
              </w:rPr>
              <w:t>6,164</w:t>
            </w:r>
          </w:p>
        </w:tc>
        <w:tc>
          <w:tcPr>
            <w:tcW w:w="880" w:type="dxa"/>
            <w:vAlign w:val="bottom"/>
          </w:tcPr>
          <w:p>
            <w:pPr>
              <w:jc w:val="right"/>
              <w:ind w:right="134"/>
              <w:spacing w:after="0"/>
              <w:rPr>
                <w:sz w:val="20"/>
                <w:szCs w:val="20"/>
                <w:color w:val="auto"/>
              </w:rPr>
            </w:pPr>
            <w:r>
              <w:rPr>
                <w:rFonts w:ascii="Arial" w:cs="Arial" w:eastAsia="Arial" w:hAnsi="Arial"/>
                <w:sz w:val="18"/>
                <w:szCs w:val="18"/>
                <w:color w:val="auto"/>
              </w:rPr>
              <w:t>5,390</w:t>
            </w:r>
          </w:p>
        </w:tc>
        <w:tc>
          <w:tcPr>
            <w:tcW w:w="0" w:type="dxa"/>
            <w:vAlign w:val="bottom"/>
          </w:tcPr>
          <w:p>
            <w:pPr>
              <w:spacing w:after="0"/>
              <w:rPr>
                <w:sz w:val="1"/>
                <w:szCs w:val="1"/>
                <w:color w:val="auto"/>
              </w:rPr>
            </w:pPr>
          </w:p>
        </w:tc>
      </w:tr>
      <w:tr>
        <w:trPr>
          <w:trHeight w:val="216"/>
        </w:trPr>
        <w:tc>
          <w:tcPr>
            <w:tcW w:w="9360" w:type="dxa"/>
            <w:vAlign w:val="bottom"/>
            <w:shd w:val="clear" w:color="auto" w:fill="E5E5E5"/>
          </w:tcPr>
          <w:p>
            <w:pPr>
              <w:spacing w:after="0"/>
              <w:rPr>
                <w:sz w:val="20"/>
                <w:szCs w:val="20"/>
                <w:color w:val="auto"/>
              </w:rPr>
            </w:pPr>
            <w:r>
              <w:rPr>
                <w:rFonts w:ascii="Arial" w:cs="Arial" w:eastAsia="Arial" w:hAnsi="Arial"/>
                <w:sz w:val="18"/>
                <w:szCs w:val="18"/>
                <w:color w:val="auto"/>
              </w:rPr>
              <w:t>Payments of interest</w:t>
            </w:r>
          </w:p>
        </w:tc>
        <w:tc>
          <w:tcPr>
            <w:tcW w:w="118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(691)</w:t>
            </w:r>
          </w:p>
        </w:tc>
        <w:tc>
          <w:tcPr>
            <w:tcW w:w="88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Payments of income taxes</w:t>
            </w:r>
          </w:p>
        </w:tc>
        <w:tc>
          <w:tcPr>
            <w:tcW w:w="1180" w:type="dxa"/>
            <w:vAlign w:val="bottom"/>
          </w:tcPr>
          <w:p>
            <w:pPr>
              <w:jc w:val="right"/>
              <w:ind w:right="57"/>
              <w:spacing w:after="0"/>
              <w:rPr>
                <w:sz w:val="20"/>
                <w:szCs w:val="20"/>
                <w:color w:val="auto"/>
              </w:rPr>
            </w:pPr>
            <w:r>
              <w:rPr>
                <w:rFonts w:ascii="Arial" w:cs="Arial" w:eastAsia="Arial" w:hAnsi="Arial"/>
                <w:sz w:val="18"/>
                <w:szCs w:val="18"/>
                <w:color w:val="auto"/>
              </w:rPr>
              <w:t>(118)</w:t>
            </w: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9360" w:type="dxa"/>
            <w:vAlign w:val="bottom"/>
            <w:shd w:val="clear" w:color="auto" w:fill="E5E5E5"/>
          </w:tcPr>
          <w:p>
            <w:pPr>
              <w:spacing w:after="0"/>
              <w:rPr>
                <w:sz w:val="20"/>
                <w:szCs w:val="20"/>
                <w:color w:val="auto"/>
              </w:rPr>
            </w:pPr>
            <w:r>
              <w:rPr>
                <w:rFonts w:ascii="Arial" w:cs="Arial" w:eastAsia="Arial" w:hAnsi="Arial"/>
                <w:sz w:val="18"/>
                <w:szCs w:val="18"/>
                <w:color w:val="auto"/>
              </w:rPr>
              <w:t>Excess tax benefits under share-based compensation</w:t>
            </w:r>
          </w:p>
        </w:tc>
        <w:tc>
          <w:tcPr>
            <w:tcW w:w="118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(146)</w:t>
            </w:r>
          </w:p>
        </w:tc>
        <w:tc>
          <w:tcPr>
            <w:tcW w:w="88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9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36</w:t>
            </w:r>
          </w:p>
        </w:tc>
        <w:tc>
          <w:tcPr>
            <w:tcW w:w="8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7"/>
        </w:trPr>
        <w:tc>
          <w:tcPr>
            <w:tcW w:w="93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18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b w:val="1"/>
                <w:bCs w:val="1"/>
                <w:color w:val="auto"/>
              </w:rPr>
              <w:t>$ 5,245</w:t>
            </w:r>
          </w:p>
        </w:tc>
        <w:tc>
          <w:tcPr>
            <w:tcW w:w="88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b w:val="1"/>
                <w:bCs w:val="1"/>
                <w:color w:val="auto"/>
              </w:rPr>
              <w:t>$ 4,486</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variance in changes in operating assets and liabilities for the three months ended March 31, 2015 compared to the same period in 2014 was primarily related to the broadcast of the 2014 Sochi Olympics in the prior year period and the broadcast of the 2015 Super Bowl in the current year period, as well as the timing of collections on our receivables.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in investing activities for the three months ended March 31, 2015 consisted primarily of cash paid for capital expenditures and intangible assets, which were partially offset by proceeds from the sale of businesses and investments. Capital expenditures increased for the three months ended March 31, 2015 compared to the same period in 2014 primarily due to increased spending in our Cable Communications segment on customer premise equipment related to the deployment of our X1 platform, increased investment in support capital as we expand our cloud based initiatives and our continued investment in network infrastructure to increase network capacity.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used in financing activities for the three months ended March 31, 2015 consisted primarily of repurchases of our common stock, repayments of debt and dividend payments.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which may include repurchases of our outstanding public notes and debentures, depending on various factors, such as market conditions. See Note 7 to Comcast’s condensed consolidated financial statements for additional information on our financing activities, including details of our debt repayments and borrowings.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Borrowings Under Credit Facilities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We also maintain significant availability under our lines of credit and our commercial paper programs to meet our short-term liquidity requirements.</w:t>
      </w:r>
    </w:p>
    <w:p>
      <w:pPr>
        <w:spacing w:after="0" w:line="10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As of March 31, 2015, amounts available under our consolidated revolving credit facilities, net of amounts outstanding under our commercial paper programs and undrawn letters of credit, totaled $6.6 billion, which included $650 million available under NBCUniversal Enterprise’s credit facility.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 and Dividends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February 2015, our Board of Directors increased our share repurchase program authorization to $10 billion, which does not have an expiration date. Under this authorization, we may repurchase shares in the open market or in private transactions. During the three months ended March 31, 2015, we repurchased a total of 35 million shares of our Class A and Class A Special common stock for $2 billion. We expect to make $4.75 billion more in repurchases during the remainder of 2015, subject to market conditions.</w:t>
      </w:r>
    </w:p>
    <w:p>
      <w:pPr>
        <w:spacing w:after="0" w:line="4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February 2015, our Board of Directors approved an 11.1% increase in our dividend to $1.00 per share on an annualized basis and approved our first quarter dividend of $0.25 per share which was paid in April 2015. We expect to continue to pay quarterly dividends, although each dividend is subject to approval by our Board of Directors.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8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more complete discussion of the accounting judgments and estimates that we have identified as critical in the preparation of our condensed consolidated financial statements, please refer to our Management’s Discussion and Analysis of Financial Condition and Results of Operations in our 2014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See Note 2 to each of Comcast’s and NBCUniversal’s condensed consolidated financial statements for additional information related to recent accounting pronouncements.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evaluated the information required under this item that was disclosed in our 2014 Annual Report on Form 10-K and there have been no significant changes to this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Conclusions regarding disclosure controls and procedures</w:t>
      </w:r>
    </w:p>
    <w:p>
      <w:pPr>
        <w:spacing w:after="0" w:line="7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principal executive and principal financial officers, after evaluating the effectiveness of Comcast’s disclosure controls and procedures (as defined in Rules 13a-15(e) and 15d-15(e) of the Securities Exchange Act of 1934, as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amended (the “Exchange Act”)) as of the end of the period covered by this report, have concluded that, based on the evaluation of these controls and procedures required by paragraph (b) of Exchange Act Rules 13a-15 or 15d-15, Comcast’s disclosure controls and procedures were effective.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changes in Comcast’s internal control over financial reporting identified in connection with the evaluation required by paragraph (d) of Exchange Act Rules 13a-15 or 15d-15 that occurred during Comcast’s last fiscal quarter that have materially affected, or are reasonably likely to materially affect, Comcast’s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Conclusions regarding disclosure controls and procedures</w:t>
      </w:r>
    </w:p>
    <w:p>
      <w:pPr>
        <w:spacing w:after="0" w:line="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principal executive and principal financial officers, after evaluating the effectiveness of NBCUniversal’s disclosure controls and procedures (as defined in Rules 13a-15(e) and 15d-15(e) of the Exchange Act) as of the end of the period covered by this report, have concluded that, based on the evaluation of these controls and procedures required by paragraph (b) of Exchange Act Rules 13a-15 or 15d-15, NBCUniversal’s disclosure controls and procedures were effective.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changes in NBCUniversal’s internal control over financial reporting identified in connection with the evaluation required by paragraph (d) of Exchange Act Rules 13a-15 or 15d-15 that occurred during NBCUniversal’s last fiscal quarter that have materially affected, or are reasonably likely to materially affect, NBCUniversal’s internal control over financial reporting.</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Refer to Note 11 to Comcast’s condensed consolidated financial statements included in this Quarterly Report on Form 10-Q for a discussion of recent developments related to our legal proceedings. There have been no material developments in the matter reported in our 2014 Annual Report on Form 10-K regarding the California Attorney General and the Alameda County, California District Attorney’s investigation of certain of our waste disposal policies, procedures and practices.</w:t>
      </w:r>
    </w:p>
    <w:p>
      <w:pPr>
        <w:spacing w:after="0" w:line="4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NBCUniversal Media, LLC is subject to legal proceedings and claims that arise in the ordinary course of its business and does not expect the final disposition of these matters to have a material adverse effect on its results of operations, cash flows or financial condition, although any such matters could be time-consuming and costly and could injure its reputation.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from the risk factors previously disclosed in Item 1A of our 2014 Annual Report on Form 10-K.</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8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table below summarizes Comcast’s common stock repurchases under its Board-authorized share repurchase program during the three months ended March 31, 2015.</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Purchases of Equity Securities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center"/>
              <w:ind w:right="281"/>
              <w:spacing w:after="0"/>
              <w:rPr>
                <w:sz w:val="20"/>
                <w:szCs w:val="20"/>
                <w:color w:val="auto"/>
              </w:rPr>
            </w:pPr>
            <w:r>
              <w:rPr>
                <w:rFonts w:ascii="Arial" w:cs="Arial" w:eastAsia="Arial" w:hAnsi="Arial"/>
                <w:sz w:val="14"/>
                <w:szCs w:val="14"/>
                <w:color w:val="auto"/>
                <w:w w:val="92"/>
              </w:rPr>
              <w:t>Total Dollar</w:t>
            </w:r>
          </w:p>
        </w:tc>
        <w:tc>
          <w:tcPr>
            <w:tcW w:w="360" w:type="dxa"/>
            <w:vAlign w:val="bottom"/>
          </w:tcPr>
          <w:p>
            <w:pPr>
              <w:spacing w:after="0"/>
              <w:rPr>
                <w:sz w:val="14"/>
                <w:szCs w:val="14"/>
                <w:color w:val="auto"/>
              </w:rPr>
            </w:pPr>
          </w:p>
        </w:tc>
        <w:tc>
          <w:tcPr>
            <w:tcW w:w="1200" w:type="dxa"/>
            <w:vAlign w:val="bottom"/>
          </w:tcPr>
          <w:p>
            <w:pPr>
              <w:jc w:val="center"/>
              <w:ind w:right="99"/>
              <w:spacing w:after="0"/>
              <w:rPr>
                <w:sz w:val="20"/>
                <w:szCs w:val="20"/>
                <w:color w:val="auto"/>
              </w:rPr>
            </w:pPr>
            <w:r>
              <w:rPr>
                <w:rFonts w:ascii="Arial" w:cs="Arial" w:eastAsia="Arial" w:hAnsi="Arial"/>
                <w:sz w:val="14"/>
                <w:szCs w:val="14"/>
                <w:color w:val="auto"/>
                <w:w w:val="92"/>
              </w:rPr>
              <w:t>Maximum Dollar</w:t>
            </w:r>
          </w:p>
        </w:tc>
      </w:tr>
      <w:tr>
        <w:trPr>
          <w:trHeight w:val="149"/>
        </w:trPr>
        <w:tc>
          <w:tcPr>
            <w:tcW w:w="3180" w:type="dxa"/>
            <w:vAlign w:val="bottom"/>
          </w:tcPr>
          <w:p>
            <w:pPr>
              <w:spacing w:after="0"/>
              <w:rPr>
                <w:sz w:val="12"/>
                <w:szCs w:val="12"/>
                <w:color w:val="auto"/>
              </w:rPr>
            </w:pPr>
          </w:p>
        </w:tc>
        <w:tc>
          <w:tcPr>
            <w:tcW w:w="2040" w:type="dxa"/>
            <w:vAlign w:val="bottom"/>
          </w:tcPr>
          <w:p>
            <w:pPr>
              <w:jc w:val="center"/>
              <w:ind w:left="560"/>
              <w:spacing w:after="0" w:line="149" w:lineRule="exact"/>
              <w:rPr>
                <w:sz w:val="20"/>
                <w:szCs w:val="20"/>
                <w:color w:val="auto"/>
              </w:rPr>
            </w:pPr>
            <w:r>
              <w:rPr>
                <w:rFonts w:ascii="Arial" w:cs="Arial" w:eastAsia="Arial" w:hAnsi="Arial"/>
                <w:sz w:val="14"/>
                <w:szCs w:val="14"/>
                <w:color w:val="auto"/>
                <w:w w:val="89"/>
              </w:rPr>
              <w:t>Total</w:t>
            </w: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4"/>
              </w:rPr>
              <w:t>Average</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89"/>
              </w:rPr>
              <w:t>Total Number of</w:t>
            </w:r>
          </w:p>
        </w:tc>
        <w:tc>
          <w:tcPr>
            <w:tcW w:w="360" w:type="dxa"/>
            <w:vAlign w:val="bottom"/>
          </w:tcPr>
          <w:p>
            <w:pPr>
              <w:spacing w:after="0"/>
              <w:rPr>
                <w:sz w:val="12"/>
                <w:szCs w:val="12"/>
                <w:color w:val="auto"/>
              </w:rPr>
            </w:pPr>
          </w:p>
        </w:tc>
        <w:tc>
          <w:tcPr>
            <w:tcW w:w="1300" w:type="dxa"/>
            <w:vAlign w:val="bottom"/>
          </w:tcPr>
          <w:p>
            <w:pPr>
              <w:jc w:val="center"/>
              <w:ind w:right="281"/>
              <w:spacing w:after="0" w:line="149" w:lineRule="exact"/>
              <w:rPr>
                <w:sz w:val="20"/>
                <w:szCs w:val="20"/>
                <w:color w:val="auto"/>
              </w:rPr>
            </w:pPr>
            <w:r>
              <w:rPr>
                <w:rFonts w:ascii="Arial" w:cs="Arial" w:eastAsia="Arial" w:hAnsi="Arial"/>
                <w:sz w:val="14"/>
                <w:szCs w:val="14"/>
                <w:color w:val="auto"/>
                <w:w w:val="95"/>
              </w:rPr>
              <w:t>Amount</w:t>
            </w:r>
          </w:p>
        </w:tc>
        <w:tc>
          <w:tcPr>
            <w:tcW w:w="1560" w:type="dxa"/>
            <w:vAlign w:val="bottom"/>
            <w:gridSpan w:val="2"/>
          </w:tcPr>
          <w:p>
            <w:pPr>
              <w:jc w:val="center"/>
              <w:ind w:left="77"/>
              <w:spacing w:after="0" w:line="149" w:lineRule="exact"/>
              <w:rPr>
                <w:sz w:val="20"/>
                <w:szCs w:val="20"/>
                <w:color w:val="auto"/>
              </w:rPr>
            </w:pPr>
            <w:r>
              <w:rPr>
                <w:rFonts w:ascii="Arial" w:cs="Arial" w:eastAsia="Arial" w:hAnsi="Arial"/>
                <w:sz w:val="14"/>
                <w:szCs w:val="14"/>
                <w:color w:val="auto"/>
                <w:w w:val="85"/>
              </w:rPr>
              <w:t>Value of Shares That</w:t>
            </w:r>
          </w:p>
        </w:tc>
      </w:tr>
      <w:tr>
        <w:trPr>
          <w:trHeight w:val="149"/>
        </w:trPr>
        <w:tc>
          <w:tcPr>
            <w:tcW w:w="3180" w:type="dxa"/>
            <w:vAlign w:val="bottom"/>
          </w:tcPr>
          <w:p>
            <w:pPr>
              <w:spacing w:after="0"/>
              <w:rPr>
                <w:sz w:val="12"/>
                <w:szCs w:val="12"/>
                <w:color w:val="auto"/>
              </w:rPr>
            </w:pPr>
          </w:p>
        </w:tc>
        <w:tc>
          <w:tcPr>
            <w:tcW w:w="2040" w:type="dxa"/>
            <w:vAlign w:val="bottom"/>
          </w:tcPr>
          <w:p>
            <w:pPr>
              <w:jc w:val="center"/>
              <w:ind w:left="580"/>
              <w:spacing w:after="0" w:line="149" w:lineRule="exact"/>
              <w:rPr>
                <w:sz w:val="20"/>
                <w:szCs w:val="20"/>
                <w:color w:val="auto"/>
              </w:rPr>
            </w:pPr>
            <w:r>
              <w:rPr>
                <w:rFonts w:ascii="Arial" w:cs="Arial" w:eastAsia="Arial" w:hAnsi="Arial"/>
                <w:sz w:val="14"/>
                <w:szCs w:val="14"/>
                <w:color w:val="auto"/>
                <w:w w:val="88"/>
              </w:rPr>
              <w:t>Number of</w:t>
            </w:r>
          </w:p>
        </w:tc>
        <w:tc>
          <w:tcPr>
            <w:tcW w:w="360" w:type="dxa"/>
            <w:vAlign w:val="bottom"/>
          </w:tcPr>
          <w:p>
            <w:pPr>
              <w:spacing w:after="0"/>
              <w:rPr>
                <w:sz w:val="12"/>
                <w:szCs w:val="12"/>
                <w:color w:val="auto"/>
              </w:rPr>
            </w:pPr>
          </w:p>
        </w:tc>
        <w:tc>
          <w:tcPr>
            <w:tcW w:w="680" w:type="dxa"/>
            <w:vAlign w:val="bottom"/>
          </w:tcPr>
          <w:p>
            <w:pPr>
              <w:jc w:val="center"/>
              <w:ind w:right="278"/>
              <w:spacing w:after="0" w:line="149" w:lineRule="exact"/>
              <w:rPr>
                <w:sz w:val="20"/>
                <w:szCs w:val="20"/>
                <w:color w:val="auto"/>
              </w:rPr>
            </w:pPr>
            <w:r>
              <w:rPr>
                <w:rFonts w:ascii="Arial" w:cs="Arial" w:eastAsia="Arial" w:hAnsi="Arial"/>
                <w:sz w:val="14"/>
                <w:szCs w:val="14"/>
                <w:color w:val="auto"/>
                <w:w w:val="87"/>
              </w:rPr>
              <w:t>Price</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81"/>
              </w:rPr>
              <w:t>Shares Purchased</w:t>
            </w:r>
          </w:p>
        </w:tc>
        <w:tc>
          <w:tcPr>
            <w:tcW w:w="360" w:type="dxa"/>
            <w:vAlign w:val="bottom"/>
          </w:tcPr>
          <w:p>
            <w:pPr>
              <w:spacing w:after="0"/>
              <w:rPr>
                <w:sz w:val="12"/>
                <w:szCs w:val="12"/>
                <w:color w:val="auto"/>
              </w:rPr>
            </w:pPr>
          </w:p>
        </w:tc>
        <w:tc>
          <w:tcPr>
            <w:tcW w:w="1300" w:type="dxa"/>
            <w:vAlign w:val="bottom"/>
          </w:tcPr>
          <w:p>
            <w:pPr>
              <w:jc w:val="center"/>
              <w:ind w:right="281"/>
              <w:spacing w:after="0" w:line="149" w:lineRule="exact"/>
              <w:rPr>
                <w:sz w:val="20"/>
                <w:szCs w:val="20"/>
                <w:color w:val="auto"/>
              </w:rPr>
            </w:pPr>
            <w:r>
              <w:rPr>
                <w:rFonts w:ascii="Arial" w:cs="Arial" w:eastAsia="Arial" w:hAnsi="Arial"/>
                <w:sz w:val="14"/>
                <w:szCs w:val="14"/>
                <w:color w:val="auto"/>
                <w:w w:val="80"/>
              </w:rPr>
              <w:t>Purchased</w:t>
            </w:r>
          </w:p>
        </w:tc>
        <w:tc>
          <w:tcPr>
            <w:tcW w:w="360" w:type="dxa"/>
            <w:vAlign w:val="bottom"/>
          </w:tcPr>
          <w:p>
            <w:pPr>
              <w:spacing w:after="0"/>
              <w:rPr>
                <w:sz w:val="12"/>
                <w:szCs w:val="12"/>
                <w:color w:val="auto"/>
              </w:rPr>
            </w:pPr>
          </w:p>
        </w:tc>
        <w:tc>
          <w:tcPr>
            <w:tcW w:w="1200" w:type="dxa"/>
            <w:vAlign w:val="bottom"/>
          </w:tcPr>
          <w:p>
            <w:pPr>
              <w:jc w:val="center"/>
              <w:ind w:right="119"/>
              <w:spacing w:after="0" w:line="149" w:lineRule="exact"/>
              <w:rPr>
                <w:sz w:val="20"/>
                <w:szCs w:val="20"/>
                <w:color w:val="auto"/>
              </w:rPr>
            </w:pPr>
            <w:r>
              <w:rPr>
                <w:rFonts w:ascii="Arial" w:cs="Arial" w:eastAsia="Arial" w:hAnsi="Arial"/>
                <w:sz w:val="14"/>
                <w:szCs w:val="14"/>
                <w:color w:val="auto"/>
                <w:w w:val="88"/>
              </w:rPr>
              <w:t>May Yet Be</w:t>
            </w:r>
          </w:p>
        </w:tc>
      </w:tr>
      <w:tr>
        <w:trPr>
          <w:trHeight w:val="146"/>
        </w:trPr>
        <w:tc>
          <w:tcPr>
            <w:tcW w:w="3180" w:type="dxa"/>
            <w:vAlign w:val="bottom"/>
          </w:tcPr>
          <w:p>
            <w:pPr>
              <w:spacing w:after="0"/>
              <w:rPr>
                <w:sz w:val="12"/>
                <w:szCs w:val="12"/>
                <w:color w:val="auto"/>
              </w:rPr>
            </w:pPr>
          </w:p>
        </w:tc>
        <w:tc>
          <w:tcPr>
            <w:tcW w:w="2040" w:type="dxa"/>
            <w:vAlign w:val="bottom"/>
          </w:tcPr>
          <w:p>
            <w:pPr>
              <w:jc w:val="center"/>
              <w:ind w:left="560"/>
              <w:spacing w:after="0" w:line="146" w:lineRule="exact"/>
              <w:rPr>
                <w:sz w:val="20"/>
                <w:szCs w:val="20"/>
                <w:color w:val="auto"/>
              </w:rPr>
            </w:pPr>
            <w:r>
              <w:rPr>
                <w:rFonts w:ascii="Arial" w:cs="Arial" w:eastAsia="Arial" w:hAnsi="Arial"/>
                <w:sz w:val="14"/>
                <w:szCs w:val="14"/>
                <w:color w:val="auto"/>
                <w:w w:val="81"/>
              </w:rPr>
              <w:t>Shares</w:t>
            </w:r>
          </w:p>
        </w:tc>
        <w:tc>
          <w:tcPr>
            <w:tcW w:w="360" w:type="dxa"/>
            <w:vAlign w:val="bottom"/>
          </w:tcPr>
          <w:p>
            <w:pPr>
              <w:spacing w:after="0"/>
              <w:rPr>
                <w:sz w:val="12"/>
                <w:szCs w:val="12"/>
                <w:color w:val="auto"/>
              </w:rPr>
            </w:pPr>
          </w:p>
        </w:tc>
        <w:tc>
          <w:tcPr>
            <w:tcW w:w="680" w:type="dxa"/>
            <w:vAlign w:val="bottom"/>
          </w:tcPr>
          <w:p>
            <w:pPr>
              <w:jc w:val="center"/>
              <w:ind w:right="258"/>
              <w:spacing w:after="0" w:line="146" w:lineRule="exact"/>
              <w:rPr>
                <w:sz w:val="20"/>
                <w:szCs w:val="20"/>
                <w:color w:val="auto"/>
              </w:rPr>
            </w:pPr>
            <w:r>
              <w:rPr>
                <w:rFonts w:ascii="Arial" w:cs="Arial" w:eastAsia="Arial" w:hAnsi="Arial"/>
                <w:sz w:val="14"/>
                <w:szCs w:val="14"/>
                <w:color w:val="auto"/>
                <w:w w:val="82"/>
              </w:rPr>
              <w:t>Per</w:t>
            </w:r>
          </w:p>
        </w:tc>
        <w:tc>
          <w:tcPr>
            <w:tcW w:w="1940" w:type="dxa"/>
            <w:vAlign w:val="bottom"/>
          </w:tcPr>
          <w:p>
            <w:pPr>
              <w:jc w:val="center"/>
              <w:spacing w:after="0" w:line="146" w:lineRule="exact"/>
              <w:rPr>
                <w:sz w:val="20"/>
                <w:szCs w:val="20"/>
                <w:color w:val="auto"/>
              </w:rPr>
            </w:pPr>
            <w:r>
              <w:rPr>
                <w:rFonts w:ascii="Arial" w:cs="Arial" w:eastAsia="Arial" w:hAnsi="Arial"/>
                <w:sz w:val="14"/>
                <w:szCs w:val="14"/>
                <w:color w:val="auto"/>
                <w:w w:val="90"/>
              </w:rPr>
              <w:t>as Part of Publicly</w:t>
            </w:r>
          </w:p>
        </w:tc>
        <w:tc>
          <w:tcPr>
            <w:tcW w:w="360" w:type="dxa"/>
            <w:vAlign w:val="bottom"/>
          </w:tcPr>
          <w:p>
            <w:pPr>
              <w:spacing w:after="0"/>
              <w:rPr>
                <w:sz w:val="12"/>
                <w:szCs w:val="12"/>
                <w:color w:val="auto"/>
              </w:rPr>
            </w:pPr>
          </w:p>
        </w:tc>
        <w:tc>
          <w:tcPr>
            <w:tcW w:w="1300" w:type="dxa"/>
            <w:vAlign w:val="bottom"/>
          </w:tcPr>
          <w:p>
            <w:pPr>
              <w:jc w:val="center"/>
              <w:ind w:right="281"/>
              <w:spacing w:after="0" w:line="146" w:lineRule="exact"/>
              <w:rPr>
                <w:sz w:val="20"/>
                <w:szCs w:val="20"/>
                <w:color w:val="auto"/>
              </w:rPr>
            </w:pPr>
            <w:r>
              <w:rPr>
                <w:rFonts w:ascii="Arial" w:cs="Arial" w:eastAsia="Arial" w:hAnsi="Arial"/>
                <w:sz w:val="14"/>
                <w:szCs w:val="14"/>
                <w:color w:val="auto"/>
                <w:w w:val="87"/>
              </w:rPr>
              <w:t>Under the</w:t>
            </w:r>
          </w:p>
        </w:tc>
        <w:tc>
          <w:tcPr>
            <w:tcW w:w="1560" w:type="dxa"/>
            <w:vAlign w:val="bottom"/>
            <w:gridSpan w:val="2"/>
          </w:tcPr>
          <w:p>
            <w:pPr>
              <w:jc w:val="center"/>
              <w:ind w:left="77"/>
              <w:spacing w:after="0" w:line="146" w:lineRule="exact"/>
              <w:rPr>
                <w:sz w:val="20"/>
                <w:szCs w:val="20"/>
                <w:color w:val="auto"/>
              </w:rPr>
            </w:pPr>
            <w:r>
              <w:rPr>
                <w:rFonts w:ascii="Arial" w:cs="Arial" w:eastAsia="Arial" w:hAnsi="Arial"/>
                <w:sz w:val="14"/>
                <w:szCs w:val="14"/>
                <w:color w:val="auto"/>
                <w:w w:val="84"/>
              </w:rPr>
              <w:t>Purchased Under the</w:t>
            </w:r>
          </w:p>
        </w:tc>
      </w:tr>
      <w:tr>
        <w:trPr>
          <w:trHeight w:val="176"/>
        </w:trPr>
        <w:tc>
          <w:tcPr>
            <w:tcW w:w="3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Period</w:t>
            </w:r>
          </w:p>
        </w:tc>
        <w:tc>
          <w:tcPr>
            <w:tcW w:w="2040" w:type="dxa"/>
            <w:vAlign w:val="bottom"/>
            <w:tcBorders>
              <w:bottom w:val="single" w:sz="8" w:color="auto"/>
            </w:tcBorders>
          </w:tcPr>
          <w:p>
            <w:pPr>
              <w:jc w:val="center"/>
              <w:ind w:left="560"/>
              <w:spacing w:after="0"/>
              <w:rPr>
                <w:sz w:val="20"/>
                <w:szCs w:val="20"/>
                <w:color w:val="auto"/>
              </w:rPr>
            </w:pPr>
            <w:r>
              <w:rPr>
                <w:rFonts w:ascii="Arial" w:cs="Arial" w:eastAsia="Arial" w:hAnsi="Arial"/>
                <w:sz w:val="14"/>
                <w:szCs w:val="14"/>
                <w:color w:val="auto"/>
                <w:w w:val="83"/>
              </w:rPr>
              <w:t>Purchased</w:t>
            </w: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278"/>
              <w:spacing w:after="0"/>
              <w:rPr>
                <w:sz w:val="20"/>
                <w:szCs w:val="20"/>
                <w:color w:val="auto"/>
              </w:rPr>
            </w:pPr>
            <w:r>
              <w:rPr>
                <w:rFonts w:ascii="Arial" w:cs="Arial" w:eastAsia="Arial" w:hAnsi="Arial"/>
                <w:sz w:val="14"/>
                <w:szCs w:val="14"/>
                <w:color w:val="auto"/>
                <w:w w:val="85"/>
              </w:rPr>
              <w:t>Share</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Announced Authorization</w:t>
            </w: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281"/>
              <w:spacing w:after="0"/>
              <w:rPr>
                <w:sz w:val="20"/>
                <w:szCs w:val="20"/>
                <w:color w:val="auto"/>
              </w:rPr>
            </w:pPr>
            <w:r>
              <w:rPr>
                <w:rFonts w:ascii="Arial" w:cs="Arial" w:eastAsia="Arial" w:hAnsi="Arial"/>
                <w:sz w:val="14"/>
                <w:szCs w:val="14"/>
                <w:color w:val="auto"/>
                <w:w w:val="90"/>
              </w:rPr>
              <w:t>Authorization</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19"/>
              <w:spacing w:after="0" w:line="176" w:lineRule="exact"/>
              <w:rPr>
                <w:sz w:val="20"/>
                <w:szCs w:val="20"/>
                <w:color w:val="auto"/>
              </w:rPr>
            </w:pPr>
            <w:r>
              <w:rPr>
                <w:rFonts w:ascii="Arial" w:cs="Arial" w:eastAsia="Arial" w:hAnsi="Arial"/>
                <w:sz w:val="13"/>
                <w:szCs w:val="13"/>
                <w:color w:val="auto"/>
                <w:w w:val="95"/>
              </w:rPr>
              <w:t>Authorization</w:t>
            </w:r>
            <w:r>
              <w:rPr>
                <w:rFonts w:ascii="Arial" w:cs="Arial" w:eastAsia="Arial" w:hAnsi="Arial"/>
                <w:sz w:val="20"/>
                <w:szCs w:val="20"/>
                <w:color w:val="auto"/>
                <w:w w:val="95"/>
                <w:vertAlign w:val="superscript"/>
              </w:rPr>
              <w:t>(a)</w:t>
            </w:r>
          </w:p>
        </w:tc>
      </w:tr>
      <w:tr>
        <w:trPr>
          <w:trHeight w:val="210"/>
        </w:trPr>
        <w:tc>
          <w:tcPr>
            <w:tcW w:w="3180" w:type="dxa"/>
            <w:vAlign w:val="bottom"/>
            <w:shd w:val="clear" w:color="auto" w:fill="E5E5E5"/>
          </w:tcPr>
          <w:p>
            <w:pPr>
              <w:spacing w:after="0"/>
              <w:rPr>
                <w:sz w:val="20"/>
                <w:szCs w:val="20"/>
                <w:color w:val="auto"/>
              </w:rPr>
            </w:pPr>
            <w:r>
              <w:rPr>
                <w:rFonts w:ascii="Arial" w:cs="Arial" w:eastAsia="Arial" w:hAnsi="Arial"/>
                <w:sz w:val="18"/>
                <w:szCs w:val="18"/>
                <w:color w:val="auto"/>
              </w:rPr>
              <w:t>January 1-31, 2015</w:t>
            </w:r>
          </w:p>
        </w:tc>
        <w:tc>
          <w:tcPr>
            <w:tcW w:w="20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9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3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200" w:type="dxa"/>
            <w:vAlign w:val="bottom"/>
            <w:shd w:val="clear" w:color="auto" w:fill="E5E5E5"/>
          </w:tcPr>
          <w:p>
            <w:pPr>
              <w:spacing w:after="0"/>
              <w:rPr>
                <w:sz w:val="18"/>
                <w:szCs w:val="18"/>
                <w:color w:val="auto"/>
              </w:rPr>
            </w:pPr>
          </w:p>
        </w:tc>
      </w:tr>
      <w:tr>
        <w:trPr>
          <w:trHeight w:val="216"/>
        </w:trPr>
        <w:tc>
          <w:tcPr>
            <w:tcW w:w="3180" w:type="dxa"/>
            <w:vAlign w:val="bottom"/>
          </w:tcPr>
          <w:p>
            <w:pPr>
              <w:ind w:left="440"/>
              <w:spacing w:after="0"/>
              <w:rPr>
                <w:sz w:val="20"/>
                <w:szCs w:val="20"/>
                <w:color w:val="auto"/>
              </w:rPr>
            </w:pPr>
            <w:r>
              <w:rPr>
                <w:rFonts w:ascii="Arial" w:cs="Arial" w:eastAsia="Arial" w:hAnsi="Arial"/>
                <w:sz w:val="18"/>
                <w:szCs w:val="18"/>
                <w:color w:val="auto"/>
              </w:rPr>
              <w:t>Comcast Class A</w:t>
            </w:r>
          </w:p>
        </w:tc>
        <w:tc>
          <w:tcPr>
            <w:tcW w:w="2040" w:type="dxa"/>
            <w:vAlign w:val="bottom"/>
          </w:tcPr>
          <w:p>
            <w:pPr>
              <w:jc w:val="right"/>
              <w:ind w:right="180"/>
              <w:spacing w:after="0"/>
              <w:rPr>
                <w:sz w:val="20"/>
                <w:szCs w:val="20"/>
                <w:color w:val="auto"/>
              </w:rPr>
            </w:pPr>
            <w:r>
              <w:rPr>
                <w:rFonts w:ascii="Arial" w:cs="Arial" w:eastAsia="Arial" w:hAnsi="Arial"/>
                <w:sz w:val="18"/>
                <w:szCs w:val="18"/>
                <w:color w:val="auto"/>
              </w:rPr>
              <w:t>4,534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8"/>
              <w:spacing w:after="0"/>
              <w:rPr>
                <w:sz w:val="20"/>
                <w:szCs w:val="20"/>
                <w:color w:val="auto"/>
              </w:rPr>
            </w:pPr>
            <w:r>
              <w:rPr>
                <w:rFonts w:ascii="Arial" w:cs="Arial" w:eastAsia="Arial" w:hAnsi="Arial"/>
                <w:sz w:val="18"/>
                <w:szCs w:val="18"/>
                <w:color w:val="auto"/>
                <w:w w:val="88"/>
              </w:rPr>
              <w:t>56.77</w:t>
            </w:r>
          </w:p>
        </w:tc>
        <w:tc>
          <w:tcPr>
            <w:tcW w:w="1940" w:type="dxa"/>
            <w:vAlign w:val="bottom"/>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01"/>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w w:val="93"/>
              </w:rPr>
              <w:t>3,249,229,820</w:t>
            </w:r>
          </w:p>
        </w:tc>
      </w:tr>
      <w:tr>
        <w:trPr>
          <w:trHeight w:val="216"/>
        </w:trPr>
        <w:tc>
          <w:tcPr>
            <w:tcW w:w="31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Comcast Class A Special</w:t>
            </w:r>
          </w:p>
        </w:tc>
        <w:tc>
          <w:tcPr>
            <w:tcW w:w="2040" w:type="dxa"/>
            <w:vAlign w:val="bottom"/>
            <w:shd w:val="clear" w:color="auto" w:fill="E5E5E5"/>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78"/>
              <w:spacing w:after="0"/>
              <w:rPr>
                <w:sz w:val="20"/>
                <w:szCs w:val="20"/>
                <w:color w:val="auto"/>
              </w:rPr>
            </w:pPr>
            <w:r>
              <w:rPr>
                <w:rFonts w:ascii="Arial" w:cs="Arial" w:eastAsia="Arial" w:hAnsi="Arial"/>
                <w:sz w:val="18"/>
                <w:szCs w:val="18"/>
                <w:color w:val="auto"/>
              </w:rPr>
              <w:t>—</w:t>
            </w:r>
          </w:p>
        </w:tc>
        <w:tc>
          <w:tcPr>
            <w:tcW w:w="1940" w:type="dxa"/>
            <w:vAlign w:val="bottom"/>
            <w:shd w:val="clear" w:color="auto" w:fill="E5E5E5"/>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E5E5E5"/>
          </w:tcPr>
          <w:p>
            <w:pPr>
              <w:jc w:val="right"/>
              <w:ind w:right="201"/>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E5E5E5"/>
          </w:tcPr>
          <w:p>
            <w:pPr>
              <w:jc w:val="right"/>
              <w:ind w:right="19"/>
              <w:spacing w:after="0"/>
              <w:rPr>
                <w:sz w:val="20"/>
                <w:szCs w:val="20"/>
                <w:color w:val="auto"/>
              </w:rPr>
            </w:pPr>
            <w:r>
              <w:rPr>
                <w:rFonts w:ascii="Arial" w:cs="Arial" w:eastAsia="Arial" w:hAnsi="Arial"/>
                <w:sz w:val="18"/>
                <w:szCs w:val="18"/>
                <w:color w:val="auto"/>
                <w:w w:val="93"/>
              </w:rPr>
              <w:t>3,249,229,820</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February 1-28, 2015</w:t>
            </w:r>
          </w:p>
        </w:tc>
        <w:tc>
          <w:tcPr>
            <w:tcW w:w="2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1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Comcast Class A</w:t>
            </w:r>
          </w:p>
        </w:tc>
        <w:tc>
          <w:tcPr>
            <w:tcW w:w="2040" w:type="dxa"/>
            <w:vAlign w:val="bottom"/>
            <w:shd w:val="clear" w:color="auto" w:fill="E5E5E5"/>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78"/>
              <w:spacing w:after="0"/>
              <w:rPr>
                <w:sz w:val="20"/>
                <w:szCs w:val="20"/>
                <w:color w:val="auto"/>
              </w:rPr>
            </w:pPr>
            <w:r>
              <w:rPr>
                <w:rFonts w:ascii="Arial" w:cs="Arial" w:eastAsia="Arial" w:hAnsi="Arial"/>
                <w:sz w:val="18"/>
                <w:szCs w:val="18"/>
                <w:color w:val="auto"/>
              </w:rPr>
              <w:t>—</w:t>
            </w:r>
          </w:p>
        </w:tc>
        <w:tc>
          <w:tcPr>
            <w:tcW w:w="1940" w:type="dxa"/>
            <w:vAlign w:val="bottom"/>
            <w:shd w:val="clear" w:color="auto" w:fill="E5E5E5"/>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E5E5E5"/>
          </w:tcPr>
          <w:p>
            <w:pPr>
              <w:jc w:val="right"/>
              <w:ind w:right="201"/>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E5E5E5"/>
          </w:tcPr>
          <w:p>
            <w:pPr>
              <w:jc w:val="right"/>
              <w:ind w:right="19"/>
              <w:spacing w:after="0"/>
              <w:rPr>
                <w:sz w:val="20"/>
                <w:szCs w:val="20"/>
                <w:color w:val="auto"/>
              </w:rPr>
            </w:pPr>
            <w:r>
              <w:rPr>
                <w:rFonts w:ascii="Arial" w:cs="Arial" w:eastAsia="Arial" w:hAnsi="Arial"/>
                <w:sz w:val="18"/>
                <w:szCs w:val="18"/>
                <w:color w:val="auto"/>
                <w:w w:val="86"/>
              </w:rPr>
              <w:t>10,000,000,000</w:t>
            </w:r>
          </w:p>
        </w:tc>
      </w:tr>
      <w:tr>
        <w:trPr>
          <w:trHeight w:val="216"/>
        </w:trPr>
        <w:tc>
          <w:tcPr>
            <w:tcW w:w="3180" w:type="dxa"/>
            <w:vAlign w:val="bottom"/>
          </w:tcPr>
          <w:p>
            <w:pPr>
              <w:ind w:left="440"/>
              <w:spacing w:after="0"/>
              <w:rPr>
                <w:sz w:val="20"/>
                <w:szCs w:val="20"/>
                <w:color w:val="auto"/>
              </w:rPr>
            </w:pPr>
            <w:r>
              <w:rPr>
                <w:rFonts w:ascii="Arial" w:cs="Arial" w:eastAsia="Arial" w:hAnsi="Arial"/>
                <w:sz w:val="18"/>
                <w:szCs w:val="18"/>
                <w:color w:val="auto"/>
              </w:rPr>
              <w:t>Comcast Class A Special</w:t>
            </w:r>
          </w:p>
        </w:tc>
        <w:tc>
          <w:tcPr>
            <w:tcW w:w="2040" w:type="dxa"/>
            <w:vAlign w:val="bottom"/>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8"/>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01"/>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w w:val="86"/>
              </w:rPr>
              <w:t>10,000,000,000</w:t>
            </w:r>
          </w:p>
        </w:tc>
      </w:tr>
      <w:tr>
        <w:trPr>
          <w:trHeight w:val="216"/>
        </w:trPr>
        <w:tc>
          <w:tcPr>
            <w:tcW w:w="3180" w:type="dxa"/>
            <w:vAlign w:val="bottom"/>
            <w:shd w:val="clear" w:color="auto" w:fill="E5E5E5"/>
          </w:tcPr>
          <w:p>
            <w:pPr>
              <w:spacing w:after="0"/>
              <w:rPr>
                <w:sz w:val="20"/>
                <w:szCs w:val="20"/>
                <w:color w:val="auto"/>
              </w:rPr>
            </w:pPr>
            <w:r>
              <w:rPr>
                <w:rFonts w:ascii="Arial" w:cs="Arial" w:eastAsia="Arial" w:hAnsi="Arial"/>
                <w:sz w:val="18"/>
                <w:szCs w:val="18"/>
                <w:color w:val="auto"/>
              </w:rPr>
              <w:t>March 1-31, 2015</w:t>
            </w:r>
          </w:p>
        </w:tc>
        <w:tc>
          <w:tcPr>
            <w:tcW w:w="20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9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3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200" w:type="dxa"/>
            <w:vAlign w:val="bottom"/>
            <w:shd w:val="clear" w:color="auto" w:fill="E5E5E5"/>
          </w:tcPr>
          <w:p>
            <w:pPr>
              <w:spacing w:after="0"/>
              <w:rPr>
                <w:sz w:val="18"/>
                <w:szCs w:val="18"/>
                <w:color w:val="auto"/>
              </w:rPr>
            </w:pPr>
          </w:p>
        </w:tc>
      </w:tr>
      <w:tr>
        <w:trPr>
          <w:trHeight w:val="216"/>
        </w:trPr>
        <w:tc>
          <w:tcPr>
            <w:tcW w:w="3180" w:type="dxa"/>
            <w:vAlign w:val="bottom"/>
          </w:tcPr>
          <w:p>
            <w:pPr>
              <w:ind w:left="440"/>
              <w:spacing w:after="0"/>
              <w:rPr>
                <w:sz w:val="20"/>
                <w:szCs w:val="20"/>
                <w:color w:val="auto"/>
              </w:rPr>
            </w:pPr>
            <w:r>
              <w:rPr>
                <w:rFonts w:ascii="Arial" w:cs="Arial" w:eastAsia="Arial" w:hAnsi="Arial"/>
                <w:sz w:val="18"/>
                <w:szCs w:val="18"/>
                <w:color w:val="auto"/>
              </w:rPr>
              <w:t>Comcast Class A</w:t>
            </w:r>
          </w:p>
        </w:tc>
        <w:tc>
          <w:tcPr>
            <w:tcW w:w="2040" w:type="dxa"/>
            <w:vAlign w:val="bottom"/>
          </w:tcPr>
          <w:p>
            <w:pPr>
              <w:jc w:val="right"/>
              <w:ind w:right="180"/>
              <w:spacing w:after="0"/>
              <w:rPr>
                <w:sz w:val="20"/>
                <w:szCs w:val="20"/>
                <w:color w:val="auto"/>
              </w:rPr>
            </w:pPr>
            <w:r>
              <w:rPr>
                <w:rFonts w:ascii="Arial" w:cs="Arial" w:eastAsia="Arial" w:hAnsi="Arial"/>
                <w:sz w:val="18"/>
                <w:szCs w:val="18"/>
                <w:color w:val="auto"/>
              </w:rPr>
              <w:t>15,761,267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8"/>
              <w:spacing w:after="0"/>
              <w:rPr>
                <w:sz w:val="20"/>
                <w:szCs w:val="20"/>
                <w:color w:val="auto"/>
              </w:rPr>
            </w:pPr>
            <w:r>
              <w:rPr>
                <w:rFonts w:ascii="Arial" w:cs="Arial" w:eastAsia="Arial" w:hAnsi="Arial"/>
                <w:sz w:val="18"/>
                <w:szCs w:val="18"/>
                <w:color w:val="auto"/>
                <w:w w:val="88"/>
              </w:rPr>
              <w:t>57.12</w:t>
            </w:r>
          </w:p>
        </w:tc>
        <w:tc>
          <w:tcPr>
            <w:tcW w:w="1940" w:type="dxa"/>
            <w:vAlign w:val="bottom"/>
          </w:tcPr>
          <w:p>
            <w:pPr>
              <w:jc w:val="right"/>
              <w:ind w:right="180"/>
              <w:spacing w:after="0"/>
              <w:rPr>
                <w:sz w:val="20"/>
                <w:szCs w:val="20"/>
                <w:color w:val="auto"/>
              </w:rPr>
            </w:pPr>
            <w:r>
              <w:rPr>
                <w:rFonts w:ascii="Arial" w:cs="Arial" w:eastAsia="Arial" w:hAnsi="Arial"/>
                <w:sz w:val="18"/>
                <w:szCs w:val="18"/>
                <w:color w:val="auto"/>
              </w:rPr>
              <w:t>15,756,663</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01"/>
              <w:spacing w:after="0"/>
              <w:rPr>
                <w:sz w:val="20"/>
                <w:szCs w:val="20"/>
                <w:color w:val="auto"/>
              </w:rPr>
            </w:pPr>
            <w:r>
              <w:rPr>
                <w:rFonts w:ascii="Arial" w:cs="Arial" w:eastAsia="Arial" w:hAnsi="Arial"/>
                <w:sz w:val="18"/>
                <w:szCs w:val="18"/>
                <w:color w:val="auto"/>
                <w:w w:val="99"/>
              </w:rPr>
              <w:t>900,000,000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w w:val="93"/>
              </w:rPr>
              <w:t>9,100,000,000</w:t>
            </w:r>
          </w:p>
        </w:tc>
      </w:tr>
      <w:tr>
        <w:trPr>
          <w:trHeight w:val="216"/>
        </w:trPr>
        <w:tc>
          <w:tcPr>
            <w:tcW w:w="318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Comcast Class A Special</w:t>
            </w:r>
          </w:p>
        </w:tc>
        <w:tc>
          <w:tcPr>
            <w:tcW w:w="2040" w:type="dxa"/>
            <w:vAlign w:val="bottom"/>
            <w:tcBorders>
              <w:bottom w:val="single" w:sz="8" w:color="auto"/>
            </w:tcBorders>
            <w:shd w:val="clear" w:color="auto" w:fill="E5E5E5"/>
          </w:tcPr>
          <w:p>
            <w:pPr>
              <w:jc w:val="right"/>
              <w:ind w:right="180"/>
              <w:spacing w:after="0"/>
              <w:rPr>
                <w:sz w:val="20"/>
                <w:szCs w:val="20"/>
                <w:color w:val="auto"/>
              </w:rPr>
            </w:pPr>
            <w:r>
              <w:rPr>
                <w:rFonts w:ascii="Arial" w:cs="Arial" w:eastAsia="Arial" w:hAnsi="Arial"/>
                <w:sz w:val="18"/>
                <w:szCs w:val="18"/>
                <w:color w:val="auto"/>
              </w:rPr>
              <w:t>19,302,589</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5E5"/>
          </w:tcPr>
          <w:p>
            <w:pPr>
              <w:jc w:val="right"/>
              <w:ind w:right="178"/>
              <w:spacing w:after="0"/>
              <w:rPr>
                <w:sz w:val="20"/>
                <w:szCs w:val="20"/>
                <w:color w:val="auto"/>
              </w:rPr>
            </w:pPr>
            <w:r>
              <w:rPr>
                <w:rFonts w:ascii="Arial" w:cs="Arial" w:eastAsia="Arial" w:hAnsi="Arial"/>
                <w:sz w:val="18"/>
                <w:szCs w:val="18"/>
                <w:color w:val="auto"/>
                <w:w w:val="88"/>
              </w:rPr>
              <w:t>56.99</w:t>
            </w:r>
          </w:p>
        </w:tc>
        <w:tc>
          <w:tcPr>
            <w:tcW w:w="1940" w:type="dxa"/>
            <w:vAlign w:val="bottom"/>
            <w:tcBorders>
              <w:bottom w:val="single" w:sz="8" w:color="auto"/>
            </w:tcBorders>
            <w:shd w:val="clear" w:color="auto" w:fill="E5E5E5"/>
          </w:tcPr>
          <w:p>
            <w:pPr>
              <w:jc w:val="right"/>
              <w:ind w:right="180"/>
              <w:spacing w:after="0"/>
              <w:rPr>
                <w:sz w:val="20"/>
                <w:szCs w:val="20"/>
                <w:color w:val="auto"/>
              </w:rPr>
            </w:pPr>
            <w:r>
              <w:rPr>
                <w:rFonts w:ascii="Arial" w:cs="Arial" w:eastAsia="Arial" w:hAnsi="Arial"/>
                <w:sz w:val="18"/>
                <w:szCs w:val="18"/>
                <w:color w:val="auto"/>
              </w:rPr>
              <w:t>19,302,589</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E5E5E5"/>
          </w:tcPr>
          <w:p>
            <w:pPr>
              <w:jc w:val="right"/>
              <w:ind w:right="201"/>
              <w:spacing w:after="0"/>
              <w:rPr>
                <w:sz w:val="20"/>
                <w:szCs w:val="20"/>
                <w:color w:val="auto"/>
              </w:rPr>
            </w:pPr>
            <w:r>
              <w:rPr>
                <w:rFonts w:ascii="Arial" w:cs="Arial" w:eastAsia="Arial" w:hAnsi="Arial"/>
                <w:sz w:val="18"/>
                <w:szCs w:val="18"/>
                <w:color w:val="auto"/>
                <w:w w:val="86"/>
              </w:rPr>
              <w:t>1,100,000,000</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E5E5E5"/>
          </w:tcPr>
          <w:p>
            <w:pPr>
              <w:jc w:val="right"/>
              <w:ind w:right="19"/>
              <w:spacing w:after="0"/>
              <w:rPr>
                <w:sz w:val="20"/>
                <w:szCs w:val="20"/>
                <w:color w:val="auto"/>
              </w:rPr>
            </w:pPr>
            <w:r>
              <w:rPr>
                <w:rFonts w:ascii="Arial" w:cs="Arial" w:eastAsia="Arial" w:hAnsi="Arial"/>
                <w:sz w:val="18"/>
                <w:szCs w:val="18"/>
                <w:color w:val="auto"/>
                <w:w w:val="93"/>
              </w:rPr>
              <w:t>8,000,000,000</w:t>
            </w:r>
          </w:p>
        </w:tc>
      </w:tr>
      <w:tr>
        <w:trPr>
          <w:trHeight w:val="217"/>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2040" w:type="dxa"/>
            <w:vAlign w:val="bottom"/>
            <w:tcBorders>
              <w:bottom w:val="single" w:sz="8" w:color="auto"/>
            </w:tcBorders>
          </w:tcPr>
          <w:p>
            <w:pPr>
              <w:jc w:val="right"/>
              <w:ind w:right="180"/>
              <w:spacing w:after="0"/>
              <w:rPr>
                <w:sz w:val="20"/>
                <w:szCs w:val="20"/>
                <w:color w:val="auto"/>
              </w:rPr>
            </w:pPr>
            <w:r>
              <w:rPr>
                <w:rFonts w:ascii="Arial" w:cs="Arial" w:eastAsia="Arial" w:hAnsi="Arial"/>
                <w:sz w:val="18"/>
                <w:szCs w:val="18"/>
                <w:b w:val="1"/>
                <w:bCs w:val="1"/>
                <w:color w:val="auto"/>
              </w:rPr>
              <w:t>35,068,390</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78"/>
              <w:spacing w:after="0"/>
              <w:rPr>
                <w:sz w:val="20"/>
                <w:szCs w:val="20"/>
                <w:color w:val="auto"/>
              </w:rPr>
            </w:pPr>
            <w:r>
              <w:rPr>
                <w:rFonts w:ascii="Arial" w:cs="Arial" w:eastAsia="Arial" w:hAnsi="Arial"/>
                <w:sz w:val="18"/>
                <w:szCs w:val="18"/>
                <w:b w:val="1"/>
                <w:bCs w:val="1"/>
                <w:color w:val="auto"/>
                <w:w w:val="88"/>
              </w:rPr>
              <w:t>57.05</w:t>
            </w:r>
          </w:p>
        </w:tc>
        <w:tc>
          <w:tcPr>
            <w:tcW w:w="1940" w:type="dxa"/>
            <w:vAlign w:val="bottom"/>
            <w:tcBorders>
              <w:bottom w:val="single" w:sz="8" w:color="auto"/>
            </w:tcBorders>
          </w:tcPr>
          <w:p>
            <w:pPr>
              <w:jc w:val="right"/>
              <w:ind w:right="180"/>
              <w:spacing w:after="0"/>
              <w:rPr>
                <w:sz w:val="20"/>
                <w:szCs w:val="20"/>
                <w:color w:val="auto"/>
              </w:rPr>
            </w:pPr>
            <w:r>
              <w:rPr>
                <w:rFonts w:ascii="Arial" w:cs="Arial" w:eastAsia="Arial" w:hAnsi="Arial"/>
                <w:sz w:val="18"/>
                <w:szCs w:val="18"/>
                <w:b w:val="1"/>
                <w:bCs w:val="1"/>
                <w:color w:val="auto"/>
              </w:rPr>
              <w:t>35,059,252</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ind w:right="201"/>
              <w:spacing w:after="0"/>
              <w:rPr>
                <w:sz w:val="20"/>
                <w:szCs w:val="20"/>
                <w:color w:val="auto"/>
              </w:rPr>
            </w:pPr>
            <w:r>
              <w:rPr>
                <w:rFonts w:ascii="Arial" w:cs="Arial" w:eastAsia="Arial" w:hAnsi="Arial"/>
                <w:sz w:val="18"/>
                <w:szCs w:val="18"/>
                <w:b w:val="1"/>
                <w:bCs w:val="1"/>
                <w:color w:val="auto"/>
                <w:w w:val="86"/>
              </w:rPr>
              <w:t>2,000,000,000</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w w:val="93"/>
              </w:rPr>
              <w:t>8,000,000,000</w:t>
            </w:r>
          </w:p>
        </w:tc>
      </w:tr>
    </w:tbl>
    <w:p>
      <w:pPr>
        <w:spacing w:after="0" w:line="57" w:lineRule="exact"/>
        <w:rPr>
          <w:sz w:val="20"/>
          <w:szCs w:val="20"/>
          <w:color w:val="auto"/>
        </w:rPr>
      </w:pPr>
    </w:p>
    <w:p>
      <w:pPr>
        <w:ind w:left="340" w:hanging="332"/>
        <w:spacing w:after="0" w:line="239"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February 2015, our Board of Directors increased our share repurchase authorization to $10 billion, which does not have an expiration date. Under this authorization, we may repurchase shares in the open market or in private transactions. We expect to make $4.75 billion more in repurchases during the remainder of 2015, subject to market conditions.</w:t>
      </w:r>
    </w:p>
    <w:p>
      <w:pPr>
        <w:spacing w:after="0" w:line="4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total number of shares purchased during the three months ended March 31, 2015 includes 9,138 shares received in the administration of employee share-based compensation plans.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ind w:left="140"/>
        <w:spacing w:after="0"/>
        <w:tabs>
          <w:tab w:leader="none" w:pos="8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20" w:hanging="722"/>
        <w:spacing w:after="0" w:line="249" w:lineRule="auto"/>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Agreement between Comcast Corporation and Michael J. Angelakis, dated as of March 30, 2015 (incorporated by reference to Exhibit 10.1 to Comcast’s Current Report on Form 8-K filed on March 31, 2015).</w:t>
      </w:r>
    </w:p>
    <w:p>
      <w:pPr>
        <w:spacing w:after="0" w:line="1"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and Chief Financial Officer pursuant to Section 302 of the Sarbanes-Oxley Act of 2002.</w:t>
      </w:r>
    </w:p>
    <w:p>
      <w:pPr>
        <w:spacing w:after="0" w:line="9"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and Chief Financial Officer pursuant to Section 906 of the Sarbanes-Oxley Act of 2002.</w:t>
      </w:r>
    </w:p>
    <w:p>
      <w:pPr>
        <w:spacing w:after="0" w:line="9" w:lineRule="exact"/>
        <w:rPr>
          <w:sz w:val="20"/>
          <w:szCs w:val="20"/>
          <w:color w:val="auto"/>
        </w:rPr>
      </w:pPr>
    </w:p>
    <w:p>
      <w:pPr>
        <w:jc w:val="both"/>
        <w:ind w:left="820" w:hanging="724"/>
        <w:spacing w:after="0" w:line="253"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following financial statements from Comcast Corporation’s Quarterly Report on Form 10-Q for the three months ended March 31, 2015, filed with the Securities and Exchange Commission on May 4, 2015, formatted in XBRL (eXtensible Business Reporting Language): (i) the Condensed Consolidated Balance Sheet; (ii) the Condensed Consolidated Statement of Income; (iii) the Condensed Consolidated Statement of Comprehensive Income; (iv) the Condensed Consolidated Statement of Cash Flows; (v) the Condensed Consolidated Statement of Changes in Equity; and (vi)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ind w:left="140"/>
        <w:spacing w:after="0"/>
        <w:tabs>
          <w:tab w:leader="none" w:pos="8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00"/>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Principal Executive Officer and Principal Financial Officer pursuant to Section 302 of the Sarbanes-Oxley Act of 2002.</w:t>
      </w:r>
    </w:p>
    <w:p>
      <w:pPr>
        <w:spacing w:after="0" w:line="8"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Principal Executive Officer and Principal Financial Officer pursuant to Section 906 of the Sarbanes-Oxley Act of 2002.</w:t>
      </w:r>
    </w:p>
    <w:p>
      <w:pPr>
        <w:spacing w:after="0" w:line="9" w:lineRule="exact"/>
        <w:rPr>
          <w:sz w:val="20"/>
          <w:szCs w:val="20"/>
          <w:color w:val="auto"/>
        </w:rPr>
      </w:pPr>
    </w:p>
    <w:p>
      <w:pPr>
        <w:jc w:val="both"/>
        <w:ind w:left="820" w:hanging="724"/>
        <w:spacing w:after="0" w:line="253"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financial statements from NBCUniversal Media, LLC’s Quarterly Report on Form 10-Q for the three months ended March 31, 2015, filed with the Securities and Exchange Commission on May 4, 2015, formatted in XBRL (eXtensible Business Reporting Language): (i) the Condensed Consolidated Balance Sheet; (ii) the Condensed Consolidated Statement of Income; (iii) the Condensed Consolidated Statement of Comprehensive Income; (iv) the Condensed Consolidated Statement of Cash Flows; (v) the Condensed Consolidated Statement of Changes in Equity; and (vi)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Comcast</w:t>
      </w:r>
    </w:p>
    <w:p>
      <w:pPr>
        <w:spacing w:after="0" w:line="8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10795</wp:posOffset>
            </wp:positionV>
            <wp:extent cx="26758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Executive Vice President, Chief Accounting Officer and</w:t>
      </w:r>
    </w:p>
    <w:p>
      <w:pPr>
        <w:spacing w:after="0" w:line="3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Controller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Accounting Officer)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Date: May 4, 2015</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8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NBCUNIVERSAL MEDIA,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10795</wp:posOffset>
            </wp:positionV>
            <wp:extent cx="26758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Accounting Officer)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Date: May 4, 2015</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NBCUniversal Media, LLC Financial Statements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Borders>
              <w:bottom w:val="single" w:sz="8" w:color="auto"/>
            </w:tcBorders>
            <w:gridSpan w:val="7"/>
          </w:tcPr>
          <w:p>
            <w:pPr>
              <w:spacing w:after="0"/>
              <w:rPr>
                <w:sz w:val="20"/>
                <w:szCs w:val="20"/>
                <w:color w:val="auto"/>
              </w:rPr>
            </w:pPr>
            <w:r>
              <w:rPr>
                <w:rFonts w:ascii="Arial" w:cs="Arial" w:eastAsia="Arial" w:hAnsi="Arial"/>
                <w:sz w:val="14"/>
                <w:szCs w:val="14"/>
                <w:color w:val="auto"/>
              </w:rPr>
              <w:t>Index</w:t>
            </w:r>
          </w:p>
        </w:tc>
        <w:tc>
          <w:tcPr>
            <w:tcW w:w="64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Page</w:t>
            </w:r>
          </w:p>
        </w:tc>
      </w:tr>
      <w:tr>
        <w:trPr>
          <w:trHeight w:val="169"/>
        </w:trPr>
        <w:tc>
          <w:tcPr>
            <w:tcW w:w="5020" w:type="dxa"/>
            <w:vAlign w:val="bottom"/>
            <w:gridSpan w:val="7"/>
          </w:tcPr>
          <w:p>
            <w:pPr>
              <w:spacing w:after="0" w:line="170" w:lineRule="exact"/>
              <w:rPr>
                <w:rFonts w:ascii="Arial" w:cs="Arial" w:eastAsia="Arial" w:hAnsi="Arial"/>
                <w:sz w:val="18"/>
                <w:szCs w:val="18"/>
                <w:color w:val="0000EE"/>
              </w:rPr>
            </w:pPr>
            <w:hyperlink w:anchor="page42">
              <w:r>
                <w:rPr>
                  <w:rFonts w:ascii="Arial" w:cs="Arial" w:eastAsia="Arial" w:hAnsi="Arial"/>
                  <w:sz w:val="18"/>
                  <w:szCs w:val="18"/>
                  <w:color w:val="0000EE"/>
                </w:rPr>
                <w:t>Condensed Consolidated Balance Sheet</w:t>
              </w:r>
            </w:hyperlink>
          </w:p>
        </w:tc>
        <w:tc>
          <w:tcPr>
            <w:tcW w:w="6400" w:type="dxa"/>
            <w:vAlign w:val="bottom"/>
          </w:tcPr>
          <w:p>
            <w:pPr>
              <w:jc w:val="right"/>
              <w:ind w:right="15"/>
              <w:spacing w:after="0" w:line="170" w:lineRule="exact"/>
              <w:rPr>
                <w:sz w:val="20"/>
                <w:szCs w:val="20"/>
                <w:color w:val="auto"/>
              </w:rPr>
            </w:pPr>
            <w:r>
              <w:rPr>
                <w:rFonts w:ascii="Arial" w:cs="Arial" w:eastAsia="Arial" w:hAnsi="Arial"/>
                <w:sz w:val="18"/>
                <w:szCs w:val="18"/>
                <w:color w:val="auto"/>
              </w:rPr>
              <w:t>40</w:t>
            </w:r>
          </w:p>
        </w:tc>
      </w:tr>
      <w:tr>
        <w:trPr>
          <w:trHeight w:val="20"/>
        </w:trPr>
        <w:tc>
          <w:tcPr>
            <w:tcW w:w="28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196"/>
        </w:trPr>
        <w:tc>
          <w:tcPr>
            <w:tcW w:w="5020" w:type="dxa"/>
            <w:vAlign w:val="bottom"/>
            <w:gridSpan w:val="7"/>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Condensed Consolidated Statement of Income</w:t>
              </w:r>
            </w:hyperlink>
          </w:p>
        </w:tc>
        <w:tc>
          <w:tcPr>
            <w:tcW w:w="6400" w:type="dxa"/>
            <w:vAlign w:val="bottom"/>
          </w:tcPr>
          <w:p>
            <w:pPr>
              <w:jc w:val="right"/>
              <w:ind w:right="15"/>
              <w:spacing w:after="0" w:line="196" w:lineRule="exact"/>
              <w:rPr>
                <w:sz w:val="20"/>
                <w:szCs w:val="20"/>
                <w:color w:val="auto"/>
              </w:rPr>
            </w:pPr>
            <w:r>
              <w:rPr>
                <w:rFonts w:ascii="Arial" w:cs="Arial" w:eastAsia="Arial" w:hAnsi="Arial"/>
                <w:sz w:val="18"/>
                <w:szCs w:val="18"/>
                <w:color w:val="auto"/>
              </w:rPr>
              <w:t>41</w:t>
            </w:r>
          </w:p>
        </w:tc>
      </w:tr>
      <w:tr>
        <w:trPr>
          <w:trHeight w:val="20"/>
        </w:trPr>
        <w:tc>
          <w:tcPr>
            <w:tcW w:w="32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196"/>
        </w:trPr>
        <w:tc>
          <w:tcPr>
            <w:tcW w:w="442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Condensed Consolidated Statement of Comprehensive Income</w:t>
              </w:r>
            </w:hyperlink>
          </w:p>
        </w:tc>
        <w:tc>
          <w:tcPr>
            <w:tcW w:w="600" w:type="dxa"/>
            <w:vAlign w:val="bottom"/>
          </w:tcPr>
          <w:p>
            <w:pPr>
              <w:spacing w:after="0"/>
              <w:rPr>
                <w:sz w:val="17"/>
                <w:szCs w:val="17"/>
                <w:color w:val="auto"/>
              </w:rPr>
            </w:pPr>
          </w:p>
        </w:tc>
        <w:tc>
          <w:tcPr>
            <w:tcW w:w="6400" w:type="dxa"/>
            <w:vAlign w:val="bottom"/>
          </w:tcPr>
          <w:p>
            <w:pPr>
              <w:jc w:val="right"/>
              <w:ind w:right="15"/>
              <w:spacing w:after="0" w:line="196" w:lineRule="exact"/>
              <w:rPr>
                <w:sz w:val="20"/>
                <w:szCs w:val="20"/>
                <w:color w:val="auto"/>
              </w:rPr>
            </w:pPr>
            <w:r>
              <w:rPr>
                <w:rFonts w:ascii="Arial" w:cs="Arial" w:eastAsia="Arial" w:hAnsi="Arial"/>
                <w:sz w:val="18"/>
                <w:szCs w:val="18"/>
                <w:color w:val="auto"/>
              </w:rPr>
              <w:t>42</w:t>
            </w:r>
          </w:p>
        </w:tc>
      </w:tr>
      <w:tr>
        <w:trPr>
          <w:trHeight w:val="196"/>
        </w:trPr>
        <w:tc>
          <w:tcPr>
            <w:tcW w:w="5020" w:type="dxa"/>
            <w:vAlign w:val="bottom"/>
            <w:gridSpan w:val="7"/>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Condensed Consolidated Statement of Cash Flows</w:t>
              </w:r>
            </w:hyperlink>
          </w:p>
        </w:tc>
        <w:tc>
          <w:tcPr>
            <w:tcW w:w="6400" w:type="dxa"/>
            <w:vAlign w:val="bottom"/>
          </w:tcPr>
          <w:p>
            <w:pPr>
              <w:jc w:val="right"/>
              <w:ind w:right="15"/>
              <w:spacing w:after="0" w:line="196" w:lineRule="exact"/>
              <w:rPr>
                <w:sz w:val="20"/>
                <w:szCs w:val="20"/>
                <w:color w:val="auto"/>
              </w:rPr>
            </w:pPr>
            <w:r>
              <w:rPr>
                <w:rFonts w:ascii="Arial" w:cs="Arial" w:eastAsia="Arial" w:hAnsi="Arial"/>
                <w:sz w:val="18"/>
                <w:szCs w:val="18"/>
                <w:color w:val="auto"/>
              </w:rPr>
              <w:t>43</w:t>
            </w:r>
          </w:p>
        </w:tc>
      </w:tr>
      <w:tr>
        <w:trPr>
          <w:trHeight w:val="20"/>
        </w:trPr>
        <w:tc>
          <w:tcPr>
            <w:tcW w:w="356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196"/>
        </w:trPr>
        <w:tc>
          <w:tcPr>
            <w:tcW w:w="404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46">
              <w:r>
                <w:rPr>
                  <w:rFonts w:ascii="Arial" w:cs="Arial" w:eastAsia="Arial" w:hAnsi="Arial"/>
                  <w:sz w:val="18"/>
                  <w:szCs w:val="18"/>
                  <w:color w:val="0000EE"/>
                  <w:w w:val="87"/>
                </w:rPr>
                <w:t>Condensed Consolidated Statement of Changes in Equity</w:t>
              </w:r>
            </w:hyperlink>
          </w:p>
        </w:tc>
        <w:tc>
          <w:tcPr>
            <w:tcW w:w="980" w:type="dxa"/>
            <w:vAlign w:val="bottom"/>
            <w:gridSpan w:val="2"/>
          </w:tcPr>
          <w:p>
            <w:pPr>
              <w:spacing w:after="0"/>
              <w:rPr>
                <w:sz w:val="17"/>
                <w:szCs w:val="17"/>
                <w:color w:val="auto"/>
              </w:rPr>
            </w:pPr>
          </w:p>
        </w:tc>
        <w:tc>
          <w:tcPr>
            <w:tcW w:w="6400" w:type="dxa"/>
            <w:vAlign w:val="bottom"/>
          </w:tcPr>
          <w:p>
            <w:pPr>
              <w:jc w:val="right"/>
              <w:ind w:right="15"/>
              <w:spacing w:after="0" w:line="196" w:lineRule="exact"/>
              <w:rPr>
                <w:sz w:val="20"/>
                <w:szCs w:val="20"/>
                <w:color w:val="auto"/>
              </w:rPr>
            </w:pPr>
            <w:r>
              <w:rPr>
                <w:rFonts w:ascii="Arial" w:cs="Arial" w:eastAsia="Arial" w:hAnsi="Arial"/>
                <w:sz w:val="18"/>
                <w:szCs w:val="18"/>
                <w:color w:val="auto"/>
              </w:rPr>
              <w:t>44</w:t>
            </w:r>
          </w:p>
        </w:tc>
      </w:tr>
      <w:tr>
        <w:trPr>
          <w:trHeight w:val="196"/>
        </w:trPr>
        <w:tc>
          <w:tcPr>
            <w:tcW w:w="5020" w:type="dxa"/>
            <w:vAlign w:val="bottom"/>
            <w:gridSpan w:val="7"/>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Notes to Condensed Consolidated Financial Statements</w:t>
              </w:r>
            </w:hyperlink>
          </w:p>
        </w:tc>
        <w:tc>
          <w:tcPr>
            <w:tcW w:w="6400" w:type="dxa"/>
            <w:vAlign w:val="bottom"/>
          </w:tcPr>
          <w:p>
            <w:pPr>
              <w:jc w:val="right"/>
              <w:ind w:right="15"/>
              <w:spacing w:after="0" w:line="196" w:lineRule="exact"/>
              <w:rPr>
                <w:sz w:val="20"/>
                <w:szCs w:val="20"/>
                <w:color w:val="auto"/>
              </w:rPr>
            </w:pPr>
            <w:r>
              <w:rPr>
                <w:rFonts w:ascii="Arial" w:cs="Arial" w:eastAsia="Arial" w:hAnsi="Arial"/>
                <w:sz w:val="18"/>
                <w:szCs w:val="18"/>
                <w:color w:val="auto"/>
              </w:rPr>
              <w:t>45</w:t>
            </w:r>
          </w:p>
        </w:tc>
      </w:tr>
      <w:tr>
        <w:trPr>
          <w:trHeight w:val="61"/>
        </w:trPr>
        <w:tc>
          <w:tcPr>
            <w:tcW w:w="2800" w:type="dxa"/>
            <w:vAlign w:val="bottom"/>
            <w:tcBorders>
              <w:top w:val="single" w:sz="8" w:color="0000EE"/>
              <w:bottom w:val="single" w:sz="8" w:color="auto"/>
            </w:tcBorders>
          </w:tcPr>
          <w:p>
            <w:pPr>
              <w:spacing w:after="0"/>
              <w:rPr>
                <w:sz w:val="5"/>
                <w:szCs w:val="5"/>
                <w:color w:val="auto"/>
              </w:rPr>
            </w:pPr>
          </w:p>
        </w:tc>
        <w:tc>
          <w:tcPr>
            <w:tcW w:w="460" w:type="dxa"/>
            <w:vAlign w:val="bottom"/>
            <w:tcBorders>
              <w:top w:val="single" w:sz="8" w:color="0000EE"/>
              <w:bottom w:val="single" w:sz="8" w:color="auto"/>
            </w:tcBorders>
          </w:tcPr>
          <w:p>
            <w:pPr>
              <w:spacing w:after="0"/>
              <w:rPr>
                <w:sz w:val="5"/>
                <w:szCs w:val="5"/>
                <w:color w:val="auto"/>
              </w:rPr>
            </w:pPr>
          </w:p>
        </w:tc>
        <w:tc>
          <w:tcPr>
            <w:tcW w:w="300" w:type="dxa"/>
            <w:vAlign w:val="bottom"/>
            <w:tcBorders>
              <w:top w:val="single" w:sz="8" w:color="0000EE"/>
              <w:bottom w:val="single" w:sz="8" w:color="auto"/>
            </w:tcBorders>
          </w:tcPr>
          <w:p>
            <w:pPr>
              <w:spacing w:after="0"/>
              <w:rPr>
                <w:sz w:val="5"/>
                <w:szCs w:val="5"/>
                <w:color w:val="auto"/>
              </w:rPr>
            </w:pPr>
          </w:p>
        </w:tc>
        <w:tc>
          <w:tcPr>
            <w:tcW w:w="340" w:type="dxa"/>
            <w:vAlign w:val="bottom"/>
            <w:tcBorders>
              <w:top w:val="single" w:sz="8" w:color="0000EE"/>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6400" w:type="dxa"/>
            <w:vAlign w:val="bottom"/>
            <w:tcBorders>
              <w:bottom w:val="single" w:sz="8" w:color="auto"/>
            </w:tcBorders>
          </w:tcPr>
          <w:p>
            <w:pPr>
              <w:spacing w:after="0"/>
              <w:rPr>
                <w:sz w:val="5"/>
                <w:szCs w:val="5"/>
                <w:color w:val="auto"/>
              </w:rPr>
            </w:pPr>
          </w:p>
        </w:tc>
      </w:tr>
      <w:tr>
        <w:trPr>
          <w:trHeight w:val="383"/>
        </w:trPr>
        <w:tc>
          <w:tcPr>
            <w:tcW w:w="2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0" w:type="dxa"/>
            <w:vAlign w:val="bottom"/>
          </w:tcPr>
          <w:p>
            <w:pPr>
              <w:jc w:val="right"/>
              <w:ind w:right="5515"/>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820" w:type="dxa"/>
            <w:vAlign w:val="bottom"/>
            <w:gridSpan w:val="2"/>
          </w:tcPr>
          <w:p>
            <w:pPr>
              <w:ind w:left="1940"/>
              <w:spacing w:after="0"/>
              <w:rPr>
                <w:sz w:val="20"/>
                <w:szCs w:val="20"/>
                <w:color w:val="auto"/>
              </w:rPr>
            </w:pPr>
            <w:r>
              <w:rPr>
                <w:rFonts w:ascii="Arial" w:cs="Arial" w:eastAsia="Arial" w:hAnsi="Arial"/>
                <w:sz w:val="14"/>
                <w:szCs w:val="14"/>
                <w:color w:val="auto"/>
              </w:rPr>
              <w:t>March 31,</w:t>
            </w:r>
          </w:p>
        </w:tc>
        <w:tc>
          <w:tcPr>
            <w:tcW w:w="1120" w:type="dxa"/>
            <w:vAlign w:val="bottom"/>
            <w:gridSpan w:val="2"/>
          </w:tcPr>
          <w:p>
            <w:pPr>
              <w:ind w:left="240"/>
              <w:spacing w:after="0"/>
              <w:rPr>
                <w:sz w:val="20"/>
                <w:szCs w:val="20"/>
                <w:color w:val="auto"/>
              </w:rPr>
            </w:pPr>
            <w:r>
              <w:rPr>
                <w:rFonts w:ascii="Arial" w:cs="Arial" w:eastAsia="Arial" w:hAnsi="Arial"/>
                <w:sz w:val="14"/>
                <w:szCs w:val="14"/>
                <w:color w:val="auto"/>
                <w:w w:val="97"/>
              </w:rPr>
              <w:t>December 31,</w:t>
            </w:r>
          </w:p>
        </w:tc>
      </w:tr>
      <w:tr>
        <w:trPr>
          <w:trHeight w:val="159"/>
        </w:trPr>
        <w:tc>
          <w:tcPr>
            <w:tcW w:w="748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2020" w:type="dxa"/>
            <w:vAlign w:val="bottom"/>
          </w:tcPr>
          <w:p>
            <w:pPr>
              <w:spacing w:after="0"/>
              <w:rPr>
                <w:sz w:val="13"/>
                <w:szCs w:val="13"/>
                <w:color w:val="auto"/>
              </w:rPr>
            </w:pPr>
          </w:p>
        </w:tc>
        <w:tc>
          <w:tcPr>
            <w:tcW w:w="800" w:type="dxa"/>
            <w:vAlign w:val="bottom"/>
          </w:tcPr>
          <w:p>
            <w:pPr>
              <w:jc w:val="right"/>
              <w:ind w:right="373"/>
              <w:spacing w:after="0" w:line="159" w:lineRule="exact"/>
              <w:rPr>
                <w:sz w:val="20"/>
                <w:szCs w:val="20"/>
                <w:color w:val="auto"/>
              </w:rPr>
            </w:pPr>
            <w:r>
              <w:rPr>
                <w:rFonts w:ascii="Arial" w:cs="Arial" w:eastAsia="Arial" w:hAnsi="Arial"/>
                <w:sz w:val="14"/>
                <w:szCs w:val="14"/>
                <w:color w:val="auto"/>
              </w:rPr>
              <w:t>2015</w:t>
            </w:r>
          </w:p>
        </w:tc>
        <w:tc>
          <w:tcPr>
            <w:tcW w:w="420" w:type="dxa"/>
            <w:vAlign w:val="bottom"/>
          </w:tcPr>
          <w:p>
            <w:pPr>
              <w:spacing w:after="0"/>
              <w:rPr>
                <w:sz w:val="13"/>
                <w:szCs w:val="13"/>
                <w:color w:val="auto"/>
              </w:rPr>
            </w:pPr>
          </w:p>
        </w:tc>
        <w:tc>
          <w:tcPr>
            <w:tcW w:w="700" w:type="dxa"/>
            <w:vAlign w:val="bottom"/>
          </w:tcPr>
          <w:p>
            <w:pPr>
              <w:jc w:val="right"/>
              <w:ind w:right="273"/>
              <w:spacing w:after="0" w:line="159" w:lineRule="exact"/>
              <w:rPr>
                <w:sz w:val="20"/>
                <w:szCs w:val="20"/>
                <w:color w:val="auto"/>
              </w:rPr>
            </w:pPr>
            <w:r>
              <w:rPr>
                <w:rFonts w:ascii="Arial" w:cs="Arial" w:eastAsia="Arial" w:hAnsi="Arial"/>
                <w:sz w:val="14"/>
                <w:szCs w:val="14"/>
                <w:color w:val="auto"/>
              </w:rPr>
              <w:t>2014</w:t>
            </w:r>
          </w:p>
        </w:tc>
      </w:tr>
      <w:tr>
        <w:trPr>
          <w:trHeight w:val="210"/>
        </w:trPr>
        <w:tc>
          <w:tcPr>
            <w:tcW w:w="20" w:type="dxa"/>
            <w:vAlign w:val="bottom"/>
          </w:tcPr>
          <w:p>
            <w:pPr>
              <w:spacing w:after="0"/>
              <w:rPr>
                <w:sz w:val="18"/>
                <w:szCs w:val="18"/>
                <w:color w:val="auto"/>
              </w:rPr>
            </w:pPr>
          </w:p>
        </w:tc>
        <w:tc>
          <w:tcPr>
            <w:tcW w:w="74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202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4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Current Assets:</w:t>
            </w:r>
          </w:p>
        </w:tc>
        <w:tc>
          <w:tcPr>
            <w:tcW w:w="2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2020" w:type="dxa"/>
            <w:vAlign w:val="bottom"/>
            <w:shd w:val="clear" w:color="auto" w:fill="E5E5E5"/>
          </w:tcPr>
          <w:p>
            <w:pPr>
              <w:ind w:left="19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1,036</w:t>
            </w:r>
          </w:p>
        </w:tc>
        <w:tc>
          <w:tcPr>
            <w:tcW w:w="42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1,248</w:t>
            </w: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202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4,891</w:t>
            </w:r>
          </w:p>
        </w:tc>
        <w:tc>
          <w:tcPr>
            <w:tcW w:w="4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4,842</w:t>
            </w: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Note receivable from Comcast</w:t>
            </w:r>
          </w:p>
        </w:tc>
        <w:tc>
          <w:tcPr>
            <w:tcW w:w="20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135</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Programming rights</w:t>
            </w:r>
          </w:p>
        </w:tc>
        <w:tc>
          <w:tcPr>
            <w:tcW w:w="202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925</w:t>
            </w:r>
          </w:p>
        </w:tc>
        <w:tc>
          <w:tcPr>
            <w:tcW w:w="4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825</w:t>
            </w: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 current assets</w:t>
            </w:r>
          </w:p>
        </w:tc>
        <w:tc>
          <w:tcPr>
            <w:tcW w:w="20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805</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823</w:t>
            </w:r>
          </w:p>
        </w:tc>
      </w:tr>
      <w:tr>
        <w:trPr>
          <w:trHeight w:val="210"/>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Total current assets</w:t>
            </w:r>
          </w:p>
        </w:tc>
        <w:tc>
          <w:tcPr>
            <w:tcW w:w="202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7,792</w:t>
            </w:r>
          </w:p>
        </w:tc>
        <w:tc>
          <w:tcPr>
            <w:tcW w:w="4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7,738</w:t>
            </w: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color w:val="auto"/>
              </w:rPr>
              <w:t>Film and television costs</w:t>
            </w:r>
          </w:p>
        </w:tc>
        <w:tc>
          <w:tcPr>
            <w:tcW w:w="20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5,628</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5,714</w:t>
            </w: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Investments</w:t>
            </w:r>
          </w:p>
        </w:tc>
        <w:tc>
          <w:tcPr>
            <w:tcW w:w="202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953</w:t>
            </w:r>
          </w:p>
        </w:tc>
        <w:tc>
          <w:tcPr>
            <w:tcW w:w="4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882</w:t>
            </w: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 of accumulated depreciation of $2,309 and $2,167</w:t>
            </w:r>
          </w:p>
        </w:tc>
        <w:tc>
          <w:tcPr>
            <w:tcW w:w="20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8,209</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8,138</w:t>
            </w: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Goodwill</w:t>
            </w:r>
          </w:p>
        </w:tc>
        <w:tc>
          <w:tcPr>
            <w:tcW w:w="202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w w:val="83"/>
              </w:rPr>
              <w:t>14,897</w:t>
            </w:r>
          </w:p>
        </w:tc>
        <w:tc>
          <w:tcPr>
            <w:tcW w:w="4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14,908</w:t>
            </w: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color w:val="auto"/>
              </w:rPr>
              <w:t>Intangible assets, net of accumulated amortization of $5,027 and $4,829</w:t>
            </w:r>
          </w:p>
        </w:tc>
        <w:tc>
          <w:tcPr>
            <w:tcW w:w="20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w w:val="83"/>
              </w:rPr>
              <w:t>14,006</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14,187</w:t>
            </w: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 net</w:t>
            </w:r>
          </w:p>
        </w:tc>
        <w:tc>
          <w:tcPr>
            <w:tcW w:w="20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1,061</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1,050</w:t>
            </w:r>
          </w:p>
        </w:tc>
      </w:tr>
      <w:tr>
        <w:trPr>
          <w:trHeight w:val="217"/>
        </w:trPr>
        <w:tc>
          <w:tcPr>
            <w:tcW w:w="20" w:type="dxa"/>
            <w:vAlign w:val="bottom"/>
          </w:tcPr>
          <w:p>
            <w:pPr>
              <w:spacing w:after="0"/>
              <w:rPr>
                <w:sz w:val="18"/>
                <w:szCs w:val="18"/>
                <w:color w:val="auto"/>
              </w:rPr>
            </w:pPr>
          </w:p>
        </w:tc>
        <w:tc>
          <w:tcPr>
            <w:tcW w:w="7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assets</w:t>
            </w:r>
          </w:p>
        </w:tc>
        <w:tc>
          <w:tcPr>
            <w:tcW w:w="2020" w:type="dxa"/>
            <w:vAlign w:val="bottom"/>
            <w:tcBorders>
              <w:bottom w:val="single" w:sz="8" w:color="auto"/>
            </w:tcBorders>
            <w:shd w:val="clear" w:color="auto" w:fill="E5E5E5"/>
          </w:tcPr>
          <w:p>
            <w:pPr>
              <w:ind w:left="192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b w:val="1"/>
                <w:bCs w:val="1"/>
                <w:color w:val="auto"/>
                <w:w w:val="83"/>
              </w:rPr>
              <w:t>52,546</w:t>
            </w:r>
          </w:p>
        </w:tc>
        <w:tc>
          <w:tcPr>
            <w:tcW w:w="42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52,617</w:t>
            </w:r>
          </w:p>
        </w:tc>
      </w:tr>
      <w:tr>
        <w:trPr>
          <w:trHeight w:val="309"/>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Equity</w:t>
            </w:r>
          </w:p>
        </w:tc>
        <w:tc>
          <w:tcPr>
            <w:tcW w:w="2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color w:val="auto"/>
              </w:rPr>
              <w:t>Current Liabilities:</w:t>
            </w:r>
          </w:p>
        </w:tc>
        <w:tc>
          <w:tcPr>
            <w:tcW w:w="20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Accounts payable and accrued expenses related to trade creditors</w:t>
            </w:r>
          </w:p>
        </w:tc>
        <w:tc>
          <w:tcPr>
            <w:tcW w:w="2020" w:type="dxa"/>
            <w:vAlign w:val="bottom"/>
          </w:tcPr>
          <w:p>
            <w:pPr>
              <w:ind w:left="192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1,382</w:t>
            </w:r>
          </w:p>
        </w:tc>
        <w:tc>
          <w:tcPr>
            <w:tcW w:w="420" w:type="dxa"/>
            <w:vAlign w:val="bottom"/>
          </w:tcPr>
          <w:p>
            <w:pPr>
              <w:ind w:left="2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1,388</w:t>
            </w: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Accrued participations and residuals</w:t>
            </w:r>
          </w:p>
        </w:tc>
        <w:tc>
          <w:tcPr>
            <w:tcW w:w="20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1,387</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1,347</w:t>
            </w: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Program obligations</w:t>
            </w:r>
          </w:p>
        </w:tc>
        <w:tc>
          <w:tcPr>
            <w:tcW w:w="202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835</w:t>
            </w:r>
          </w:p>
        </w:tc>
        <w:tc>
          <w:tcPr>
            <w:tcW w:w="4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687</w:t>
            </w: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Deferred revenue</w:t>
            </w:r>
          </w:p>
        </w:tc>
        <w:tc>
          <w:tcPr>
            <w:tcW w:w="20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880</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821</w:t>
            </w: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202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1,427</w:t>
            </w:r>
          </w:p>
        </w:tc>
        <w:tc>
          <w:tcPr>
            <w:tcW w:w="4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1,422</w:t>
            </w: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Note payable to Comcast</w:t>
            </w:r>
          </w:p>
        </w:tc>
        <w:tc>
          <w:tcPr>
            <w:tcW w:w="20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865</w:t>
            </w: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Current portion of long-term debt</w:t>
            </w:r>
          </w:p>
        </w:tc>
        <w:tc>
          <w:tcPr>
            <w:tcW w:w="20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1,020</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1,023</w:t>
            </w:r>
          </w:p>
        </w:tc>
      </w:tr>
      <w:tr>
        <w:trPr>
          <w:trHeight w:val="210"/>
        </w:trPr>
        <w:tc>
          <w:tcPr>
            <w:tcW w:w="20" w:type="dxa"/>
            <w:vAlign w:val="bottom"/>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color w:val="auto"/>
              </w:rPr>
              <w:t>Total current liabilities</w:t>
            </w:r>
          </w:p>
        </w:tc>
        <w:tc>
          <w:tcPr>
            <w:tcW w:w="20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6,931</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7,553</w:t>
            </w: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202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9,225</w:t>
            </w:r>
          </w:p>
        </w:tc>
        <w:tc>
          <w:tcPr>
            <w:tcW w:w="4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9,226</w:t>
            </w: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color w:val="auto"/>
              </w:rPr>
              <w:t>Accrued participations, residuals and program obligations</w:t>
            </w:r>
          </w:p>
        </w:tc>
        <w:tc>
          <w:tcPr>
            <w:tcW w:w="20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1,125</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1,149</w:t>
            </w: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02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3,692</w:t>
            </w:r>
          </w:p>
        </w:tc>
        <w:tc>
          <w:tcPr>
            <w:tcW w:w="4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3,722</w:t>
            </w: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color w:val="auto"/>
              </w:rPr>
              <w:t>Commitments and contingencies</w:t>
            </w:r>
          </w:p>
        </w:tc>
        <w:tc>
          <w:tcPr>
            <w:tcW w:w="20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Redeemable noncontrolling interests</w:t>
            </w:r>
          </w:p>
        </w:tc>
        <w:tc>
          <w:tcPr>
            <w:tcW w:w="202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336</w:t>
            </w:r>
          </w:p>
        </w:tc>
        <w:tc>
          <w:tcPr>
            <w:tcW w:w="4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330</w:t>
            </w: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color w:val="auto"/>
              </w:rPr>
              <w:t>Equity:</w:t>
            </w:r>
          </w:p>
        </w:tc>
        <w:tc>
          <w:tcPr>
            <w:tcW w:w="20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Member’s capital</w:t>
            </w:r>
          </w:p>
        </w:tc>
        <w:tc>
          <w:tcPr>
            <w:tcW w:w="202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w w:val="83"/>
              </w:rPr>
              <w:t>31,185</w:t>
            </w:r>
          </w:p>
        </w:tc>
        <w:tc>
          <w:tcPr>
            <w:tcW w:w="4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30,529</w:t>
            </w: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20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(210)</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(159)</w:t>
            </w:r>
          </w:p>
        </w:tc>
      </w:tr>
      <w:tr>
        <w:trPr>
          <w:trHeight w:val="210"/>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Total NBCUniversal member’s equity</w:t>
            </w:r>
          </w:p>
        </w:tc>
        <w:tc>
          <w:tcPr>
            <w:tcW w:w="202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w w:val="83"/>
              </w:rPr>
              <w:t>30,975</w:t>
            </w:r>
          </w:p>
        </w:tc>
        <w:tc>
          <w:tcPr>
            <w:tcW w:w="4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30,370</w:t>
            </w: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Noncontrolling interests</w:t>
            </w:r>
          </w:p>
        </w:tc>
        <w:tc>
          <w:tcPr>
            <w:tcW w:w="20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262</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267</w:t>
            </w:r>
          </w:p>
        </w:tc>
      </w:tr>
      <w:tr>
        <w:trPr>
          <w:trHeight w:val="210"/>
        </w:trPr>
        <w:tc>
          <w:tcPr>
            <w:tcW w:w="20" w:type="dxa"/>
            <w:vAlign w:val="bottom"/>
          </w:tcPr>
          <w:p>
            <w:pPr>
              <w:spacing w:after="0"/>
              <w:rPr>
                <w:sz w:val="18"/>
                <w:szCs w:val="18"/>
                <w:color w:val="auto"/>
              </w:rPr>
            </w:pPr>
          </w:p>
        </w:tc>
        <w:tc>
          <w:tcPr>
            <w:tcW w:w="7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equity</w:t>
            </w:r>
          </w:p>
        </w:tc>
        <w:tc>
          <w:tcPr>
            <w:tcW w:w="20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w w:val="83"/>
              </w:rPr>
              <w:t>31,237</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30,637</w:t>
            </w:r>
          </w:p>
        </w:tc>
      </w:tr>
      <w:tr>
        <w:trPr>
          <w:trHeight w:val="217"/>
        </w:trPr>
        <w:tc>
          <w:tcPr>
            <w:tcW w:w="20" w:type="dxa"/>
            <w:vAlign w:val="bottom"/>
          </w:tcPr>
          <w:p>
            <w:pPr>
              <w:spacing w:after="0"/>
              <w:rPr>
                <w:sz w:val="18"/>
                <w:szCs w:val="18"/>
                <w:color w:val="auto"/>
              </w:rPr>
            </w:pPr>
          </w:p>
        </w:tc>
        <w:tc>
          <w:tcPr>
            <w:tcW w:w="7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liabilities and equity</w:t>
            </w:r>
          </w:p>
        </w:tc>
        <w:tc>
          <w:tcPr>
            <w:tcW w:w="2020" w:type="dxa"/>
            <w:vAlign w:val="bottom"/>
            <w:tcBorders>
              <w:bottom w:val="single" w:sz="8" w:color="auto"/>
            </w:tcBorders>
            <w:shd w:val="clear" w:color="auto" w:fill="E5E5E5"/>
          </w:tcPr>
          <w:p>
            <w:pPr>
              <w:ind w:left="192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b w:val="1"/>
                <w:bCs w:val="1"/>
                <w:color w:val="auto"/>
                <w:w w:val="83"/>
              </w:rPr>
              <w:t>52,546</w:t>
            </w:r>
          </w:p>
        </w:tc>
        <w:tc>
          <w:tcPr>
            <w:tcW w:w="42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52,617</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20" w:type="dxa"/>
            <w:vAlign w:val="bottom"/>
            <w:gridSpan w:val="3"/>
          </w:tcPr>
          <w:p>
            <w:pPr>
              <w:jc w:val="right"/>
              <w:ind w:right="253"/>
              <w:spacing w:after="0"/>
              <w:rPr>
                <w:sz w:val="20"/>
                <w:szCs w:val="20"/>
                <w:color w:val="auto"/>
              </w:rPr>
            </w:pPr>
            <w:r>
              <w:rPr>
                <w:rFonts w:ascii="Arial" w:cs="Arial" w:eastAsia="Arial" w:hAnsi="Arial"/>
                <w:sz w:val="14"/>
                <w:szCs w:val="14"/>
                <w:color w:val="auto"/>
                <w:w w:val="88"/>
              </w:rPr>
              <w:t>Three Months Ended</w:t>
            </w:r>
          </w:p>
        </w:tc>
        <w:tc>
          <w:tcPr>
            <w:tcW w:w="0" w:type="dxa"/>
            <w:vAlign w:val="bottom"/>
          </w:tcPr>
          <w:p>
            <w:pPr>
              <w:spacing w:after="0"/>
              <w:rPr>
                <w:sz w:val="1"/>
                <w:szCs w:val="1"/>
                <w:color w:val="auto"/>
              </w:rPr>
            </w:pPr>
          </w:p>
        </w:tc>
      </w:tr>
      <w:tr>
        <w:trPr>
          <w:trHeight w:val="159"/>
        </w:trPr>
        <w:tc>
          <w:tcPr>
            <w:tcW w:w="93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March 31</w:t>
            </w: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36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jc w:val="right"/>
              <w:ind w:right="255"/>
              <w:spacing w:after="0" w:line="142" w:lineRule="exact"/>
              <w:rPr>
                <w:sz w:val="20"/>
                <w:szCs w:val="20"/>
                <w:color w:val="auto"/>
              </w:rPr>
            </w:pPr>
            <w:r>
              <w:rPr>
                <w:rFonts w:ascii="Arial" w:cs="Arial" w:eastAsia="Arial" w:hAnsi="Arial"/>
                <w:sz w:val="14"/>
                <w:szCs w:val="14"/>
                <w:color w:val="auto"/>
                <w:w w:val="89"/>
              </w:rPr>
              <w:t>2015</w:t>
            </w:r>
          </w:p>
        </w:tc>
        <w:tc>
          <w:tcPr>
            <w:tcW w:w="240" w:type="dxa"/>
            <w:vAlign w:val="bottom"/>
          </w:tcPr>
          <w:p>
            <w:pPr>
              <w:spacing w:after="0"/>
              <w:rPr>
                <w:sz w:val="12"/>
                <w:szCs w:val="12"/>
                <w:color w:val="auto"/>
              </w:rPr>
            </w:pPr>
          </w:p>
        </w:tc>
        <w:tc>
          <w:tcPr>
            <w:tcW w:w="640" w:type="dxa"/>
            <w:vAlign w:val="bottom"/>
          </w:tcPr>
          <w:p>
            <w:pPr>
              <w:jc w:val="right"/>
              <w:ind w:right="273"/>
              <w:spacing w:after="0" w:line="142" w:lineRule="exact"/>
              <w:rPr>
                <w:sz w:val="20"/>
                <w:szCs w:val="20"/>
                <w:color w:val="auto"/>
              </w:rPr>
            </w:pPr>
            <w:r>
              <w:rPr>
                <w:rFonts w:ascii="Arial" w:cs="Arial" w:eastAsia="Arial" w:hAnsi="Arial"/>
                <w:sz w:val="14"/>
                <w:szCs w:val="14"/>
                <w:color w:val="auto"/>
                <w:w w:val="83"/>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w w:val="93"/>
              </w:rPr>
              <w:t>6,604</w:t>
            </w:r>
          </w:p>
        </w:tc>
        <w:tc>
          <w:tcPr>
            <w:tcW w:w="2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w w:val="88"/>
              </w:rPr>
              <w:t>6,876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Costs and Expenses:</w:t>
            </w: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w w:val="93"/>
              </w:rPr>
              <w:t>3,171</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w w:val="88"/>
              </w:rPr>
              <w:t>3,742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540" w:type="dxa"/>
            <w:vAlign w:val="bottom"/>
          </w:tcPr>
          <w:p>
            <w:pPr>
              <w:spacing w:after="0"/>
              <w:rPr>
                <w:sz w:val="18"/>
                <w:szCs w:val="18"/>
                <w:color w:val="auto"/>
              </w:rPr>
            </w:pPr>
          </w:p>
        </w:tc>
        <w:tc>
          <w:tcPr>
            <w:tcW w:w="640" w:type="dxa"/>
            <w:vAlign w:val="bottom"/>
          </w:tcPr>
          <w:p>
            <w:pPr>
              <w:jc w:val="right"/>
              <w:ind w:right="115"/>
              <w:spacing w:after="0"/>
              <w:rPr>
                <w:sz w:val="20"/>
                <w:szCs w:val="20"/>
                <w:color w:val="auto"/>
              </w:rPr>
            </w:pPr>
            <w:r>
              <w:rPr>
                <w:rFonts w:ascii="Arial" w:cs="Arial" w:eastAsia="Arial" w:hAnsi="Arial"/>
                <w:sz w:val="18"/>
                <w:szCs w:val="18"/>
                <w:color w:val="auto"/>
                <w:w w:val="93"/>
              </w:rPr>
              <w:t>1,334</w:t>
            </w:r>
          </w:p>
        </w:tc>
        <w:tc>
          <w:tcPr>
            <w:tcW w:w="240" w:type="dxa"/>
            <w:vAlign w:val="bottom"/>
          </w:tcPr>
          <w:p>
            <w:pPr>
              <w:spacing w:after="0"/>
              <w:rPr>
                <w:sz w:val="18"/>
                <w:szCs w:val="18"/>
                <w:color w:val="auto"/>
              </w:rPr>
            </w:pPr>
          </w:p>
        </w:tc>
        <w:tc>
          <w:tcPr>
            <w:tcW w:w="640" w:type="dxa"/>
            <w:vAlign w:val="bottom"/>
          </w:tcPr>
          <w:p>
            <w:pPr>
              <w:jc w:val="right"/>
              <w:ind w:right="133"/>
              <w:spacing w:after="0"/>
              <w:rPr>
                <w:sz w:val="20"/>
                <w:szCs w:val="20"/>
                <w:color w:val="auto"/>
              </w:rPr>
            </w:pPr>
            <w:r>
              <w:rPr>
                <w:rFonts w:ascii="Arial" w:cs="Arial" w:eastAsia="Arial" w:hAnsi="Arial"/>
                <w:sz w:val="18"/>
                <w:szCs w:val="18"/>
                <w:color w:val="auto"/>
                <w:w w:val="88"/>
              </w:rPr>
              <w:t>1,274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605</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540" w:type="dxa"/>
            <w:vAlign w:val="bottom"/>
          </w:tcPr>
          <w:p>
            <w:pPr>
              <w:spacing w:after="0"/>
              <w:rPr>
                <w:sz w:val="18"/>
                <w:szCs w:val="18"/>
                <w:color w:val="auto"/>
              </w:rPr>
            </w:pPr>
          </w:p>
        </w:tc>
        <w:tc>
          <w:tcPr>
            <w:tcW w:w="640" w:type="dxa"/>
            <w:vAlign w:val="bottom"/>
          </w:tcPr>
          <w:p>
            <w:pPr>
              <w:jc w:val="right"/>
              <w:ind w:right="115"/>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18"/>
                <w:szCs w:val="18"/>
                <w:color w:val="auto"/>
              </w:rPr>
            </w:pPr>
          </w:p>
        </w:tc>
        <w:tc>
          <w:tcPr>
            <w:tcW w:w="640" w:type="dxa"/>
            <w:vAlign w:val="bottom"/>
          </w:tcPr>
          <w:p>
            <w:pPr>
              <w:jc w:val="right"/>
              <w:ind w:right="133"/>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204</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w w:val="93"/>
              </w:rPr>
              <w:t>5,474</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88"/>
              </w:rPr>
              <w:t>5,930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w w:val="93"/>
              </w:rPr>
              <w:t>1,130</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Other Income (Expense):</w:t>
            </w: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Investment income (loss), net</w:t>
            </w:r>
          </w:p>
        </w:tc>
        <w:tc>
          <w:tcPr>
            <w:tcW w:w="540" w:type="dxa"/>
            <w:vAlign w:val="bottom"/>
          </w:tcPr>
          <w:p>
            <w:pPr>
              <w:spacing w:after="0"/>
              <w:rPr>
                <w:sz w:val="18"/>
                <w:szCs w:val="18"/>
                <w:color w:val="auto"/>
              </w:rPr>
            </w:pPr>
          </w:p>
        </w:tc>
        <w:tc>
          <w:tcPr>
            <w:tcW w:w="640" w:type="dxa"/>
            <w:vAlign w:val="bottom"/>
          </w:tcPr>
          <w:p>
            <w:pPr>
              <w:jc w:val="right"/>
              <w:ind w:right="55"/>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640" w:type="dxa"/>
            <w:vAlign w:val="bottom"/>
          </w:tcPr>
          <w:p>
            <w:pPr>
              <w:jc w:val="right"/>
              <w:ind w:right="13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(losses) of investees, net</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20</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(58)</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rPr>
              <w:t>(164)</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540" w:type="dxa"/>
            <w:vAlign w:val="bottom"/>
          </w:tcPr>
          <w:p>
            <w:pPr>
              <w:spacing w:after="0"/>
              <w:rPr>
                <w:sz w:val="18"/>
                <w:szCs w:val="18"/>
                <w:color w:val="auto"/>
              </w:rPr>
            </w:pPr>
          </w:p>
        </w:tc>
        <w:tc>
          <w:tcPr>
            <w:tcW w:w="640" w:type="dxa"/>
            <w:vAlign w:val="bottom"/>
          </w:tcPr>
          <w:p>
            <w:pPr>
              <w:jc w:val="right"/>
              <w:ind w:right="115"/>
              <w:spacing w:after="0"/>
              <w:rPr>
                <w:sz w:val="20"/>
                <w:szCs w:val="20"/>
                <w:color w:val="auto"/>
              </w:rPr>
            </w:pPr>
            <w:r>
              <w:rPr>
                <w:rFonts w:ascii="Arial" w:cs="Arial" w:eastAsia="Arial" w:hAnsi="Arial"/>
                <w:sz w:val="18"/>
                <w:szCs w:val="18"/>
                <w:color w:val="auto"/>
              </w:rPr>
              <w:t>966</w:t>
            </w:r>
          </w:p>
        </w:tc>
        <w:tc>
          <w:tcPr>
            <w:tcW w:w="240" w:type="dxa"/>
            <w:vAlign w:val="bottom"/>
          </w:tcPr>
          <w:p>
            <w:pPr>
              <w:spacing w:after="0"/>
              <w:rPr>
                <w:sz w:val="18"/>
                <w:szCs w:val="18"/>
                <w:color w:val="auto"/>
              </w:rPr>
            </w:pPr>
          </w:p>
        </w:tc>
        <w:tc>
          <w:tcPr>
            <w:tcW w:w="640" w:type="dxa"/>
            <w:vAlign w:val="bottom"/>
          </w:tcPr>
          <w:p>
            <w:pPr>
              <w:jc w:val="right"/>
              <w:ind w:right="133"/>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rPr>
              <w:t>(48)</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Net income</w:t>
            </w:r>
          </w:p>
        </w:tc>
        <w:tc>
          <w:tcPr>
            <w:tcW w:w="540" w:type="dxa"/>
            <w:vAlign w:val="bottom"/>
          </w:tcPr>
          <w:p>
            <w:pPr>
              <w:spacing w:after="0"/>
              <w:rPr>
                <w:sz w:val="18"/>
                <w:szCs w:val="18"/>
                <w:color w:val="auto"/>
              </w:rPr>
            </w:pPr>
          </w:p>
        </w:tc>
        <w:tc>
          <w:tcPr>
            <w:tcW w:w="640" w:type="dxa"/>
            <w:vAlign w:val="bottom"/>
          </w:tcPr>
          <w:p>
            <w:pPr>
              <w:jc w:val="right"/>
              <w:ind w:right="115"/>
              <w:spacing w:after="0"/>
              <w:rPr>
                <w:sz w:val="20"/>
                <w:szCs w:val="20"/>
                <w:color w:val="auto"/>
              </w:rPr>
            </w:pPr>
            <w:r>
              <w:rPr>
                <w:rFonts w:ascii="Arial" w:cs="Arial" w:eastAsia="Arial" w:hAnsi="Arial"/>
                <w:sz w:val="18"/>
                <w:szCs w:val="18"/>
                <w:color w:val="auto"/>
              </w:rPr>
              <w:t>918</w:t>
            </w:r>
          </w:p>
        </w:tc>
        <w:tc>
          <w:tcPr>
            <w:tcW w:w="240" w:type="dxa"/>
            <w:vAlign w:val="bottom"/>
          </w:tcPr>
          <w:p>
            <w:pPr>
              <w:spacing w:after="0"/>
              <w:rPr>
                <w:sz w:val="18"/>
                <w:szCs w:val="18"/>
                <w:color w:val="auto"/>
              </w:rPr>
            </w:pPr>
          </w:p>
        </w:tc>
        <w:tc>
          <w:tcPr>
            <w:tcW w:w="640" w:type="dxa"/>
            <w:vAlign w:val="bottom"/>
          </w:tcPr>
          <w:p>
            <w:pPr>
              <w:jc w:val="right"/>
              <w:ind w:right="133"/>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rPr>
              <w:t>(66)</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9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NBCUniversal</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rPr>
              <w:t>852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682</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20" w:type="dxa"/>
            <w:vAlign w:val="bottom"/>
            <w:gridSpan w:val="3"/>
          </w:tcPr>
          <w:p>
            <w:pPr>
              <w:jc w:val="right"/>
              <w:ind w:right="315"/>
              <w:spacing w:after="0"/>
              <w:rPr>
                <w:sz w:val="20"/>
                <w:szCs w:val="20"/>
                <w:color w:val="auto"/>
              </w:rPr>
            </w:pPr>
            <w:r>
              <w:rPr>
                <w:rFonts w:ascii="Arial" w:cs="Arial" w:eastAsia="Arial" w:hAnsi="Arial"/>
                <w:sz w:val="14"/>
                <w:szCs w:val="14"/>
                <w:color w:val="auto"/>
                <w:w w:val="99"/>
              </w:rPr>
              <w:t>Three Months Ended</w:t>
            </w:r>
          </w:p>
        </w:tc>
        <w:tc>
          <w:tcPr>
            <w:tcW w:w="0" w:type="dxa"/>
            <w:vAlign w:val="bottom"/>
          </w:tcPr>
          <w:p>
            <w:pPr>
              <w:spacing w:after="0"/>
              <w:rPr>
                <w:sz w:val="1"/>
                <w:szCs w:val="1"/>
                <w:color w:val="auto"/>
              </w:rPr>
            </w:pPr>
          </w:p>
        </w:tc>
      </w:tr>
      <w:tr>
        <w:trPr>
          <w:trHeight w:val="159"/>
        </w:trPr>
        <w:tc>
          <w:tcPr>
            <w:tcW w:w="90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6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99"/>
              <w:spacing w:after="0" w:line="159" w:lineRule="exact"/>
              <w:rPr>
                <w:sz w:val="20"/>
                <w:szCs w:val="20"/>
                <w:color w:val="auto"/>
              </w:rPr>
            </w:pPr>
            <w:r>
              <w:rPr>
                <w:rFonts w:ascii="Arial" w:cs="Arial" w:eastAsia="Arial" w:hAnsi="Arial"/>
                <w:sz w:val="14"/>
                <w:szCs w:val="14"/>
                <w:color w:val="auto"/>
                <w:w w:val="85"/>
              </w:rPr>
              <w:t>March 31</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04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jc w:val="right"/>
              <w:ind w:right="117"/>
              <w:spacing w:after="0" w:line="142" w:lineRule="exact"/>
              <w:rPr>
                <w:sz w:val="20"/>
                <w:szCs w:val="20"/>
                <w:color w:val="auto"/>
              </w:rPr>
            </w:pPr>
            <w:r>
              <w:rPr>
                <w:rFonts w:ascii="Arial" w:cs="Arial" w:eastAsia="Arial" w:hAnsi="Arial"/>
                <w:sz w:val="14"/>
                <w:szCs w:val="14"/>
                <w:color w:val="auto"/>
                <w:w w:val="83"/>
              </w:rPr>
              <w:t>2015</w:t>
            </w:r>
          </w:p>
        </w:tc>
        <w:tc>
          <w:tcPr>
            <w:tcW w:w="700" w:type="dxa"/>
            <w:vAlign w:val="bottom"/>
          </w:tcPr>
          <w:p>
            <w:pPr>
              <w:spacing w:after="0"/>
              <w:rPr>
                <w:sz w:val="12"/>
                <w:szCs w:val="12"/>
                <w:color w:val="auto"/>
              </w:rPr>
            </w:pPr>
          </w:p>
        </w:tc>
        <w:tc>
          <w:tcPr>
            <w:tcW w:w="540" w:type="dxa"/>
            <w:vAlign w:val="bottom"/>
          </w:tcPr>
          <w:p>
            <w:pPr>
              <w:jc w:val="right"/>
              <w:ind w:right="155"/>
              <w:spacing w:after="0" w:line="142" w:lineRule="exact"/>
              <w:rPr>
                <w:sz w:val="20"/>
                <w:szCs w:val="20"/>
                <w:color w:val="auto"/>
              </w:rPr>
            </w:pPr>
            <w:r>
              <w:rPr>
                <w:rFonts w:ascii="Arial" w:cs="Arial" w:eastAsia="Arial" w:hAnsi="Arial"/>
                <w:sz w:val="14"/>
                <w:szCs w:val="14"/>
                <w:color w:val="auto"/>
                <w:w w:val="89"/>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w:t>
            </w:r>
          </w:p>
        </w:tc>
        <w:tc>
          <w:tcPr>
            <w:tcW w:w="6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918</w:t>
            </w:r>
          </w:p>
        </w:tc>
        <w:tc>
          <w:tcPr>
            <w:tcW w:w="7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Deferred gains (losses) on cash flow hedges, net</w:t>
            </w:r>
          </w:p>
        </w:tc>
        <w:tc>
          <w:tcPr>
            <w:tcW w:w="6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700" w:type="dxa"/>
            <w:vAlign w:val="bottom"/>
          </w:tcPr>
          <w:p>
            <w:pPr>
              <w:spacing w:after="0"/>
              <w:rPr>
                <w:sz w:val="18"/>
                <w:szCs w:val="18"/>
                <w:color w:val="auto"/>
              </w:rPr>
            </w:pPr>
          </w:p>
        </w:tc>
        <w:tc>
          <w:tcPr>
            <w:tcW w:w="5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Currency translation adjustments, net</w:t>
            </w:r>
          </w:p>
        </w:tc>
        <w:tc>
          <w:tcPr>
            <w:tcW w:w="6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(63)</w:t>
            </w:r>
          </w:p>
        </w:tc>
        <w:tc>
          <w:tcPr>
            <w:tcW w:w="70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Comprehensive income</w:t>
            </w:r>
          </w:p>
        </w:tc>
        <w:tc>
          <w:tcPr>
            <w:tcW w:w="6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867</w:t>
            </w:r>
          </w:p>
        </w:tc>
        <w:tc>
          <w:tcPr>
            <w:tcW w:w="700" w:type="dxa"/>
            <w:vAlign w:val="bottom"/>
          </w:tcPr>
          <w:p>
            <w:pPr>
              <w:spacing w:after="0"/>
              <w:rPr>
                <w:sz w:val="18"/>
                <w:szCs w:val="18"/>
                <w:color w:val="auto"/>
              </w:rPr>
            </w:pPr>
          </w:p>
        </w:tc>
        <w:tc>
          <w:tcPr>
            <w:tcW w:w="540" w:type="dxa"/>
            <w:vAlign w:val="bottom"/>
          </w:tcPr>
          <w:p>
            <w:pPr>
              <w:jc w:val="right"/>
              <w:ind w:right="15"/>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6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(66)</w:t>
            </w:r>
          </w:p>
        </w:tc>
        <w:tc>
          <w:tcPr>
            <w:tcW w:w="70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9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Comprehensive income attributable to NBCUniversal</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685</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tcPr>
          <w:p>
            <w:pPr>
              <w:spacing w:after="0"/>
              <w:rPr>
                <w:sz w:val="14"/>
                <w:szCs w:val="14"/>
                <w:color w:val="auto"/>
              </w:rPr>
            </w:pPr>
          </w:p>
        </w:tc>
        <w:tc>
          <w:tcPr>
            <w:tcW w:w="2080" w:type="dxa"/>
            <w:vAlign w:val="bottom"/>
            <w:gridSpan w:val="3"/>
          </w:tcPr>
          <w:p>
            <w:pPr>
              <w:jc w:val="right"/>
              <w:ind w:right="273"/>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93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44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March 31</w:t>
            </w: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340" w:type="dxa"/>
            <w:vAlign w:val="bottom"/>
            <w:tcBorders>
              <w:bottom w:val="single" w:sz="8" w:color="auto"/>
            </w:tcBorders>
            <w:vMerge w:val="continue"/>
          </w:tcPr>
          <w:p>
            <w:pPr>
              <w:spacing w:after="0"/>
              <w:rPr>
                <w:sz w:val="12"/>
                <w:szCs w:val="12"/>
                <w:color w:val="auto"/>
              </w:rPr>
            </w:pPr>
          </w:p>
        </w:tc>
        <w:tc>
          <w:tcPr>
            <w:tcW w:w="120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color w:val="auto"/>
              </w:rPr>
              <w:t>2015</w:t>
            </w: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w w:val="83"/>
              </w:rPr>
              <w:t>2014</w:t>
            </w:r>
          </w:p>
        </w:tc>
        <w:tc>
          <w:tcPr>
            <w:tcW w:w="0" w:type="dxa"/>
            <w:vAlign w:val="bottom"/>
          </w:tcPr>
          <w:p>
            <w:pPr>
              <w:spacing w:after="0"/>
              <w:rPr>
                <w:sz w:val="1"/>
                <w:szCs w:val="1"/>
                <w:color w:val="auto"/>
              </w:rPr>
            </w:pPr>
          </w:p>
        </w:tc>
      </w:tr>
      <w:tr>
        <w:trPr>
          <w:trHeight w:val="210"/>
        </w:trPr>
        <w:tc>
          <w:tcPr>
            <w:tcW w:w="9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20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b w:val="1"/>
                <w:bCs w:val="1"/>
                <w:color w:val="auto"/>
              </w:rPr>
              <w:t>$ 1,202</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756</w:t>
            </w:r>
          </w:p>
        </w:tc>
        <w:tc>
          <w:tcPr>
            <w:tcW w:w="0" w:type="dxa"/>
            <w:vAlign w:val="bottom"/>
          </w:tcPr>
          <w:p>
            <w:pPr>
              <w:spacing w:after="0"/>
              <w:rPr>
                <w:sz w:val="1"/>
                <w:szCs w:val="1"/>
                <w:color w:val="auto"/>
              </w:rPr>
            </w:pPr>
          </w:p>
        </w:tc>
      </w:tr>
      <w:tr>
        <w:trPr>
          <w:trHeight w:val="210"/>
        </w:trPr>
        <w:tc>
          <w:tcPr>
            <w:tcW w:w="93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Capital expenditures</w:t>
            </w:r>
          </w:p>
        </w:tc>
        <w:tc>
          <w:tcPr>
            <w:tcW w:w="120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(268)</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9340" w:type="dxa"/>
            <w:vAlign w:val="bottom"/>
          </w:tcPr>
          <w:p>
            <w:pPr>
              <w:ind w:left="440"/>
              <w:spacing w:after="0"/>
              <w:rPr>
                <w:sz w:val="20"/>
                <w:szCs w:val="20"/>
                <w:color w:val="auto"/>
              </w:rPr>
            </w:pPr>
            <w:r>
              <w:rPr>
                <w:rFonts w:ascii="Arial" w:cs="Arial" w:eastAsia="Arial" w:hAnsi="Arial"/>
                <w:sz w:val="18"/>
                <w:szCs w:val="18"/>
                <w:color w:val="auto"/>
              </w:rPr>
              <w:t>Cash paid for intangible assets</w:t>
            </w:r>
          </w:p>
        </w:tc>
        <w:tc>
          <w:tcPr>
            <w:tcW w:w="1200" w:type="dxa"/>
            <w:vAlign w:val="bottom"/>
          </w:tcPr>
          <w:p>
            <w:pPr>
              <w:jc w:val="right"/>
              <w:ind w:right="56"/>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93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Note receivable from Comcast</w:t>
            </w:r>
          </w:p>
        </w:tc>
        <w:tc>
          <w:tcPr>
            <w:tcW w:w="120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(135)</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169</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0"/>
        </w:trPr>
        <w:tc>
          <w:tcPr>
            <w:tcW w:w="9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200" w:type="dxa"/>
            <w:vAlign w:val="bottom"/>
            <w:tcBorders>
              <w:bottom w:val="single" w:sz="8" w:color="auto"/>
            </w:tcBorders>
            <w:shd w:val="clear" w:color="auto" w:fill="E5E5E5"/>
          </w:tcPr>
          <w:p>
            <w:pPr>
              <w:jc w:val="right"/>
              <w:ind w:right="56"/>
              <w:spacing w:after="0"/>
              <w:rPr>
                <w:sz w:val="20"/>
                <w:szCs w:val="20"/>
                <w:color w:val="auto"/>
              </w:rPr>
            </w:pPr>
            <w:r>
              <w:rPr>
                <w:rFonts w:ascii="Arial" w:cs="Arial" w:eastAsia="Arial" w:hAnsi="Arial"/>
                <w:sz w:val="18"/>
                <w:szCs w:val="18"/>
                <w:b w:val="1"/>
                <w:bCs w:val="1"/>
                <w:color w:val="auto"/>
              </w:rPr>
              <w:t>(271)</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rPr>
              <w:t>(483)</w:t>
            </w:r>
          </w:p>
        </w:tc>
        <w:tc>
          <w:tcPr>
            <w:tcW w:w="0" w:type="dxa"/>
            <w:vAlign w:val="bottom"/>
          </w:tcPr>
          <w:p>
            <w:pPr>
              <w:spacing w:after="0"/>
              <w:rPr>
                <w:sz w:val="1"/>
                <w:szCs w:val="1"/>
                <w:color w:val="auto"/>
              </w:rPr>
            </w:pPr>
          </w:p>
        </w:tc>
      </w:tr>
      <w:tr>
        <w:trPr>
          <w:trHeight w:val="210"/>
        </w:trPr>
        <w:tc>
          <w:tcPr>
            <w:tcW w:w="93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Proceeds from (repayments of) borrowings from Comcast, net</w:t>
            </w:r>
          </w:p>
        </w:tc>
        <w:tc>
          <w:tcPr>
            <w:tcW w:w="120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(896)</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9340" w:type="dxa"/>
            <w:vAlign w:val="bottom"/>
          </w:tcPr>
          <w:p>
            <w:pPr>
              <w:ind w:left="440"/>
              <w:spacing w:after="0"/>
              <w:rPr>
                <w:sz w:val="20"/>
                <w:szCs w:val="20"/>
                <w:color w:val="auto"/>
              </w:rPr>
            </w:pPr>
            <w:r>
              <w:rPr>
                <w:rFonts w:ascii="Arial" w:cs="Arial" w:eastAsia="Arial" w:hAnsi="Arial"/>
                <w:sz w:val="18"/>
                <w:szCs w:val="18"/>
                <w:color w:val="auto"/>
              </w:rPr>
              <w:t>Repurchases and repayments of debt</w:t>
            </w:r>
          </w:p>
        </w:tc>
        <w:tc>
          <w:tcPr>
            <w:tcW w:w="1200" w:type="dxa"/>
            <w:vAlign w:val="bottom"/>
          </w:tcPr>
          <w:p>
            <w:pPr>
              <w:jc w:val="right"/>
              <w:ind w:right="56"/>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3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Distributions to noncontrolling interests</w:t>
            </w:r>
          </w:p>
        </w:tc>
        <w:tc>
          <w:tcPr>
            <w:tcW w:w="120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(51)</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9340" w:type="dxa"/>
            <w:vAlign w:val="bottom"/>
          </w:tcPr>
          <w:p>
            <w:pPr>
              <w:ind w:left="440"/>
              <w:spacing w:after="0"/>
              <w:rPr>
                <w:sz w:val="20"/>
                <w:szCs w:val="20"/>
                <w:color w:val="auto"/>
              </w:rPr>
            </w:pPr>
            <w:r>
              <w:rPr>
                <w:rFonts w:ascii="Arial" w:cs="Arial" w:eastAsia="Arial" w:hAnsi="Arial"/>
                <w:sz w:val="18"/>
                <w:szCs w:val="18"/>
                <w:color w:val="auto"/>
              </w:rPr>
              <w:t>Distributions to member</w:t>
            </w:r>
          </w:p>
        </w:tc>
        <w:tc>
          <w:tcPr>
            <w:tcW w:w="1200" w:type="dxa"/>
            <w:vAlign w:val="bottom"/>
          </w:tcPr>
          <w:p>
            <w:pPr>
              <w:jc w:val="right"/>
              <w:ind w:right="56"/>
              <w:spacing w:after="0"/>
              <w:rPr>
                <w:sz w:val="20"/>
                <w:szCs w:val="20"/>
                <w:color w:val="auto"/>
              </w:rPr>
            </w:pPr>
            <w:r>
              <w:rPr>
                <w:rFonts w:ascii="Arial" w:cs="Arial" w:eastAsia="Arial" w:hAnsi="Arial"/>
                <w:sz w:val="18"/>
                <w:szCs w:val="18"/>
                <w:color w:val="auto"/>
              </w:rPr>
              <w:t>(195)</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934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9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2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(1,143)</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(115)</w:t>
            </w:r>
          </w:p>
        </w:tc>
        <w:tc>
          <w:tcPr>
            <w:tcW w:w="0" w:type="dxa"/>
            <w:vAlign w:val="bottom"/>
          </w:tcPr>
          <w:p>
            <w:pPr>
              <w:spacing w:after="0"/>
              <w:rPr>
                <w:sz w:val="1"/>
                <w:szCs w:val="1"/>
                <w:color w:val="auto"/>
              </w:rPr>
            </w:pPr>
          </w:p>
        </w:tc>
      </w:tr>
      <w:tr>
        <w:trPr>
          <w:trHeight w:val="210"/>
        </w:trPr>
        <w:tc>
          <w:tcPr>
            <w:tcW w:w="9340" w:type="dxa"/>
            <w:vAlign w:val="bottom"/>
            <w:shd w:val="clear" w:color="auto" w:fill="E5E5E5"/>
          </w:tcPr>
          <w:p>
            <w:pPr>
              <w:spacing w:after="0"/>
              <w:rPr>
                <w:sz w:val="20"/>
                <w:szCs w:val="20"/>
                <w:color w:val="auto"/>
              </w:rPr>
            </w:pPr>
            <w:r>
              <w:rPr>
                <w:rFonts w:ascii="Arial" w:cs="Arial" w:eastAsia="Arial" w:hAnsi="Arial"/>
                <w:sz w:val="18"/>
                <w:szCs w:val="18"/>
                <w:color w:val="auto"/>
              </w:rPr>
              <w:t>Increase (decrease) in cash and cash equivalents</w:t>
            </w:r>
          </w:p>
        </w:tc>
        <w:tc>
          <w:tcPr>
            <w:tcW w:w="120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(212)</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9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12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1,248</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17"/>
        </w:trPr>
        <w:tc>
          <w:tcPr>
            <w:tcW w:w="9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20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b w:val="1"/>
                <w:bCs w:val="1"/>
                <w:color w:val="auto"/>
              </w:rPr>
              <w:t>$ 1,036</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w w:val="88"/>
              </w:rPr>
              <w:t>1,125</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22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color w:val="auto"/>
                <w:w w:val="88"/>
              </w:rPr>
              <w:t>Accumulated</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49"/>
        </w:trPr>
        <w:tc>
          <w:tcPr>
            <w:tcW w:w="4840" w:type="dxa"/>
            <w:vAlign w:val="bottom"/>
          </w:tcPr>
          <w:p>
            <w:pPr>
              <w:spacing w:after="0"/>
              <w:rPr>
                <w:sz w:val="12"/>
                <w:szCs w:val="12"/>
                <w:color w:val="auto"/>
              </w:rPr>
            </w:pPr>
          </w:p>
        </w:tc>
        <w:tc>
          <w:tcPr>
            <w:tcW w:w="1700" w:type="dxa"/>
            <w:vAlign w:val="bottom"/>
            <w:tcBorders>
              <w:right w:val="single" w:sz="8" w:color="auto"/>
            </w:tcBorders>
            <w:gridSpan w:val="2"/>
          </w:tcPr>
          <w:p>
            <w:pPr>
              <w:jc w:val="right"/>
              <w:ind w:right="594"/>
              <w:spacing w:after="0" w:line="149" w:lineRule="exact"/>
              <w:rPr>
                <w:sz w:val="20"/>
                <w:szCs w:val="20"/>
                <w:color w:val="auto"/>
              </w:rPr>
            </w:pPr>
            <w:r>
              <w:rPr>
                <w:rFonts w:ascii="Arial" w:cs="Arial" w:eastAsia="Arial" w:hAnsi="Arial"/>
                <w:sz w:val="14"/>
                <w:szCs w:val="14"/>
                <w:color w:val="auto"/>
              </w:rPr>
              <w:t>Redeemable</w:t>
            </w:r>
          </w:p>
        </w:tc>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jc w:val="center"/>
              <w:ind w:right="375"/>
              <w:spacing w:after="0" w:line="149" w:lineRule="exact"/>
              <w:rPr>
                <w:sz w:val="20"/>
                <w:szCs w:val="20"/>
                <w:color w:val="auto"/>
              </w:rPr>
            </w:pPr>
            <w:r>
              <w:rPr>
                <w:rFonts w:ascii="Arial" w:cs="Arial" w:eastAsia="Arial" w:hAnsi="Arial"/>
                <w:sz w:val="14"/>
                <w:szCs w:val="14"/>
                <w:color w:val="auto"/>
                <w:w w:val="91"/>
              </w:rPr>
              <w:t>Other</w:t>
            </w: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4840" w:type="dxa"/>
            <w:vAlign w:val="bottom"/>
          </w:tcPr>
          <w:p>
            <w:pPr>
              <w:spacing w:after="0"/>
              <w:rPr>
                <w:sz w:val="12"/>
                <w:szCs w:val="12"/>
                <w:color w:val="auto"/>
              </w:rPr>
            </w:pPr>
          </w:p>
        </w:tc>
        <w:tc>
          <w:tcPr>
            <w:tcW w:w="1700" w:type="dxa"/>
            <w:vAlign w:val="bottom"/>
            <w:tcBorders>
              <w:right w:val="single" w:sz="8" w:color="auto"/>
            </w:tcBorders>
            <w:gridSpan w:val="2"/>
          </w:tcPr>
          <w:p>
            <w:pPr>
              <w:ind w:left="260"/>
              <w:spacing w:after="0" w:line="149" w:lineRule="exact"/>
              <w:rPr>
                <w:sz w:val="20"/>
                <w:szCs w:val="20"/>
                <w:color w:val="auto"/>
              </w:rPr>
            </w:pPr>
            <w:r>
              <w:rPr>
                <w:rFonts w:ascii="Arial" w:cs="Arial" w:eastAsia="Arial" w:hAnsi="Arial"/>
                <w:sz w:val="14"/>
                <w:szCs w:val="14"/>
                <w:color w:val="auto"/>
              </w:rPr>
              <w:t>Noncontrolling</w:t>
            </w:r>
          </w:p>
        </w:tc>
        <w:tc>
          <w:tcPr>
            <w:tcW w:w="1220" w:type="dxa"/>
            <w:vAlign w:val="bottom"/>
          </w:tcPr>
          <w:p>
            <w:pPr>
              <w:jc w:val="right"/>
              <w:ind w:right="196"/>
              <w:spacing w:after="0" w:line="149" w:lineRule="exact"/>
              <w:rPr>
                <w:sz w:val="20"/>
                <w:szCs w:val="20"/>
                <w:color w:val="auto"/>
              </w:rPr>
            </w:pPr>
            <w:r>
              <w:rPr>
                <w:rFonts w:ascii="Arial" w:cs="Arial" w:eastAsia="Arial" w:hAnsi="Arial"/>
                <w:sz w:val="14"/>
                <w:szCs w:val="14"/>
                <w:color w:val="auto"/>
              </w:rPr>
              <w:t>Member’s</w:t>
            </w:r>
          </w:p>
        </w:tc>
        <w:tc>
          <w:tcPr>
            <w:tcW w:w="13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Comprehensive</w:t>
            </w:r>
          </w:p>
        </w:tc>
        <w:tc>
          <w:tcPr>
            <w:tcW w:w="1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Noncontrolling</w:t>
            </w: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9"/>
        </w:trPr>
        <w:tc>
          <w:tcPr>
            <w:tcW w:w="48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jc w:val="right"/>
              <w:ind w:right="714"/>
              <w:spacing w:after="0" w:line="159" w:lineRule="exact"/>
              <w:rPr>
                <w:sz w:val="20"/>
                <w:szCs w:val="20"/>
                <w:color w:val="auto"/>
              </w:rPr>
            </w:pPr>
            <w:r>
              <w:rPr>
                <w:rFonts w:ascii="Arial" w:cs="Arial" w:eastAsia="Arial" w:hAnsi="Arial"/>
                <w:sz w:val="14"/>
                <w:szCs w:val="14"/>
                <w:color w:val="auto"/>
                <w:w w:val="89"/>
              </w:rPr>
              <w:t>Interests</w:t>
            </w:r>
          </w:p>
        </w:tc>
        <w:tc>
          <w:tcPr>
            <w:tcW w:w="1220" w:type="dxa"/>
            <w:vAlign w:val="bottom"/>
            <w:tcBorders>
              <w:bottom w:val="single" w:sz="8" w:color="auto"/>
            </w:tcBorders>
          </w:tcPr>
          <w:p>
            <w:pPr>
              <w:jc w:val="right"/>
              <w:ind w:right="276"/>
              <w:spacing w:after="0" w:line="159" w:lineRule="exact"/>
              <w:rPr>
                <w:sz w:val="20"/>
                <w:szCs w:val="20"/>
                <w:color w:val="auto"/>
              </w:rPr>
            </w:pPr>
            <w:r>
              <w:rPr>
                <w:rFonts w:ascii="Arial" w:cs="Arial" w:eastAsia="Arial" w:hAnsi="Arial"/>
                <w:sz w:val="14"/>
                <w:szCs w:val="14"/>
                <w:color w:val="auto"/>
              </w:rPr>
              <w:t>Capital</w:t>
            </w:r>
          </w:p>
        </w:tc>
        <w:tc>
          <w:tcPr>
            <w:tcW w:w="134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90"/>
              </w:rPr>
              <w:t>Income (Loss)</w:t>
            </w: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4"/>
              <w:spacing w:after="0" w:line="159" w:lineRule="exact"/>
              <w:rPr>
                <w:sz w:val="20"/>
                <w:szCs w:val="20"/>
                <w:color w:val="auto"/>
              </w:rPr>
            </w:pPr>
            <w:r>
              <w:rPr>
                <w:rFonts w:ascii="Arial" w:cs="Arial" w:eastAsia="Arial" w:hAnsi="Arial"/>
                <w:sz w:val="14"/>
                <w:szCs w:val="14"/>
                <w:color w:val="auto"/>
                <w:w w:val="89"/>
              </w:rPr>
              <w:t>Interests</w:t>
            </w:r>
          </w:p>
        </w:tc>
        <w:tc>
          <w:tcPr>
            <w:tcW w:w="1000" w:type="dxa"/>
            <w:vAlign w:val="bottom"/>
            <w:tcBorders>
              <w:bottom w:val="single" w:sz="8" w:color="auto"/>
            </w:tcBorders>
            <w:gridSpan w:val="2"/>
          </w:tcPr>
          <w:p>
            <w:pPr>
              <w:ind w:left="220"/>
              <w:spacing w:after="0" w:line="159" w:lineRule="exact"/>
              <w:rPr>
                <w:sz w:val="20"/>
                <w:szCs w:val="20"/>
                <w:color w:val="auto"/>
              </w:rPr>
            </w:pPr>
            <w:r>
              <w:rPr>
                <w:rFonts w:ascii="Arial" w:cs="Arial" w:eastAsia="Arial" w:hAnsi="Arial"/>
                <w:sz w:val="14"/>
                <w:szCs w:val="14"/>
                <w:color w:val="auto"/>
              </w:rPr>
              <w:t>Total Equity</w:t>
            </w:r>
          </w:p>
        </w:tc>
      </w:tr>
      <w:tr>
        <w:trPr>
          <w:trHeight w:val="210"/>
        </w:trPr>
        <w:tc>
          <w:tcPr>
            <w:tcW w:w="484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2013</w:t>
            </w:r>
          </w:p>
        </w:tc>
        <w:tc>
          <w:tcPr>
            <w:tcW w:w="40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shd w:val="clear" w:color="auto" w:fill="E5E5E5"/>
          </w:tcPr>
          <w:p>
            <w:pPr>
              <w:jc w:val="right"/>
              <w:ind w:right="514"/>
              <w:spacing w:after="0"/>
              <w:rPr>
                <w:sz w:val="20"/>
                <w:szCs w:val="20"/>
                <w:color w:val="auto"/>
              </w:rPr>
            </w:pPr>
            <w:r>
              <w:rPr>
                <w:rFonts w:ascii="Arial" w:cs="Arial" w:eastAsia="Arial" w:hAnsi="Arial"/>
                <w:sz w:val="18"/>
                <w:szCs w:val="18"/>
                <w:color w:val="auto"/>
              </w:rPr>
              <w:t>231</w:t>
            </w:r>
          </w:p>
        </w:tc>
        <w:tc>
          <w:tcPr>
            <w:tcW w:w="122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$29,056</w:t>
            </w:r>
          </w:p>
        </w:tc>
        <w:tc>
          <w:tcPr>
            <w:tcW w:w="40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(16)</w:t>
            </w:r>
          </w:p>
        </w:tc>
        <w:tc>
          <w:tcPr>
            <w:tcW w:w="36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287</w:t>
            </w:r>
          </w:p>
        </w:tc>
        <w:tc>
          <w:tcPr>
            <w:tcW w:w="36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94"/>
              </w:rPr>
              <w:t>29,327</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Issuance of subsidiary shares to noncontrolling interests</w:t>
            </w:r>
          </w:p>
        </w:tc>
        <w:tc>
          <w:tcPr>
            <w:tcW w:w="400" w:type="dxa"/>
            <w:vAlign w:val="bottom"/>
          </w:tcPr>
          <w:p>
            <w:pPr>
              <w:spacing w:after="0"/>
              <w:rPr>
                <w:sz w:val="18"/>
                <w:szCs w:val="18"/>
                <w:color w:val="auto"/>
              </w:rPr>
            </w:pPr>
          </w:p>
        </w:tc>
        <w:tc>
          <w:tcPr>
            <w:tcW w:w="1300" w:type="dxa"/>
            <w:vAlign w:val="bottom"/>
            <w:tcBorders>
              <w:right w:val="single" w:sz="8" w:color="auto"/>
            </w:tcBorders>
          </w:tcPr>
          <w:p>
            <w:pPr>
              <w:jc w:val="right"/>
              <w:ind w:right="514"/>
              <w:spacing w:after="0"/>
              <w:rPr>
                <w:sz w:val="20"/>
                <w:szCs w:val="20"/>
                <w:color w:val="auto"/>
              </w:rPr>
            </w:pPr>
            <w:r>
              <w:rPr>
                <w:rFonts w:ascii="Arial" w:cs="Arial" w:eastAsia="Arial" w:hAnsi="Arial"/>
                <w:sz w:val="18"/>
                <w:szCs w:val="18"/>
                <w:color w:val="auto"/>
              </w:rPr>
              <w:t>82</w:t>
            </w: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840" w:type="dxa"/>
            <w:vAlign w:val="bottom"/>
            <w:shd w:val="clear" w:color="auto" w:fill="E5E5E5"/>
          </w:tcPr>
          <w:p>
            <w:pPr>
              <w:spacing w:after="0"/>
              <w:rPr>
                <w:sz w:val="20"/>
                <w:szCs w:val="20"/>
                <w:color w:val="auto"/>
              </w:rPr>
            </w:pPr>
            <w:r>
              <w:rPr>
                <w:rFonts w:ascii="Arial" w:cs="Arial" w:eastAsia="Arial" w:hAnsi="Arial"/>
                <w:sz w:val="18"/>
                <w:szCs w:val="18"/>
                <w:color w:val="auto"/>
              </w:rPr>
              <w:t>Dividends declared</w:t>
            </w:r>
          </w:p>
        </w:tc>
        <w:tc>
          <w:tcPr>
            <w:tcW w:w="400" w:type="dxa"/>
            <w:vAlign w:val="bottom"/>
            <w:shd w:val="clear" w:color="auto" w:fill="E5E5E5"/>
          </w:tcPr>
          <w:p>
            <w:pPr>
              <w:spacing w:after="0"/>
              <w:rPr>
                <w:sz w:val="18"/>
                <w:szCs w:val="18"/>
                <w:color w:val="auto"/>
              </w:rPr>
            </w:pPr>
          </w:p>
        </w:tc>
        <w:tc>
          <w:tcPr>
            <w:tcW w:w="1300" w:type="dxa"/>
            <w:vAlign w:val="bottom"/>
            <w:tcBorders>
              <w:right w:val="single" w:sz="8" w:color="auto"/>
            </w:tcBorders>
            <w:shd w:val="clear" w:color="auto" w:fill="E5E5E5"/>
          </w:tcPr>
          <w:p>
            <w:pPr>
              <w:spacing w:after="0"/>
              <w:rPr>
                <w:sz w:val="18"/>
                <w:szCs w:val="18"/>
                <w:color w:val="auto"/>
              </w:rPr>
            </w:pPr>
          </w:p>
        </w:tc>
        <w:tc>
          <w:tcPr>
            <w:tcW w:w="122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(195)</w:t>
            </w:r>
          </w:p>
        </w:tc>
        <w:tc>
          <w:tcPr>
            <w:tcW w:w="4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(195)</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w w:val="95"/>
              </w:rPr>
              <w:t>Contributions from (distributions to) noncontrolling interests, net</w:t>
            </w:r>
          </w:p>
        </w:tc>
        <w:tc>
          <w:tcPr>
            <w:tcW w:w="400" w:type="dxa"/>
            <w:vAlign w:val="bottom"/>
          </w:tcPr>
          <w:p>
            <w:pPr>
              <w:spacing w:after="0"/>
              <w:rPr>
                <w:sz w:val="18"/>
                <w:szCs w:val="18"/>
                <w:color w:val="auto"/>
              </w:rPr>
            </w:pPr>
          </w:p>
        </w:tc>
        <w:tc>
          <w:tcPr>
            <w:tcW w:w="1300" w:type="dxa"/>
            <w:vAlign w:val="bottom"/>
            <w:tcBorders>
              <w:right w:val="single" w:sz="8" w:color="auto"/>
            </w:tcBorders>
          </w:tcPr>
          <w:p>
            <w:pPr>
              <w:jc w:val="right"/>
              <w:ind w:right="454"/>
              <w:spacing w:after="0"/>
              <w:rPr>
                <w:sz w:val="20"/>
                <w:szCs w:val="20"/>
                <w:color w:val="auto"/>
              </w:rPr>
            </w:pPr>
            <w:r>
              <w:rPr>
                <w:rFonts w:ascii="Arial" w:cs="Arial" w:eastAsia="Arial" w:hAnsi="Arial"/>
                <w:sz w:val="18"/>
                <w:szCs w:val="18"/>
                <w:color w:val="auto"/>
              </w:rPr>
              <w:t>(10)</w:t>
            </w: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4840" w:type="dxa"/>
            <w:vAlign w:val="bottom"/>
            <w:shd w:val="clear" w:color="auto" w:fill="E5E5E5"/>
          </w:tcPr>
          <w:p>
            <w:pPr>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E5E5E5"/>
          </w:tcPr>
          <w:p>
            <w:pPr>
              <w:spacing w:after="0"/>
              <w:rPr>
                <w:sz w:val="18"/>
                <w:szCs w:val="18"/>
                <w:color w:val="auto"/>
              </w:rPr>
            </w:pPr>
          </w:p>
        </w:tc>
        <w:tc>
          <w:tcPr>
            <w:tcW w:w="1300" w:type="dxa"/>
            <w:vAlign w:val="bottom"/>
            <w:tcBorders>
              <w:right w:val="single" w:sz="8" w:color="auto"/>
            </w:tcBorders>
            <w:shd w:val="clear" w:color="auto" w:fill="E5E5E5"/>
          </w:tcPr>
          <w:p>
            <w:pPr>
              <w:spacing w:after="0"/>
              <w:rPr>
                <w:sz w:val="18"/>
                <w:szCs w:val="18"/>
                <w:color w:val="auto"/>
              </w:rPr>
            </w:pPr>
          </w:p>
        </w:tc>
        <w:tc>
          <w:tcPr>
            <w:tcW w:w="122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(1)</w:t>
            </w:r>
          </w:p>
        </w:tc>
        <w:tc>
          <w:tcPr>
            <w:tcW w:w="4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1</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40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95"/>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16"/>
        </w:trPr>
        <w:tc>
          <w:tcPr>
            <w:tcW w:w="48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400" w:type="dxa"/>
            <w:vAlign w:val="bottom"/>
            <w:tcBorders>
              <w:bottom w:val="single" w:sz="8" w:color="auto"/>
            </w:tcBorders>
            <w:shd w:val="clear" w:color="auto" w:fill="E5E5E5"/>
          </w:tcPr>
          <w:p>
            <w:pPr>
              <w:spacing w:after="0"/>
              <w:rPr>
                <w:sz w:val="18"/>
                <w:szCs w:val="18"/>
                <w:color w:val="auto"/>
              </w:rPr>
            </w:pPr>
          </w:p>
        </w:tc>
        <w:tc>
          <w:tcPr>
            <w:tcW w:w="1300" w:type="dxa"/>
            <w:vAlign w:val="bottom"/>
            <w:tcBorders>
              <w:bottom w:val="single" w:sz="8" w:color="auto"/>
              <w:right w:val="single" w:sz="8" w:color="auto"/>
            </w:tcBorders>
            <w:shd w:val="clear" w:color="auto" w:fill="E5E5E5"/>
          </w:tcPr>
          <w:p>
            <w:pPr>
              <w:jc w:val="right"/>
              <w:ind w:right="514"/>
              <w:spacing w:after="0"/>
              <w:rPr>
                <w:sz w:val="20"/>
                <w:szCs w:val="20"/>
                <w:color w:val="auto"/>
              </w:rPr>
            </w:pPr>
            <w:r>
              <w:rPr>
                <w:rFonts w:ascii="Arial" w:cs="Arial" w:eastAsia="Arial" w:hAnsi="Arial"/>
                <w:sz w:val="18"/>
                <w:szCs w:val="18"/>
                <w:color w:val="auto"/>
              </w:rPr>
              <w:t>14</w:t>
            </w:r>
          </w:p>
        </w:tc>
        <w:tc>
          <w:tcPr>
            <w:tcW w:w="1220" w:type="dxa"/>
            <w:vAlign w:val="bottom"/>
            <w:tcBorders>
              <w:bottom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color w:val="auto"/>
              </w:rPr>
              <w:t>682</w:t>
            </w:r>
          </w:p>
        </w:tc>
        <w:tc>
          <w:tcPr>
            <w:tcW w:w="40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45</w:t>
            </w:r>
          </w:p>
        </w:tc>
        <w:tc>
          <w:tcPr>
            <w:tcW w:w="3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727</w:t>
            </w:r>
          </w:p>
        </w:tc>
      </w:tr>
      <w:tr>
        <w:trPr>
          <w:trHeight w:val="217"/>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March 31, 2014</w:t>
            </w: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right w:val="single" w:sz="8" w:color="auto"/>
            </w:tcBorders>
          </w:tcPr>
          <w:p>
            <w:pPr>
              <w:jc w:val="right"/>
              <w:ind w:right="514"/>
              <w:spacing w:after="0"/>
              <w:rPr>
                <w:sz w:val="20"/>
                <w:szCs w:val="20"/>
                <w:color w:val="auto"/>
              </w:rPr>
            </w:pPr>
            <w:r>
              <w:rPr>
                <w:rFonts w:ascii="Arial" w:cs="Arial" w:eastAsia="Arial" w:hAnsi="Arial"/>
                <w:sz w:val="18"/>
                <w:szCs w:val="18"/>
                <w:b w:val="1"/>
                <w:bCs w:val="1"/>
                <w:color w:val="auto"/>
              </w:rPr>
              <w:t>317</w:t>
            </w:r>
          </w:p>
        </w:tc>
        <w:tc>
          <w:tcPr>
            <w:tcW w:w="122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b w:val="1"/>
                <w:bCs w:val="1"/>
                <w:color w:val="auto"/>
              </w:rPr>
              <w:t>$29,542</w:t>
            </w:r>
          </w:p>
        </w:tc>
        <w:tc>
          <w:tcPr>
            <w:tcW w:w="4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(13)</w:t>
            </w:r>
          </w:p>
        </w:tc>
        <w:tc>
          <w:tcPr>
            <w:tcW w:w="3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289</w:t>
            </w:r>
          </w:p>
        </w:tc>
        <w:tc>
          <w:tcPr>
            <w:tcW w:w="3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4"/>
              </w:rPr>
              <w:t>29,818</w:t>
            </w:r>
          </w:p>
        </w:tc>
      </w:tr>
      <w:tr>
        <w:trPr>
          <w:trHeight w:val="216"/>
        </w:trPr>
        <w:tc>
          <w:tcPr>
            <w:tcW w:w="484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2014</w:t>
            </w:r>
          </w:p>
        </w:tc>
        <w:tc>
          <w:tcPr>
            <w:tcW w:w="40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shd w:val="clear" w:color="auto" w:fill="E5E5E5"/>
          </w:tcPr>
          <w:p>
            <w:pPr>
              <w:jc w:val="right"/>
              <w:ind w:right="514"/>
              <w:spacing w:after="0"/>
              <w:rPr>
                <w:sz w:val="20"/>
                <w:szCs w:val="20"/>
                <w:color w:val="auto"/>
              </w:rPr>
            </w:pPr>
            <w:r>
              <w:rPr>
                <w:rFonts w:ascii="Arial" w:cs="Arial" w:eastAsia="Arial" w:hAnsi="Arial"/>
                <w:sz w:val="18"/>
                <w:szCs w:val="18"/>
                <w:color w:val="auto"/>
              </w:rPr>
              <w:t>330</w:t>
            </w:r>
          </w:p>
        </w:tc>
        <w:tc>
          <w:tcPr>
            <w:tcW w:w="122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$30,529</w:t>
            </w:r>
          </w:p>
        </w:tc>
        <w:tc>
          <w:tcPr>
            <w:tcW w:w="40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(159)</w:t>
            </w:r>
          </w:p>
        </w:tc>
        <w:tc>
          <w:tcPr>
            <w:tcW w:w="36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267</w:t>
            </w:r>
          </w:p>
        </w:tc>
        <w:tc>
          <w:tcPr>
            <w:tcW w:w="36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94"/>
              </w:rPr>
              <w:t>30,637</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Dividends declared</w:t>
            </w:r>
          </w:p>
        </w:tc>
        <w:tc>
          <w:tcPr>
            <w:tcW w:w="40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20" w:type="dxa"/>
            <w:vAlign w:val="bottom"/>
          </w:tcPr>
          <w:p>
            <w:pPr>
              <w:jc w:val="right"/>
              <w:ind w:right="136"/>
              <w:spacing w:after="0"/>
              <w:rPr>
                <w:sz w:val="20"/>
                <w:szCs w:val="20"/>
                <w:color w:val="auto"/>
              </w:rPr>
            </w:pPr>
            <w:r>
              <w:rPr>
                <w:rFonts w:ascii="Arial" w:cs="Arial" w:eastAsia="Arial" w:hAnsi="Arial"/>
                <w:sz w:val="18"/>
                <w:szCs w:val="18"/>
                <w:color w:val="auto"/>
              </w:rPr>
              <w:t>(195)</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16"/>
        </w:trPr>
        <w:tc>
          <w:tcPr>
            <w:tcW w:w="4840" w:type="dxa"/>
            <w:vAlign w:val="bottom"/>
            <w:shd w:val="clear" w:color="auto" w:fill="E5E5E5"/>
          </w:tcPr>
          <w:p>
            <w:pPr>
              <w:spacing w:after="0"/>
              <w:rPr>
                <w:sz w:val="20"/>
                <w:szCs w:val="20"/>
                <w:color w:val="auto"/>
              </w:rPr>
            </w:pPr>
            <w:r>
              <w:rPr>
                <w:rFonts w:ascii="Arial" w:cs="Arial" w:eastAsia="Arial" w:hAnsi="Arial"/>
                <w:sz w:val="18"/>
                <w:szCs w:val="18"/>
                <w:color w:val="auto"/>
                <w:w w:val="95"/>
              </w:rPr>
              <w:t>Contributions from (distributions to) noncontrolling interests, net</w:t>
            </w:r>
          </w:p>
        </w:tc>
        <w:tc>
          <w:tcPr>
            <w:tcW w:w="400" w:type="dxa"/>
            <w:vAlign w:val="bottom"/>
            <w:shd w:val="clear" w:color="auto" w:fill="E5E5E5"/>
          </w:tcPr>
          <w:p>
            <w:pPr>
              <w:spacing w:after="0"/>
              <w:rPr>
                <w:sz w:val="18"/>
                <w:szCs w:val="18"/>
                <w:color w:val="auto"/>
              </w:rPr>
            </w:pPr>
          </w:p>
        </w:tc>
        <w:tc>
          <w:tcPr>
            <w:tcW w:w="1300" w:type="dxa"/>
            <w:vAlign w:val="bottom"/>
            <w:tcBorders>
              <w:right w:val="single" w:sz="8" w:color="auto"/>
            </w:tcBorders>
            <w:shd w:val="clear" w:color="auto" w:fill="E5E5E5"/>
          </w:tcPr>
          <w:p>
            <w:pPr>
              <w:jc w:val="right"/>
              <w:ind w:right="454"/>
              <w:spacing w:after="0"/>
              <w:rPr>
                <w:sz w:val="20"/>
                <w:szCs w:val="20"/>
                <w:color w:val="auto"/>
              </w:rPr>
            </w:pPr>
            <w:r>
              <w:rPr>
                <w:rFonts w:ascii="Arial" w:cs="Arial" w:eastAsia="Arial" w:hAnsi="Arial"/>
                <w:sz w:val="18"/>
                <w:szCs w:val="18"/>
                <w:color w:val="auto"/>
              </w:rPr>
              <w:t>(10)</w:t>
            </w:r>
          </w:p>
        </w:tc>
        <w:tc>
          <w:tcPr>
            <w:tcW w:w="12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(41)</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20" w:type="dxa"/>
            <w:vAlign w:val="bottom"/>
          </w:tcPr>
          <w:p>
            <w:pPr>
              <w:jc w:val="right"/>
              <w:ind w:right="136"/>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840" w:type="dxa"/>
            <w:vAlign w:val="bottom"/>
            <w:shd w:val="clear" w:color="auto" w:fill="E5E5E5"/>
          </w:tcPr>
          <w:p>
            <w:pPr>
              <w:spacing w:after="0"/>
              <w:rPr>
                <w:sz w:val="20"/>
                <w:szCs w:val="20"/>
                <w:color w:val="auto"/>
              </w:rPr>
            </w:pPr>
            <w:r>
              <w:rPr>
                <w:rFonts w:ascii="Arial" w:cs="Arial" w:eastAsia="Arial" w:hAnsi="Arial"/>
                <w:sz w:val="18"/>
                <w:szCs w:val="18"/>
                <w:color w:val="auto"/>
              </w:rPr>
              <w:t>Other comprehensive income (loss)</w:t>
            </w:r>
          </w:p>
        </w:tc>
        <w:tc>
          <w:tcPr>
            <w:tcW w:w="400" w:type="dxa"/>
            <w:vAlign w:val="bottom"/>
            <w:shd w:val="clear" w:color="auto" w:fill="E5E5E5"/>
          </w:tcPr>
          <w:p>
            <w:pPr>
              <w:spacing w:after="0"/>
              <w:rPr>
                <w:sz w:val="18"/>
                <w:szCs w:val="18"/>
                <w:color w:val="auto"/>
              </w:rPr>
            </w:pPr>
          </w:p>
        </w:tc>
        <w:tc>
          <w:tcPr>
            <w:tcW w:w="1300" w:type="dxa"/>
            <w:vAlign w:val="bottom"/>
            <w:tcBorders>
              <w:right w:val="single" w:sz="8" w:color="auto"/>
            </w:tcBorders>
            <w:shd w:val="clear" w:color="auto" w:fill="E5E5E5"/>
          </w:tcPr>
          <w:p>
            <w:pPr>
              <w:spacing w:after="0"/>
              <w:rPr>
                <w:sz w:val="18"/>
                <w:szCs w:val="18"/>
                <w:color w:val="auto"/>
              </w:rPr>
            </w:pPr>
          </w:p>
        </w:tc>
        <w:tc>
          <w:tcPr>
            <w:tcW w:w="12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(51)</w:t>
            </w:r>
          </w:p>
        </w:tc>
        <w:tc>
          <w:tcPr>
            <w:tcW w:w="36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514"/>
              <w:spacing w:after="0"/>
              <w:rPr>
                <w:sz w:val="20"/>
                <w:szCs w:val="20"/>
                <w:color w:val="auto"/>
              </w:rPr>
            </w:pPr>
            <w:r>
              <w:rPr>
                <w:rFonts w:ascii="Arial" w:cs="Arial" w:eastAsia="Arial" w:hAnsi="Arial"/>
                <w:sz w:val="18"/>
                <w:szCs w:val="18"/>
                <w:color w:val="auto"/>
              </w:rPr>
              <w:t>16</w:t>
            </w:r>
          </w:p>
        </w:tc>
        <w:tc>
          <w:tcPr>
            <w:tcW w:w="122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852</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50</w:t>
            </w: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902</w:t>
            </w:r>
          </w:p>
        </w:tc>
      </w:tr>
      <w:tr>
        <w:trPr>
          <w:trHeight w:val="217"/>
        </w:trPr>
        <w:tc>
          <w:tcPr>
            <w:tcW w:w="48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Balance, March 31, 2015</w:t>
            </w:r>
          </w:p>
        </w:tc>
        <w:tc>
          <w:tcPr>
            <w:tcW w:w="40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right w:val="single" w:sz="8" w:color="auto"/>
            </w:tcBorders>
            <w:shd w:val="clear" w:color="auto" w:fill="E5E5E5"/>
          </w:tcPr>
          <w:p>
            <w:pPr>
              <w:jc w:val="right"/>
              <w:ind w:right="514"/>
              <w:spacing w:after="0"/>
              <w:rPr>
                <w:sz w:val="20"/>
                <w:szCs w:val="20"/>
                <w:color w:val="auto"/>
              </w:rPr>
            </w:pPr>
            <w:r>
              <w:rPr>
                <w:rFonts w:ascii="Arial" w:cs="Arial" w:eastAsia="Arial" w:hAnsi="Arial"/>
                <w:sz w:val="18"/>
                <w:szCs w:val="18"/>
                <w:b w:val="1"/>
                <w:bCs w:val="1"/>
                <w:color w:val="auto"/>
              </w:rPr>
              <w:t>336</w:t>
            </w:r>
          </w:p>
        </w:tc>
        <w:tc>
          <w:tcPr>
            <w:tcW w:w="1220" w:type="dxa"/>
            <w:vAlign w:val="bottom"/>
            <w:tcBorders>
              <w:bottom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b w:val="1"/>
                <w:bCs w:val="1"/>
                <w:color w:val="auto"/>
              </w:rPr>
              <w:t>$31,185</w:t>
            </w:r>
          </w:p>
        </w:tc>
        <w:tc>
          <w:tcPr>
            <w:tcW w:w="40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b w:val="1"/>
                <w:bCs w:val="1"/>
                <w:color w:val="auto"/>
              </w:rPr>
              <w:t>(210)</w:t>
            </w:r>
          </w:p>
        </w:tc>
        <w:tc>
          <w:tcPr>
            <w:tcW w:w="36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b w:val="1"/>
                <w:bCs w:val="1"/>
                <w:color w:val="auto"/>
              </w:rPr>
              <w:t>262</w:t>
            </w:r>
          </w:p>
        </w:tc>
        <w:tc>
          <w:tcPr>
            <w:tcW w:w="36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w w:val="94"/>
              </w:rPr>
              <w:t>31,237</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53" w:lineRule="exact"/>
        <w:rPr>
          <w:sz w:val="20"/>
          <w:szCs w:val="20"/>
          <w:color w:val="auto"/>
        </w:rPr>
      </w:pPr>
    </w:p>
    <w:p>
      <w:pPr>
        <w:ind w:right="4380"/>
        <w:spacing w:after="0" w:line="26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Unless indicated otherwise, throughout these notes to the condensed consolidated financial statements, we refer to NBCUniversal Media, LLC and its consolidated subsidiaries as “we,” “us” and “our.” 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financial condition and cash flows for the periods shown, including normal, recurring accruals and other items. The consolidated results of operations for the interim periods presented are not necessarily indicative of results for the full year.</w:t>
      </w:r>
    </w:p>
    <w:p>
      <w:pPr>
        <w:spacing w:after="0" w:line="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2014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Recent Accounting Pronouncements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May 2014, the Financial Accounting Standards Board (“FASB”) and the International Accounting Standards Board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entities have to refer. In April 2015, the FASB voted to propose deferring the effective date by one year to December 15, 2017 for annual reporting periods beginning after that date. The FASB also proposed permitting early adoption of the updated accounting guidance, but not before the original effective date of December 15, 2016. The updated accounting guidance provides companies with alternative methods of adoption. We are currently in the process of determining the impact that the updated accounting guidance will have on our consolidated financial statements and our method of adoption.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April 2015, the FASB updated the accounting guidance related to the balance sheet presentation of debt issuance costs. The updated accounting guidance requires that debt issuance costs be presented as a direct deduction from the associated debt liability. The updated accounting guidance will be effective for us on January 1, 2016, and early adoption is permitted. The updated accounting guidance will be applied retrospectively to all prior periods presented. We do not currently expect that the updated accounting guidance will have a material impact on our consolidated balance sheet.</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Related Party Transactions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In the ordinary course of our business, we enter into transactions with Comcast.</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generate revenue from Comcast primarily from the distribution of our cable network programming and, to a lesser extent, the sale of advertising and our owned programming, and we incur expenses primarily related to various support services provided by Comcast to us.</w:t>
      </w:r>
    </w:p>
    <w:p>
      <w:pPr>
        <w:spacing w:after="0" w:line="3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2013, as part of the Comcast cash management process, we and Comcast entered into a revolving credit agreement under which we can borrow up to $3 billion from Comcast and Comcast can borrow up to $3 billion from us. Amounts owed by us to Comcast or to us by Comcast under the revolving credit agreement, including</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accrued interest, are presented under the captions “note payable to Comcast” and “note receivable from Comcast,” respectively, in our condensed consolidated balance sheet. The revolving credit agreement bears interest at floating rates equal to the interest rate under the Comcast and Comcast Cable Communications, LLC revolving credit facility (the “Comcast revolving credit facility”). The interest rate on the Comcast revolving credit facility consists of a base rate plus a borrowing margin that is determined based on Comcast’s credit rating. As of March 31, 2015, the borrowing margin for our London Interbank Offered Rate-based borrowings was 1.00%.</w:t>
      </w:r>
    </w:p>
    <w:p>
      <w:pPr>
        <w:spacing w:after="0" w:line="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Comcast is the counterparty to one of our contractual obligations. As of March 31, 2015, the carrying value of the liability associated with this contractual obligation was $383 million.</w:t>
      </w:r>
    </w:p>
    <w:p>
      <w:pPr>
        <w:spacing w:after="0" w:line="37" w:lineRule="exact"/>
        <w:rPr>
          <w:sz w:val="20"/>
          <w:szCs w:val="20"/>
          <w:color w:val="auto"/>
        </w:rPr>
      </w:pPr>
    </w:p>
    <w:p>
      <w:pPr>
        <w:jc w:val="center"/>
        <w:ind w:right="320"/>
        <w:spacing w:after="0"/>
        <w:rPr>
          <w:sz w:val="20"/>
          <w:szCs w:val="20"/>
          <w:color w:val="auto"/>
        </w:rPr>
      </w:pPr>
      <w:r>
        <w:rPr>
          <w:rFonts w:ascii="Arial" w:cs="Arial" w:eastAsia="Arial" w:hAnsi="Arial"/>
          <w:sz w:val="15"/>
          <w:szCs w:val="15"/>
          <w:color w:val="auto"/>
        </w:rPr>
        <w:t>The following tables present transactions with Comcast and its consolidated subsidiaries that are included in our condensed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4"/>
                <w:szCs w:val="14"/>
                <w:color w:val="auto"/>
              </w:rPr>
            </w:pPr>
          </w:p>
        </w:tc>
        <w:tc>
          <w:tcPr>
            <w:tcW w:w="680" w:type="dxa"/>
            <w:vAlign w:val="bottom"/>
            <w:gridSpan w:val="2"/>
          </w:tcPr>
          <w:p>
            <w:pPr>
              <w:ind w:left="120"/>
              <w:spacing w:after="0"/>
              <w:rPr>
                <w:sz w:val="20"/>
                <w:szCs w:val="20"/>
                <w:color w:val="auto"/>
              </w:rPr>
            </w:pPr>
            <w:r>
              <w:rPr>
                <w:rFonts w:ascii="Arial" w:cs="Arial" w:eastAsia="Arial" w:hAnsi="Arial"/>
                <w:sz w:val="14"/>
                <w:szCs w:val="14"/>
                <w:color w:val="auto"/>
                <w:w w:val="86"/>
              </w:rPr>
              <w:t>March 31,</w:t>
            </w:r>
          </w:p>
        </w:tc>
        <w:tc>
          <w:tcPr>
            <w:tcW w:w="1700" w:type="dxa"/>
            <w:vAlign w:val="bottom"/>
            <w:gridSpan w:val="3"/>
          </w:tcPr>
          <w:p>
            <w:pPr>
              <w:ind w:left="840"/>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59"/>
        </w:trPr>
        <w:tc>
          <w:tcPr>
            <w:tcW w:w="90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4"/>
              <w:spacing w:after="0" w:line="159" w:lineRule="exact"/>
              <w:rPr>
                <w:sz w:val="20"/>
                <w:szCs w:val="20"/>
                <w:color w:val="auto"/>
              </w:rPr>
            </w:pPr>
            <w:r>
              <w:rPr>
                <w:rFonts w:ascii="Arial" w:cs="Arial" w:eastAsia="Arial" w:hAnsi="Arial"/>
                <w:sz w:val="14"/>
                <w:szCs w:val="14"/>
                <w:color w:val="auto"/>
                <w:w w:val="89"/>
              </w:rPr>
              <w:t>2015</w:t>
            </w:r>
          </w:p>
        </w:tc>
        <w:tc>
          <w:tcPr>
            <w:tcW w:w="10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254"/>
              <w:spacing w:after="0" w:line="159"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10"/>
        </w:trPr>
        <w:tc>
          <w:tcPr>
            <w:tcW w:w="90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22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ind w:left="440"/>
              <w:spacing w:after="0"/>
              <w:rPr>
                <w:sz w:val="20"/>
                <w:szCs w:val="20"/>
                <w:color w:val="auto"/>
              </w:rPr>
            </w:pPr>
            <w:r>
              <w:rPr>
                <w:rFonts w:ascii="Arial" w:cs="Arial" w:eastAsia="Arial" w:hAnsi="Arial"/>
                <w:sz w:val="18"/>
                <w:szCs w:val="18"/>
                <w:color w:val="auto"/>
              </w:rPr>
              <w:t>Receivables, net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241</w:t>
            </w:r>
          </w:p>
        </w:tc>
        <w:tc>
          <w:tcPr>
            <w:tcW w:w="1020" w:type="dxa"/>
            <w:vAlign w:val="bottom"/>
          </w:tcPr>
          <w:p>
            <w:pPr>
              <w:ind w:lef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90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Note receivable from Comcast</w:t>
            </w:r>
          </w:p>
        </w:tc>
        <w:tc>
          <w:tcPr>
            <w:tcW w:w="220" w:type="dxa"/>
            <w:vAlign w:val="bottom"/>
            <w:shd w:val="clear" w:color="auto" w:fill="E5E5E5"/>
          </w:tcPr>
          <w:p>
            <w:pPr>
              <w:ind w:left="12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135</w:t>
            </w:r>
          </w:p>
        </w:tc>
        <w:tc>
          <w:tcPr>
            <w:tcW w:w="1020" w:type="dxa"/>
            <w:vAlign w:val="bottom"/>
            <w:shd w:val="clear" w:color="auto" w:fill="E5E5E5"/>
          </w:tcPr>
          <w:p>
            <w:pPr>
              <w:ind w:lef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40" w:type="dxa"/>
            <w:vAlign w:val="bottom"/>
          </w:tcPr>
          <w:p>
            <w:pPr>
              <w:ind w:left="4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c>
          <w:tcPr>
            <w:tcW w:w="1020" w:type="dxa"/>
            <w:vAlign w:val="bottom"/>
          </w:tcPr>
          <w:p>
            <w:pPr>
              <w:ind w:lef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90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shd w:val="clear" w:color="auto" w:fill="E5E5E5"/>
          </w:tcPr>
          <w:p>
            <w:pPr>
              <w:ind w:left="12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w:t>
            </w:r>
          </w:p>
        </w:tc>
        <w:tc>
          <w:tcPr>
            <w:tcW w:w="1020" w:type="dxa"/>
            <w:vAlign w:val="bottom"/>
            <w:shd w:val="clear" w:color="auto" w:fill="E5E5E5"/>
          </w:tcPr>
          <w:p>
            <w:pPr>
              <w:ind w:lef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9040" w:type="dxa"/>
            <w:vAlign w:val="bottom"/>
          </w:tcPr>
          <w:p>
            <w:pPr>
              <w:ind w:left="440"/>
              <w:spacing w:after="0"/>
              <w:rPr>
                <w:sz w:val="20"/>
                <w:szCs w:val="20"/>
                <w:color w:val="auto"/>
              </w:rPr>
            </w:pPr>
            <w:r>
              <w:rPr>
                <w:rFonts w:ascii="Arial" w:cs="Arial" w:eastAsia="Arial" w:hAnsi="Arial"/>
                <w:sz w:val="18"/>
                <w:szCs w:val="18"/>
                <w:color w:val="auto"/>
              </w:rPr>
              <w:t>Note payable to Comcast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ind w:lef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16"/>
        </w:trPr>
        <w:tc>
          <w:tcPr>
            <w:tcW w:w="904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402</w:t>
            </w:r>
          </w:p>
        </w:tc>
        <w:tc>
          <w:tcPr>
            <w:tcW w:w="1020" w:type="dxa"/>
            <w:vAlign w:val="bottom"/>
            <w:tcBorders>
              <w:bottom w:val="single" w:sz="8" w:color="auto"/>
            </w:tcBorders>
            <w:shd w:val="clear" w:color="auto" w:fill="E5E5E5"/>
          </w:tcPr>
          <w:p>
            <w:pPr>
              <w:ind w:left="8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397"/>
        </w:trPr>
        <w:tc>
          <w:tcPr>
            <w:tcW w:w="9040" w:type="dxa"/>
            <w:vAlign w:val="bottom"/>
          </w:tcPr>
          <w:p>
            <w:pPr>
              <w:ind w:left="3760"/>
              <w:spacing w:after="0"/>
              <w:rPr>
                <w:sz w:val="20"/>
                <w:szCs w:val="20"/>
                <w:color w:val="auto"/>
              </w:rPr>
            </w:pPr>
            <w:r>
              <w:rPr>
                <w:rFonts w:ascii="Arial" w:cs="Arial" w:eastAsia="Arial" w:hAnsi="Arial"/>
                <w:sz w:val="18"/>
                <w:szCs w:val="18"/>
                <w:b w:val="1"/>
                <w:bCs w:val="1"/>
                <w:color w:val="auto"/>
              </w:rPr>
              <w:t>Condensed Consolidated Statement of Income</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9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700" w:type="dxa"/>
            <w:vAlign w:val="bottom"/>
            <w:gridSpan w:val="3"/>
          </w:tcPr>
          <w:p>
            <w:pPr>
              <w:jc w:val="right"/>
              <w:ind w:right="314"/>
              <w:spacing w:after="0"/>
              <w:rPr>
                <w:sz w:val="20"/>
                <w:szCs w:val="20"/>
                <w:color w:val="auto"/>
              </w:rPr>
            </w:pPr>
            <w:r>
              <w:rPr>
                <w:rFonts w:ascii="Arial" w:cs="Arial" w:eastAsia="Arial" w:hAnsi="Arial"/>
                <w:sz w:val="14"/>
                <w:szCs w:val="14"/>
                <w:color w:val="auto"/>
                <w:w w:val="97"/>
              </w:rPr>
              <w:t>Three Months Ended</w:t>
            </w:r>
          </w:p>
        </w:tc>
        <w:tc>
          <w:tcPr>
            <w:tcW w:w="0" w:type="dxa"/>
            <w:vAlign w:val="bottom"/>
          </w:tcPr>
          <w:p>
            <w:pPr>
              <w:spacing w:after="0"/>
              <w:rPr>
                <w:sz w:val="1"/>
                <w:szCs w:val="1"/>
                <w:color w:val="auto"/>
              </w:rPr>
            </w:pPr>
          </w:p>
        </w:tc>
      </w:tr>
      <w:tr>
        <w:trPr>
          <w:trHeight w:val="159"/>
        </w:trPr>
        <w:tc>
          <w:tcPr>
            <w:tcW w:w="90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ind w:left="460"/>
              <w:spacing w:after="0" w:line="159" w:lineRule="exact"/>
              <w:rPr>
                <w:sz w:val="20"/>
                <w:szCs w:val="20"/>
                <w:color w:val="auto"/>
              </w:rPr>
            </w:pPr>
            <w:r>
              <w:rPr>
                <w:rFonts w:ascii="Arial" w:cs="Arial" w:eastAsia="Arial" w:hAnsi="Arial"/>
                <w:sz w:val="14"/>
                <w:szCs w:val="14"/>
                <w:color w:val="auto"/>
                <w:w w:val="92"/>
              </w:rPr>
              <w:t>March 31</w:t>
            </w: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0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2015</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w w:val="89"/>
              </w:rPr>
              <w:t>2014</w:t>
            </w:r>
          </w:p>
        </w:tc>
        <w:tc>
          <w:tcPr>
            <w:tcW w:w="0" w:type="dxa"/>
            <w:vAlign w:val="bottom"/>
          </w:tcPr>
          <w:p>
            <w:pPr>
              <w:spacing w:after="0"/>
              <w:rPr>
                <w:sz w:val="1"/>
                <w:szCs w:val="1"/>
                <w:color w:val="auto"/>
              </w:rPr>
            </w:pPr>
          </w:p>
        </w:tc>
      </w:tr>
      <w:tr>
        <w:trPr>
          <w:trHeight w:val="210"/>
        </w:trPr>
        <w:tc>
          <w:tcPr>
            <w:tcW w:w="90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22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ind w:left="440"/>
              <w:spacing w:after="0"/>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8"/>
              <w:spacing w:after="0"/>
              <w:rPr>
                <w:sz w:val="20"/>
                <w:szCs w:val="20"/>
                <w:color w:val="auto"/>
              </w:rPr>
            </w:pPr>
            <w:r>
              <w:rPr>
                <w:rFonts w:ascii="Arial" w:cs="Arial" w:eastAsia="Arial" w:hAnsi="Arial"/>
                <w:sz w:val="18"/>
                <w:szCs w:val="18"/>
                <w:color w:val="auto"/>
              </w:rPr>
              <w:t>342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90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Operating costs and expenses</w:t>
            </w:r>
          </w:p>
        </w:tc>
        <w:tc>
          <w:tcPr>
            <w:tcW w:w="22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ind w:right="478"/>
              <w:spacing w:after="0"/>
              <w:rPr>
                <w:sz w:val="20"/>
                <w:szCs w:val="20"/>
                <w:color w:val="auto"/>
              </w:rPr>
            </w:pPr>
            <w:r>
              <w:rPr>
                <w:rFonts w:ascii="Arial" w:cs="Arial" w:eastAsia="Arial" w:hAnsi="Arial"/>
                <w:sz w:val="18"/>
                <w:szCs w:val="18"/>
                <w:color w:val="auto"/>
              </w:rPr>
              <w:t>(50)</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90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478"/>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to NBCUniversal Holdings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transactions presented in the table above, we make distributions to NBCUniversal Holdings on a periodic basis to enable its owners to meet their obligations to pay taxes on taxable income generated by our businesses. We also make quarterly distributions to NBCUniversal Holdings to enable it to make its required quarterly payments to NBCUniversal Enterprise, Inc. (“NBCUniversal Enterprise”) at an initial annual rate of 8.25% on the $9.4 billion aggregate liquidation preference of preferred units. These distributions are presented under the caption “distributions to member” in our condensed consolidated statement of cash flows.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Film and Television Costs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4000" w:type="dxa"/>
            <w:vAlign w:val="bottom"/>
            <w:gridSpan w:val="2"/>
          </w:tcPr>
          <w:p>
            <w:pPr>
              <w:ind w:left="3060"/>
              <w:spacing w:after="0"/>
              <w:rPr>
                <w:sz w:val="20"/>
                <w:szCs w:val="20"/>
                <w:color w:val="auto"/>
              </w:rPr>
            </w:pPr>
            <w:r>
              <w:rPr>
                <w:rFonts w:ascii="Arial" w:cs="Arial" w:eastAsia="Arial" w:hAnsi="Arial"/>
                <w:sz w:val="14"/>
                <w:szCs w:val="14"/>
                <w:color w:val="auto"/>
              </w:rPr>
              <w:t>March 31,</w:t>
            </w:r>
          </w:p>
        </w:tc>
        <w:tc>
          <w:tcPr>
            <w:tcW w:w="1220" w:type="dxa"/>
            <w:vAlign w:val="bottom"/>
            <w:gridSpan w:val="2"/>
          </w:tcPr>
          <w:p>
            <w:pPr>
              <w:ind w:left="360"/>
              <w:spacing w:after="0"/>
              <w:rPr>
                <w:sz w:val="20"/>
                <w:szCs w:val="20"/>
                <w:color w:val="auto"/>
              </w:rPr>
            </w:pPr>
            <w:r>
              <w:rPr>
                <w:rFonts w:ascii="Arial" w:cs="Arial" w:eastAsia="Arial" w:hAnsi="Arial"/>
                <w:sz w:val="14"/>
                <w:szCs w:val="14"/>
                <w:color w:val="auto"/>
                <w:w w:val="95"/>
              </w:rPr>
              <w:t>December 31,</w:t>
            </w:r>
          </w:p>
        </w:tc>
      </w:tr>
      <w:tr>
        <w:trPr>
          <w:trHeight w:val="159"/>
        </w:trPr>
        <w:tc>
          <w:tcPr>
            <w:tcW w:w="62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3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34"/>
              <w:spacing w:after="0" w:line="159" w:lineRule="exact"/>
              <w:rPr>
                <w:sz w:val="20"/>
                <w:szCs w:val="20"/>
                <w:color w:val="auto"/>
              </w:rPr>
            </w:pPr>
            <w:r>
              <w:rPr>
                <w:rFonts w:ascii="Arial" w:cs="Arial" w:eastAsia="Arial" w:hAnsi="Arial"/>
                <w:sz w:val="14"/>
                <w:szCs w:val="14"/>
                <w:color w:val="auto"/>
                <w:w w:val="89"/>
              </w:rPr>
              <w:t>2015</w:t>
            </w:r>
          </w:p>
        </w:tc>
        <w:tc>
          <w:tcPr>
            <w:tcW w:w="5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4"/>
              <w:spacing w:after="0" w:line="159" w:lineRule="exact"/>
              <w:rPr>
                <w:sz w:val="20"/>
                <w:szCs w:val="20"/>
                <w:color w:val="auto"/>
              </w:rPr>
            </w:pPr>
            <w:r>
              <w:rPr>
                <w:rFonts w:ascii="Arial" w:cs="Arial" w:eastAsia="Arial" w:hAnsi="Arial"/>
                <w:sz w:val="14"/>
                <w:szCs w:val="14"/>
                <w:color w:val="auto"/>
              </w:rPr>
              <w:t>2014</w:t>
            </w:r>
          </w:p>
        </w:tc>
      </w:tr>
      <w:tr>
        <w:trPr>
          <w:trHeight w:val="210"/>
        </w:trPr>
        <w:tc>
          <w:tcPr>
            <w:tcW w:w="6200" w:type="dxa"/>
            <w:vAlign w:val="bottom"/>
            <w:shd w:val="clear" w:color="auto" w:fill="E5E5E5"/>
          </w:tcPr>
          <w:p>
            <w:pPr>
              <w:spacing w:after="0"/>
              <w:rPr>
                <w:sz w:val="20"/>
                <w:szCs w:val="20"/>
                <w:color w:val="auto"/>
              </w:rPr>
            </w:pPr>
            <w:r>
              <w:rPr>
                <w:rFonts w:ascii="Arial" w:cs="Arial" w:eastAsia="Arial" w:hAnsi="Arial"/>
                <w:sz w:val="18"/>
                <w:szCs w:val="18"/>
                <w:color w:val="auto"/>
              </w:rPr>
              <w:t>Film Costs:</w:t>
            </w:r>
          </w:p>
        </w:tc>
        <w:tc>
          <w:tcPr>
            <w:tcW w:w="31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6200" w:type="dxa"/>
            <w:vAlign w:val="bottom"/>
          </w:tcPr>
          <w:p>
            <w:pPr>
              <w:ind w:left="440"/>
              <w:spacing w:after="0"/>
              <w:rPr>
                <w:sz w:val="20"/>
                <w:szCs w:val="20"/>
                <w:color w:val="auto"/>
              </w:rPr>
            </w:pPr>
            <w:r>
              <w:rPr>
                <w:rFonts w:ascii="Arial" w:cs="Arial" w:eastAsia="Arial" w:hAnsi="Arial"/>
                <w:sz w:val="18"/>
                <w:szCs w:val="18"/>
                <w:color w:val="auto"/>
              </w:rPr>
              <w:t>Released, less amortization</w:t>
            </w:r>
          </w:p>
        </w:tc>
        <w:tc>
          <w:tcPr>
            <w:tcW w:w="3180" w:type="dxa"/>
            <w:vAlign w:val="bottom"/>
          </w:tcPr>
          <w:p>
            <w:pPr>
              <w:ind w:left="306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4"/>
              <w:spacing w:after="0"/>
              <w:rPr>
                <w:sz w:val="20"/>
                <w:szCs w:val="20"/>
                <w:color w:val="auto"/>
              </w:rPr>
            </w:pPr>
            <w:r>
              <w:rPr>
                <w:rFonts w:ascii="Arial" w:cs="Arial" w:eastAsia="Arial" w:hAnsi="Arial"/>
                <w:sz w:val="18"/>
                <w:szCs w:val="18"/>
                <w:color w:val="auto"/>
                <w:w w:val="93"/>
              </w:rPr>
              <w:t>1,244</w:t>
            </w: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1,371</w:t>
            </w:r>
          </w:p>
        </w:tc>
      </w:tr>
      <w:tr>
        <w:trPr>
          <w:trHeight w:val="216"/>
        </w:trPr>
        <w:tc>
          <w:tcPr>
            <w:tcW w:w="62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Completed, not released</w:t>
            </w:r>
          </w:p>
        </w:tc>
        <w:tc>
          <w:tcPr>
            <w:tcW w:w="31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94"/>
              <w:spacing w:after="0"/>
              <w:rPr>
                <w:sz w:val="20"/>
                <w:szCs w:val="20"/>
                <w:color w:val="auto"/>
              </w:rPr>
            </w:pPr>
            <w:r>
              <w:rPr>
                <w:rFonts w:ascii="Arial" w:cs="Arial" w:eastAsia="Arial" w:hAnsi="Arial"/>
                <w:sz w:val="18"/>
                <w:szCs w:val="18"/>
                <w:color w:val="auto"/>
              </w:rPr>
              <w:t>444</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71</w:t>
            </w:r>
          </w:p>
        </w:tc>
      </w:tr>
      <w:tr>
        <w:trPr>
          <w:trHeight w:val="216"/>
        </w:trPr>
        <w:tc>
          <w:tcPr>
            <w:tcW w:w="62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3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952</w:t>
            </w: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1,189</w:t>
            </w:r>
          </w:p>
        </w:tc>
      </w:tr>
      <w:tr>
        <w:trPr>
          <w:trHeight w:val="210"/>
        </w:trPr>
        <w:tc>
          <w:tcPr>
            <w:tcW w:w="6200" w:type="dxa"/>
            <w:vAlign w:val="bottom"/>
            <w:shd w:val="clear" w:color="auto" w:fill="E5E5E5"/>
          </w:tcPr>
          <w:p>
            <w:pPr>
              <w:spacing w:after="0"/>
              <w:rPr>
                <w:sz w:val="18"/>
                <w:szCs w:val="18"/>
                <w:color w:val="auto"/>
              </w:rPr>
            </w:pPr>
          </w:p>
        </w:tc>
        <w:tc>
          <w:tcPr>
            <w:tcW w:w="31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94"/>
              <w:spacing w:after="0"/>
              <w:rPr>
                <w:sz w:val="20"/>
                <w:szCs w:val="20"/>
                <w:color w:val="auto"/>
              </w:rPr>
            </w:pPr>
            <w:r>
              <w:rPr>
                <w:rFonts w:ascii="Arial" w:cs="Arial" w:eastAsia="Arial" w:hAnsi="Arial"/>
                <w:sz w:val="18"/>
                <w:szCs w:val="18"/>
                <w:color w:val="auto"/>
                <w:w w:val="93"/>
              </w:rPr>
              <w:t>2,640</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2,631</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Television Costs:</w:t>
            </w:r>
          </w:p>
        </w:tc>
        <w:tc>
          <w:tcPr>
            <w:tcW w:w="3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2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Released, less amortization</w:t>
            </w:r>
          </w:p>
        </w:tc>
        <w:tc>
          <w:tcPr>
            <w:tcW w:w="31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94"/>
              <w:spacing w:after="0"/>
              <w:rPr>
                <w:sz w:val="20"/>
                <w:szCs w:val="20"/>
                <w:color w:val="auto"/>
              </w:rPr>
            </w:pPr>
            <w:r>
              <w:rPr>
                <w:rFonts w:ascii="Arial" w:cs="Arial" w:eastAsia="Arial" w:hAnsi="Arial"/>
                <w:sz w:val="18"/>
                <w:szCs w:val="18"/>
                <w:color w:val="auto"/>
                <w:w w:val="93"/>
              </w:rPr>
              <w:t>1,361</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1,273</w:t>
            </w:r>
          </w:p>
        </w:tc>
      </w:tr>
      <w:tr>
        <w:trPr>
          <w:trHeight w:val="216"/>
        </w:trPr>
        <w:tc>
          <w:tcPr>
            <w:tcW w:w="62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3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407</w:t>
            </w: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505</w:t>
            </w:r>
          </w:p>
        </w:tc>
      </w:tr>
      <w:tr>
        <w:trPr>
          <w:trHeight w:val="210"/>
        </w:trPr>
        <w:tc>
          <w:tcPr>
            <w:tcW w:w="6200" w:type="dxa"/>
            <w:vAlign w:val="bottom"/>
            <w:shd w:val="clear" w:color="auto" w:fill="E5E5E5"/>
          </w:tcPr>
          <w:p>
            <w:pPr>
              <w:spacing w:after="0"/>
              <w:rPr>
                <w:sz w:val="18"/>
                <w:szCs w:val="18"/>
                <w:color w:val="auto"/>
              </w:rPr>
            </w:pPr>
          </w:p>
        </w:tc>
        <w:tc>
          <w:tcPr>
            <w:tcW w:w="31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94"/>
              <w:spacing w:after="0"/>
              <w:rPr>
                <w:sz w:val="20"/>
                <w:szCs w:val="20"/>
                <w:color w:val="auto"/>
              </w:rPr>
            </w:pPr>
            <w:r>
              <w:rPr>
                <w:rFonts w:ascii="Arial" w:cs="Arial" w:eastAsia="Arial" w:hAnsi="Arial"/>
                <w:sz w:val="18"/>
                <w:szCs w:val="18"/>
                <w:color w:val="auto"/>
                <w:w w:val="93"/>
              </w:rPr>
              <w:t>1,768</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1,778</w:t>
            </w:r>
          </w:p>
        </w:tc>
      </w:tr>
      <w:tr>
        <w:trPr>
          <w:trHeight w:val="216"/>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Programming rights, less amortization</w:t>
            </w:r>
          </w:p>
        </w:tc>
        <w:tc>
          <w:tcPr>
            <w:tcW w:w="3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w w:val="93"/>
              </w:rPr>
              <w:t>2,145</w:t>
            </w: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2,130</w:t>
            </w:r>
          </w:p>
        </w:tc>
      </w:tr>
      <w:tr>
        <w:trPr>
          <w:trHeight w:val="210"/>
        </w:trPr>
        <w:tc>
          <w:tcPr>
            <w:tcW w:w="6200" w:type="dxa"/>
            <w:vAlign w:val="bottom"/>
            <w:shd w:val="clear" w:color="auto" w:fill="E5E5E5"/>
          </w:tcPr>
          <w:p>
            <w:pPr>
              <w:spacing w:after="0"/>
              <w:rPr>
                <w:sz w:val="18"/>
                <w:szCs w:val="18"/>
                <w:color w:val="auto"/>
              </w:rPr>
            </w:pPr>
          </w:p>
        </w:tc>
        <w:tc>
          <w:tcPr>
            <w:tcW w:w="31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94"/>
              <w:spacing w:after="0"/>
              <w:rPr>
                <w:sz w:val="20"/>
                <w:szCs w:val="20"/>
                <w:color w:val="auto"/>
              </w:rPr>
            </w:pPr>
            <w:r>
              <w:rPr>
                <w:rFonts w:ascii="Arial" w:cs="Arial" w:eastAsia="Arial" w:hAnsi="Arial"/>
                <w:sz w:val="18"/>
                <w:szCs w:val="18"/>
                <w:color w:val="auto"/>
                <w:w w:val="93"/>
              </w:rPr>
              <w:t>6,553</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6,539</w:t>
            </w:r>
          </w:p>
        </w:tc>
      </w:tr>
      <w:tr>
        <w:trPr>
          <w:trHeight w:val="216"/>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 of programming rights</w:t>
            </w:r>
          </w:p>
        </w:tc>
        <w:tc>
          <w:tcPr>
            <w:tcW w:w="3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925</w:t>
            </w: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825</w:t>
            </w:r>
          </w:p>
        </w:tc>
      </w:tr>
      <w:tr>
        <w:trPr>
          <w:trHeight w:val="230"/>
        </w:trPr>
        <w:tc>
          <w:tcPr>
            <w:tcW w:w="62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Film and television costs</w:t>
            </w:r>
          </w:p>
        </w:tc>
        <w:tc>
          <w:tcPr>
            <w:tcW w:w="3180" w:type="dxa"/>
            <w:vAlign w:val="bottom"/>
            <w:tcBorders>
              <w:bottom w:val="single" w:sz="8" w:color="auto"/>
            </w:tcBorders>
            <w:shd w:val="clear" w:color="auto" w:fill="E5E5E5"/>
          </w:tcPr>
          <w:p>
            <w:pPr>
              <w:ind w:left="306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E5E5E5"/>
          </w:tcPr>
          <w:p>
            <w:pPr>
              <w:jc w:val="right"/>
              <w:ind w:right="294"/>
              <w:spacing w:after="0"/>
              <w:rPr>
                <w:sz w:val="20"/>
                <w:szCs w:val="20"/>
                <w:color w:val="auto"/>
              </w:rPr>
            </w:pPr>
            <w:r>
              <w:rPr>
                <w:rFonts w:ascii="Arial" w:cs="Arial" w:eastAsia="Arial" w:hAnsi="Arial"/>
                <w:sz w:val="18"/>
                <w:szCs w:val="18"/>
                <w:b w:val="1"/>
                <w:bCs w:val="1"/>
                <w:color w:val="auto"/>
                <w:w w:val="93"/>
              </w:rPr>
              <w:t>5,628</w:t>
            </w:r>
          </w:p>
        </w:tc>
        <w:tc>
          <w:tcPr>
            <w:tcW w:w="52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5,714</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Investments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4580" w:type="dxa"/>
            <w:vAlign w:val="bottom"/>
            <w:gridSpan w:val="2"/>
          </w:tcPr>
          <w:p>
            <w:pPr>
              <w:ind w:left="3600"/>
              <w:spacing w:after="0"/>
              <w:rPr>
                <w:sz w:val="20"/>
                <w:szCs w:val="20"/>
                <w:color w:val="auto"/>
              </w:rPr>
            </w:pPr>
            <w:r>
              <w:rPr>
                <w:rFonts w:ascii="Arial" w:cs="Arial" w:eastAsia="Arial" w:hAnsi="Arial"/>
                <w:sz w:val="14"/>
                <w:szCs w:val="14"/>
                <w:color w:val="auto"/>
              </w:rPr>
              <w:t>March 31,</w:t>
            </w:r>
          </w:p>
        </w:tc>
        <w:tc>
          <w:tcPr>
            <w:tcW w:w="1280" w:type="dxa"/>
            <w:vAlign w:val="bottom"/>
            <w:gridSpan w:val="2"/>
          </w:tcPr>
          <w:p>
            <w:pPr>
              <w:ind w:left="420"/>
              <w:spacing w:after="0"/>
              <w:rPr>
                <w:sz w:val="20"/>
                <w:szCs w:val="20"/>
                <w:color w:val="auto"/>
              </w:rPr>
            </w:pPr>
            <w:r>
              <w:rPr>
                <w:rFonts w:ascii="Arial" w:cs="Arial" w:eastAsia="Arial" w:hAnsi="Arial"/>
                <w:sz w:val="14"/>
                <w:szCs w:val="14"/>
                <w:color w:val="auto"/>
                <w:w w:val="95"/>
              </w:rPr>
              <w:t>December 31,</w:t>
            </w:r>
          </w:p>
        </w:tc>
      </w:tr>
      <w:tr>
        <w:trPr>
          <w:trHeight w:val="159"/>
        </w:trPr>
        <w:tc>
          <w:tcPr>
            <w:tcW w:w="556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3700" w:type="dxa"/>
            <w:vAlign w:val="bottom"/>
          </w:tcPr>
          <w:p>
            <w:pPr>
              <w:spacing w:after="0"/>
              <w:rPr>
                <w:sz w:val="13"/>
                <w:szCs w:val="13"/>
                <w:color w:val="auto"/>
              </w:rPr>
            </w:pPr>
          </w:p>
        </w:tc>
        <w:tc>
          <w:tcPr>
            <w:tcW w:w="880" w:type="dxa"/>
            <w:vAlign w:val="bottom"/>
          </w:tcPr>
          <w:p>
            <w:pPr>
              <w:jc w:val="right"/>
              <w:ind w:right="494"/>
              <w:spacing w:after="0" w:line="159" w:lineRule="exact"/>
              <w:rPr>
                <w:sz w:val="20"/>
                <w:szCs w:val="20"/>
                <w:color w:val="auto"/>
              </w:rPr>
            </w:pPr>
            <w:r>
              <w:rPr>
                <w:rFonts w:ascii="Arial" w:cs="Arial" w:eastAsia="Arial" w:hAnsi="Arial"/>
                <w:sz w:val="14"/>
                <w:szCs w:val="14"/>
                <w:color w:val="auto"/>
                <w:w w:val="89"/>
              </w:rPr>
              <w:t>2015</w:t>
            </w:r>
          </w:p>
        </w:tc>
        <w:tc>
          <w:tcPr>
            <w:tcW w:w="580" w:type="dxa"/>
            <w:vAlign w:val="bottom"/>
          </w:tcPr>
          <w:p>
            <w:pPr>
              <w:spacing w:after="0"/>
              <w:rPr>
                <w:sz w:val="13"/>
                <w:szCs w:val="13"/>
                <w:color w:val="auto"/>
              </w:rPr>
            </w:pPr>
          </w:p>
        </w:tc>
        <w:tc>
          <w:tcPr>
            <w:tcW w:w="700" w:type="dxa"/>
            <w:vAlign w:val="bottom"/>
          </w:tcPr>
          <w:p>
            <w:pPr>
              <w:jc w:val="right"/>
              <w:ind w:right="254"/>
              <w:spacing w:after="0" w:line="159" w:lineRule="exact"/>
              <w:rPr>
                <w:sz w:val="20"/>
                <w:szCs w:val="20"/>
                <w:color w:val="auto"/>
              </w:rPr>
            </w:pPr>
            <w:r>
              <w:rPr>
                <w:rFonts w:ascii="Arial" w:cs="Arial" w:eastAsia="Arial" w:hAnsi="Arial"/>
                <w:sz w:val="14"/>
                <w:szCs w:val="14"/>
                <w:color w:val="auto"/>
              </w:rPr>
              <w:t>2014</w:t>
            </w:r>
          </w:p>
        </w:tc>
      </w:tr>
      <w:tr>
        <w:trPr>
          <w:trHeight w:val="210"/>
        </w:trPr>
        <w:tc>
          <w:tcPr>
            <w:tcW w:w="20" w:type="dxa"/>
            <w:vAlign w:val="bottom"/>
          </w:tcPr>
          <w:p>
            <w:pPr>
              <w:spacing w:after="0"/>
              <w:rPr>
                <w:sz w:val="18"/>
                <w:szCs w:val="18"/>
                <w:color w:val="auto"/>
              </w:rPr>
            </w:pPr>
          </w:p>
        </w:tc>
        <w:tc>
          <w:tcPr>
            <w:tcW w:w="55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Fair Value Method</w:t>
            </w:r>
          </w:p>
        </w:tc>
        <w:tc>
          <w:tcPr>
            <w:tcW w:w="3700" w:type="dxa"/>
            <w:vAlign w:val="bottom"/>
            <w:tcBorders>
              <w:top w:val="single" w:sz="8" w:color="auto"/>
            </w:tcBorders>
            <w:shd w:val="clear" w:color="auto" w:fill="E5E5E5"/>
          </w:tcPr>
          <w:p>
            <w:pPr>
              <w:ind w:left="360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E5E5E5"/>
          </w:tcPr>
          <w:p>
            <w:pPr>
              <w:jc w:val="right"/>
              <w:ind w:right="334"/>
              <w:spacing w:after="0"/>
              <w:rPr>
                <w:sz w:val="20"/>
                <w:szCs w:val="20"/>
                <w:color w:val="auto"/>
              </w:rPr>
            </w:pPr>
            <w:r>
              <w:rPr>
                <w:rFonts w:ascii="Arial" w:cs="Arial" w:eastAsia="Arial" w:hAnsi="Arial"/>
                <w:sz w:val="18"/>
                <w:szCs w:val="18"/>
                <w:color w:val="auto"/>
              </w:rPr>
              <w:t>10</w:t>
            </w:r>
          </w:p>
        </w:tc>
        <w:tc>
          <w:tcPr>
            <w:tcW w:w="580" w:type="dxa"/>
            <w:vAlign w:val="bottom"/>
            <w:tcBorders>
              <w:top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Equity Method:</w:t>
            </w:r>
          </w:p>
        </w:tc>
        <w:tc>
          <w:tcPr>
            <w:tcW w:w="3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The Weather Channel</w:t>
            </w:r>
          </w:p>
        </w:tc>
        <w:tc>
          <w:tcPr>
            <w:tcW w:w="370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334"/>
              <w:spacing w:after="0"/>
              <w:rPr>
                <w:sz w:val="20"/>
                <w:szCs w:val="20"/>
                <w:color w:val="auto"/>
              </w:rPr>
            </w:pPr>
            <w:r>
              <w:rPr>
                <w:rFonts w:ascii="Arial" w:cs="Arial" w:eastAsia="Arial" w:hAnsi="Arial"/>
                <w:sz w:val="18"/>
                <w:szCs w:val="18"/>
                <w:color w:val="auto"/>
              </w:rPr>
              <w:t>336</w:t>
            </w:r>
          </w:p>
        </w:tc>
        <w:tc>
          <w:tcPr>
            <w:tcW w:w="5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335</w:t>
            </w: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Hulu</w:t>
            </w:r>
          </w:p>
        </w:tc>
        <w:tc>
          <w:tcPr>
            <w:tcW w:w="3700" w:type="dxa"/>
            <w:vAlign w:val="bottom"/>
          </w:tcPr>
          <w:p>
            <w:pPr>
              <w:spacing w:after="0"/>
              <w:rPr>
                <w:sz w:val="18"/>
                <w:szCs w:val="18"/>
                <w:color w:val="auto"/>
              </w:rPr>
            </w:pPr>
          </w:p>
        </w:tc>
        <w:tc>
          <w:tcPr>
            <w:tcW w:w="880" w:type="dxa"/>
            <w:vAlign w:val="bottom"/>
          </w:tcPr>
          <w:p>
            <w:pPr>
              <w:jc w:val="right"/>
              <w:ind w:right="334"/>
              <w:spacing w:after="0"/>
              <w:rPr>
                <w:sz w:val="20"/>
                <w:szCs w:val="20"/>
                <w:color w:val="auto"/>
              </w:rPr>
            </w:pPr>
            <w:r>
              <w:rPr>
                <w:rFonts w:ascii="Arial" w:cs="Arial" w:eastAsia="Arial" w:hAnsi="Arial"/>
                <w:sz w:val="18"/>
                <w:szCs w:val="18"/>
                <w:color w:val="auto"/>
              </w:rPr>
              <w:t>279</w:t>
            </w:r>
          </w:p>
        </w:tc>
        <w:tc>
          <w:tcPr>
            <w:tcW w:w="58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167</w:t>
            </w:r>
          </w:p>
        </w:tc>
      </w:tr>
      <w:tr>
        <w:trPr>
          <w:trHeight w:val="216"/>
        </w:trPr>
        <w:tc>
          <w:tcPr>
            <w:tcW w:w="20" w:type="dxa"/>
            <w:vAlign w:val="bottom"/>
          </w:tcPr>
          <w:p>
            <w:pPr>
              <w:spacing w:after="0"/>
              <w:rPr>
                <w:sz w:val="18"/>
                <w:szCs w:val="18"/>
                <w:color w:val="auto"/>
              </w:rPr>
            </w:pPr>
          </w:p>
        </w:tc>
        <w:tc>
          <w:tcPr>
            <w:tcW w:w="554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w:t>
            </w:r>
          </w:p>
        </w:tc>
        <w:tc>
          <w:tcPr>
            <w:tcW w:w="370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334"/>
              <w:spacing w:after="0"/>
              <w:rPr>
                <w:sz w:val="20"/>
                <w:szCs w:val="20"/>
                <w:color w:val="auto"/>
              </w:rPr>
            </w:pPr>
            <w:r>
              <w:rPr>
                <w:rFonts w:ascii="Arial" w:cs="Arial" w:eastAsia="Arial" w:hAnsi="Arial"/>
                <w:sz w:val="18"/>
                <w:szCs w:val="18"/>
                <w:color w:val="auto"/>
              </w:rPr>
              <w:t>356</w:t>
            </w:r>
          </w:p>
        </w:tc>
        <w:tc>
          <w:tcPr>
            <w:tcW w:w="5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338</w:t>
            </w:r>
          </w:p>
        </w:tc>
      </w:tr>
      <w:tr>
        <w:trPr>
          <w:trHeight w:val="210"/>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880" w:type="dxa"/>
            <w:vAlign w:val="bottom"/>
          </w:tcPr>
          <w:p>
            <w:pPr>
              <w:jc w:val="right"/>
              <w:ind w:right="334"/>
              <w:spacing w:after="0"/>
              <w:rPr>
                <w:sz w:val="20"/>
                <w:szCs w:val="20"/>
                <w:color w:val="auto"/>
              </w:rPr>
            </w:pPr>
            <w:r>
              <w:rPr>
                <w:rFonts w:ascii="Arial" w:cs="Arial" w:eastAsia="Arial" w:hAnsi="Arial"/>
                <w:sz w:val="18"/>
                <w:szCs w:val="18"/>
                <w:color w:val="auto"/>
              </w:rPr>
              <w:t>971</w:t>
            </w:r>
          </w:p>
        </w:tc>
        <w:tc>
          <w:tcPr>
            <w:tcW w:w="58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840</w:t>
            </w:r>
          </w:p>
        </w:tc>
      </w:tr>
      <w:tr>
        <w:trPr>
          <w:trHeight w:val="216"/>
        </w:trPr>
        <w:tc>
          <w:tcPr>
            <w:tcW w:w="20" w:type="dxa"/>
            <w:vAlign w:val="bottom"/>
          </w:tcPr>
          <w:p>
            <w:pPr>
              <w:spacing w:after="0"/>
              <w:rPr>
                <w:sz w:val="18"/>
                <w:szCs w:val="18"/>
                <w:color w:val="auto"/>
              </w:rPr>
            </w:pPr>
          </w:p>
        </w:tc>
        <w:tc>
          <w:tcPr>
            <w:tcW w:w="5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Cost Method</w:t>
            </w:r>
          </w:p>
        </w:tc>
        <w:tc>
          <w:tcPr>
            <w:tcW w:w="370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334"/>
              <w:spacing w:after="0"/>
              <w:rPr>
                <w:sz w:val="20"/>
                <w:szCs w:val="20"/>
                <w:color w:val="auto"/>
              </w:rPr>
            </w:pPr>
            <w:r>
              <w:rPr>
                <w:rFonts w:ascii="Arial" w:cs="Arial" w:eastAsia="Arial" w:hAnsi="Arial"/>
                <w:sz w:val="18"/>
                <w:szCs w:val="18"/>
                <w:color w:val="auto"/>
              </w:rPr>
              <w:t>24</w:t>
            </w:r>
          </w:p>
        </w:tc>
        <w:tc>
          <w:tcPr>
            <w:tcW w:w="5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32</w:t>
            </w:r>
          </w:p>
        </w:tc>
      </w:tr>
      <w:tr>
        <w:trPr>
          <w:trHeight w:val="210"/>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Total investments</w:t>
            </w:r>
          </w:p>
        </w:tc>
        <w:tc>
          <w:tcPr>
            <w:tcW w:w="3700" w:type="dxa"/>
            <w:vAlign w:val="bottom"/>
          </w:tcPr>
          <w:p>
            <w:pPr>
              <w:spacing w:after="0"/>
              <w:rPr>
                <w:sz w:val="18"/>
                <w:szCs w:val="18"/>
                <w:color w:val="auto"/>
              </w:rPr>
            </w:pPr>
          </w:p>
        </w:tc>
        <w:tc>
          <w:tcPr>
            <w:tcW w:w="880" w:type="dxa"/>
            <w:vAlign w:val="bottom"/>
          </w:tcPr>
          <w:p>
            <w:pPr>
              <w:jc w:val="right"/>
              <w:ind w:right="334"/>
              <w:spacing w:after="0"/>
              <w:rPr>
                <w:sz w:val="20"/>
                <w:szCs w:val="20"/>
                <w:color w:val="auto"/>
              </w:rPr>
            </w:pPr>
            <w:r>
              <w:rPr>
                <w:rFonts w:ascii="Arial" w:cs="Arial" w:eastAsia="Arial" w:hAnsi="Arial"/>
                <w:sz w:val="18"/>
                <w:szCs w:val="18"/>
                <w:color w:val="auto"/>
                <w:w w:val="97"/>
              </w:rPr>
              <w:t>1,005</w:t>
            </w:r>
          </w:p>
        </w:tc>
        <w:tc>
          <w:tcPr>
            <w:tcW w:w="58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882</w:t>
            </w:r>
          </w:p>
        </w:tc>
      </w:tr>
      <w:tr>
        <w:trPr>
          <w:trHeight w:val="216"/>
        </w:trPr>
        <w:tc>
          <w:tcPr>
            <w:tcW w:w="20" w:type="dxa"/>
            <w:vAlign w:val="bottom"/>
          </w:tcPr>
          <w:p>
            <w:pPr>
              <w:spacing w:after="0"/>
              <w:rPr>
                <w:sz w:val="18"/>
                <w:szCs w:val="18"/>
                <w:color w:val="auto"/>
              </w:rPr>
            </w:pPr>
          </w:p>
        </w:tc>
        <w:tc>
          <w:tcPr>
            <w:tcW w:w="5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Current investments</w:t>
            </w:r>
          </w:p>
        </w:tc>
        <w:tc>
          <w:tcPr>
            <w:tcW w:w="370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334"/>
              <w:spacing w:after="0"/>
              <w:rPr>
                <w:sz w:val="20"/>
                <w:szCs w:val="20"/>
                <w:color w:val="auto"/>
              </w:rPr>
            </w:pPr>
            <w:r>
              <w:rPr>
                <w:rFonts w:ascii="Arial" w:cs="Arial" w:eastAsia="Arial" w:hAnsi="Arial"/>
                <w:sz w:val="18"/>
                <w:szCs w:val="18"/>
                <w:color w:val="auto"/>
              </w:rPr>
              <w:t>52</w:t>
            </w:r>
          </w:p>
        </w:tc>
        <w:tc>
          <w:tcPr>
            <w:tcW w:w="5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Borders>
              <w:bottom w:val="single" w:sz="8" w:color="auto"/>
            </w:tcBorders>
          </w:tcPr>
          <w:p>
            <w:pPr>
              <w:spacing w:after="0"/>
              <w:rPr>
                <w:sz w:val="20"/>
                <w:szCs w:val="20"/>
                <w:color w:val="auto"/>
              </w:rPr>
            </w:pPr>
          </w:p>
        </w:tc>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Noncurrent investments</w:t>
            </w:r>
          </w:p>
        </w:tc>
        <w:tc>
          <w:tcPr>
            <w:tcW w:w="3700" w:type="dxa"/>
            <w:vAlign w:val="bottom"/>
            <w:tcBorders>
              <w:bottom w:val="single" w:sz="8" w:color="auto"/>
            </w:tcBorders>
          </w:tcPr>
          <w:p>
            <w:pPr>
              <w:ind w:left="360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b w:val="1"/>
                <w:bCs w:val="1"/>
                <w:color w:val="auto"/>
              </w:rPr>
              <w:t>953</w:t>
            </w:r>
          </w:p>
        </w:tc>
        <w:tc>
          <w:tcPr>
            <w:tcW w:w="58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882</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Long-Term Debt</w:t>
      </w:r>
    </w:p>
    <w:p>
      <w:pPr>
        <w:spacing w:after="0" w:line="13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of March 31, 2015, our debt had a carrying value of $10.2 billion and an estimated fair value of $11.6 billion. The estimated fair value of our publicly traded debt is primarily based on Level 1 inputs that use quoted market values for the debt. The estimated fair value of debt for which there are no quoted market prices is based on Level 2 inputs that use interest rates available to us for debt with similar terms and remaining maturities.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Repayments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In April 2015, we repaid at maturity $1 billion aggregate principal amount of 3.65% senior notes due 2015.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Cross-Guarantee Structure</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2013, we, Comcast and certain of Comcast’s 100% owned cable holding company subsidiaries (the “cable guarantors”) entered into a series of agreements and supplemental indentures to include us as a part of Comcast’s existing cross-guarantee structure. As members of the cross-guarantee structure, Comcast and the cable guarantors fully and unconditionally guarantee our public debt securities, and we fully and unconditionally guarantee all of Comcast’s and the cable guarantors’ public debt securities. As of March 31, 2015, we guaranteed $31.7 billion of outstanding debt securities of Comcast and the cable guarantors. We also fully and unconditionally guarantee the $6.25 billion Comcast revolving credit facility due 2017, of which no amounts were outstanding as of March 31, 2015.</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do not, however, guarantee the obligations of NBCUniversal Enterprise with respect to its $4 billion aggregate principal amount of senior notes, $1.35 billion revolving credit facility and associated commercial paper program, or $725 million liquidation preference of Series A cumulative preferred stock.</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Fair Value Measurements</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Our assessment of the significance of a particular input to the fair value measurement requires judgment and may affect the valuation of financial instruments and their classification within the fair value hierarchy.</w:t>
      </w:r>
    </w:p>
    <w:p>
      <w:pPr>
        <w:spacing w:after="0" w:line="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financial instruments that are accounted for at fair value on a recurring basis were not material for all periods presented, except for the liabilities associated with our contractual obligations. The fair values of the contractual obligations in the table below are primarily based on certain expected future discounted cash flows, the determination of which involves the use of significant unobservable inputs. As the inputs used are not quoted market prices or observable inputs, we classify these contractual obligations as Level 3 financial instruments.</w:t>
      </w:r>
    </w:p>
    <w:p>
      <w:pPr>
        <w:spacing w:after="0" w:line="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most significant unobservable inputs we use are our estimates of the future revenue we expect to generate from certain of our businesses. The discount rates used in the measurements of fair value as of March 31, 2015 were between 12% and 13% and are based on the underlying risk associated with our estimate of future revenue and the terms of the respective contracts. The fair value adjustments to the contractual obligations are sensitive to the assumptions related to future revenue, as well as to current interest rates, and therefore the adjustments are recorded to other income (expense), net in our condensed consolidated statement of income.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140" w:type="dxa"/>
            <w:vAlign w:val="bottom"/>
          </w:tcPr>
          <w:p>
            <w:pPr>
              <w:spacing w:after="0"/>
              <w:rPr>
                <w:sz w:val="20"/>
                <w:szCs w:val="20"/>
                <w:color w:val="auto"/>
              </w:rPr>
            </w:pPr>
          </w:p>
        </w:tc>
        <w:tc>
          <w:tcPr>
            <w:tcW w:w="7760" w:type="dxa"/>
            <w:vAlign w:val="bottom"/>
          </w:tcPr>
          <w:p>
            <w:pPr>
              <w:ind w:left="1080"/>
              <w:spacing w:after="0"/>
              <w:rPr>
                <w:sz w:val="20"/>
                <w:szCs w:val="20"/>
                <w:color w:val="auto"/>
              </w:rPr>
            </w:pPr>
            <w:r>
              <w:rPr>
                <w:rFonts w:ascii="Arial" w:cs="Arial" w:eastAsia="Arial" w:hAnsi="Arial"/>
                <w:sz w:val="18"/>
                <w:szCs w:val="18"/>
                <w:b w:val="1"/>
                <w:bCs w:val="1"/>
                <w:color w:val="auto"/>
              </w:rPr>
              <w:t>Changes in Contractual Obligations</w:t>
            </w:r>
          </w:p>
        </w:tc>
        <w:tc>
          <w:tcPr>
            <w:tcW w:w="520" w:type="dxa"/>
            <w:vAlign w:val="bottom"/>
          </w:tcPr>
          <w:p>
            <w:pPr>
              <w:spacing w:after="0"/>
              <w:rPr>
                <w:sz w:val="20"/>
                <w:szCs w:val="20"/>
                <w:color w:val="auto"/>
              </w:rPr>
            </w:pPr>
          </w:p>
        </w:tc>
      </w:tr>
      <w:tr>
        <w:trPr>
          <w:trHeight w:val="261"/>
        </w:trPr>
        <w:tc>
          <w:tcPr>
            <w:tcW w:w="3140" w:type="dxa"/>
            <w:vAlign w:val="bottom"/>
          </w:tcPr>
          <w:p>
            <w:pPr>
              <w:spacing w:after="0"/>
              <w:rPr>
                <w:sz w:val="22"/>
                <w:szCs w:val="22"/>
                <w:color w:val="auto"/>
              </w:rPr>
            </w:pPr>
          </w:p>
        </w:tc>
        <w:tc>
          <w:tcPr>
            <w:tcW w:w="8280" w:type="dxa"/>
            <w:vAlign w:val="bottom"/>
            <w:gridSpan w:val="2"/>
          </w:tcPr>
          <w:p>
            <w:pPr>
              <w:ind w:left="7540"/>
              <w:spacing w:after="0"/>
              <w:rPr>
                <w:sz w:val="20"/>
                <w:szCs w:val="20"/>
                <w:color w:val="auto"/>
              </w:rPr>
            </w:pPr>
            <w:r>
              <w:rPr>
                <w:rFonts w:ascii="Arial" w:cs="Arial" w:eastAsia="Arial" w:hAnsi="Arial"/>
                <w:sz w:val="14"/>
                <w:szCs w:val="14"/>
                <w:color w:val="auto"/>
              </w:rPr>
              <w:t>Contractual</w:t>
            </w:r>
          </w:p>
        </w:tc>
      </w:tr>
      <w:tr>
        <w:trPr>
          <w:trHeight w:val="159"/>
        </w:trPr>
        <w:tc>
          <w:tcPr>
            <w:tcW w:w="31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8280" w:type="dxa"/>
            <w:vAlign w:val="bottom"/>
            <w:tcBorders>
              <w:bottom w:val="single" w:sz="8" w:color="auto"/>
            </w:tcBorders>
            <w:gridSpan w:val="2"/>
          </w:tcPr>
          <w:p>
            <w:pPr>
              <w:ind w:left="7540"/>
              <w:spacing w:after="0" w:line="159" w:lineRule="exact"/>
              <w:rPr>
                <w:sz w:val="20"/>
                <w:szCs w:val="20"/>
                <w:color w:val="auto"/>
              </w:rPr>
            </w:pPr>
            <w:r>
              <w:rPr>
                <w:rFonts w:ascii="Arial" w:cs="Arial" w:eastAsia="Arial" w:hAnsi="Arial"/>
                <w:sz w:val="14"/>
                <w:szCs w:val="14"/>
                <w:color w:val="auto"/>
              </w:rPr>
              <w:t>Obligations</w:t>
            </w:r>
          </w:p>
        </w:tc>
      </w:tr>
      <w:tr>
        <w:trPr>
          <w:trHeight w:val="210"/>
        </w:trPr>
        <w:tc>
          <w:tcPr>
            <w:tcW w:w="314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2014</w:t>
            </w:r>
          </w:p>
        </w:tc>
        <w:tc>
          <w:tcPr>
            <w:tcW w:w="7760" w:type="dxa"/>
            <w:vAlign w:val="bottom"/>
            <w:shd w:val="clear" w:color="auto" w:fill="E5E5E5"/>
          </w:tcPr>
          <w:p>
            <w:pPr>
              <w:ind w:left="7540"/>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883</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Fair value adjustments</w:t>
            </w:r>
          </w:p>
        </w:tc>
        <w:tc>
          <w:tcPr>
            <w:tcW w:w="7760" w:type="dxa"/>
            <w:vAlign w:val="bottom"/>
          </w:tcPr>
          <w:p>
            <w:pPr>
              <w:spacing w:after="0"/>
              <w:rPr>
                <w:sz w:val="18"/>
                <w:szCs w:val="18"/>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40</w:t>
            </w:r>
          </w:p>
        </w:tc>
      </w:tr>
      <w:tr>
        <w:trPr>
          <w:trHeight w:val="216"/>
        </w:trPr>
        <w:tc>
          <w:tcPr>
            <w:tcW w:w="31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Payments</w:t>
            </w:r>
          </w:p>
        </w:tc>
        <w:tc>
          <w:tcPr>
            <w:tcW w:w="77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March 31, 2015</w:t>
            </w:r>
          </w:p>
        </w:tc>
        <w:tc>
          <w:tcPr>
            <w:tcW w:w="7760" w:type="dxa"/>
            <w:vAlign w:val="bottom"/>
            <w:tcBorders>
              <w:bottom w:val="single" w:sz="8" w:color="auto"/>
            </w:tcBorders>
          </w:tcPr>
          <w:p>
            <w:pPr>
              <w:ind w:left="754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904</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Share-Based Compensation</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 maintains share-based compensation plans that primarily consist of awards of stock options and restricted share units (“RSUs”) to certain employees and directors as part of its approach to long-term incentive compensation. Additionally, through its employee stock purchase plans, employees are able to purchase shares of Comcast Class A common stock at a discount through payroll deductions. Certain of our employees participate in these plans and the expense associated with their participation is settled in cash with Comcast.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0" w:type="dxa"/>
            <w:vAlign w:val="bottom"/>
            <w:gridSpan w:val="3"/>
          </w:tcPr>
          <w:p>
            <w:pPr>
              <w:jc w:val="right"/>
              <w:ind w:right="336"/>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39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496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39"/>
              <w:spacing w:after="0" w:line="159" w:lineRule="exact"/>
              <w:rPr>
                <w:sz w:val="20"/>
                <w:szCs w:val="20"/>
                <w:color w:val="auto"/>
              </w:rPr>
            </w:pPr>
            <w:r>
              <w:rPr>
                <w:rFonts w:ascii="Arial" w:cs="Arial" w:eastAsia="Arial" w:hAnsi="Arial"/>
                <w:sz w:val="14"/>
                <w:szCs w:val="14"/>
                <w:color w:val="auto"/>
                <w:w w:val="95"/>
              </w:rPr>
              <w:t>March 31</w:t>
            </w: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920" w:type="dxa"/>
            <w:vAlign w:val="bottom"/>
            <w:tcBorders>
              <w:bottom w:val="single" w:sz="8" w:color="auto"/>
            </w:tcBorders>
            <w:vMerge w:val="continue"/>
          </w:tcPr>
          <w:p>
            <w:pPr>
              <w:spacing w:after="0"/>
              <w:rPr>
                <w:sz w:val="12"/>
                <w:szCs w:val="12"/>
                <w:color w:val="auto"/>
              </w:rPr>
            </w:pPr>
          </w:p>
        </w:tc>
        <w:tc>
          <w:tcPr>
            <w:tcW w:w="49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color w:val="auto"/>
                <w:w w:val="89"/>
              </w:rPr>
              <w:t>2015</w:t>
            </w:r>
          </w:p>
        </w:tc>
        <w:tc>
          <w:tcPr>
            <w:tcW w:w="8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w w:val="89"/>
              </w:rPr>
              <w:t>2014</w:t>
            </w:r>
          </w:p>
        </w:tc>
        <w:tc>
          <w:tcPr>
            <w:tcW w:w="0" w:type="dxa"/>
            <w:vAlign w:val="bottom"/>
          </w:tcPr>
          <w:p>
            <w:pPr>
              <w:spacing w:after="0"/>
              <w:rPr>
                <w:sz w:val="1"/>
                <w:szCs w:val="1"/>
                <w:color w:val="auto"/>
              </w:rPr>
            </w:pPr>
          </w:p>
        </w:tc>
      </w:tr>
      <w:tr>
        <w:trPr>
          <w:trHeight w:val="210"/>
        </w:trPr>
        <w:tc>
          <w:tcPr>
            <w:tcW w:w="3920" w:type="dxa"/>
            <w:vAlign w:val="bottom"/>
            <w:shd w:val="clear" w:color="auto" w:fill="E5E5E5"/>
          </w:tcPr>
          <w:p>
            <w:pPr>
              <w:spacing w:after="0"/>
              <w:rPr>
                <w:sz w:val="20"/>
                <w:szCs w:val="20"/>
                <w:color w:val="auto"/>
              </w:rPr>
            </w:pPr>
            <w:r>
              <w:rPr>
                <w:rFonts w:ascii="Arial" w:cs="Arial" w:eastAsia="Arial" w:hAnsi="Arial"/>
                <w:sz w:val="18"/>
                <w:szCs w:val="18"/>
                <w:color w:val="auto"/>
              </w:rPr>
              <w:t>Stock options</w:t>
            </w:r>
          </w:p>
        </w:tc>
        <w:tc>
          <w:tcPr>
            <w:tcW w:w="570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Restricted share units</w:t>
            </w:r>
          </w:p>
        </w:tc>
        <w:tc>
          <w:tcPr>
            <w:tcW w:w="4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800" w:type="dxa"/>
            <w:vAlign w:val="bottom"/>
          </w:tcPr>
          <w:p>
            <w:pPr>
              <w:spacing w:after="0"/>
              <w:rPr>
                <w:sz w:val="18"/>
                <w:szCs w:val="18"/>
                <w:color w:val="auto"/>
              </w:rPr>
            </w:pPr>
          </w:p>
        </w:tc>
        <w:tc>
          <w:tcPr>
            <w:tcW w:w="520" w:type="dxa"/>
            <w:vAlign w:val="bottom"/>
          </w:tcPr>
          <w:p>
            <w:pPr>
              <w:jc w:val="right"/>
              <w:ind w:right="16"/>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Employee stock purchase plans</w:t>
            </w:r>
          </w:p>
        </w:tc>
        <w:tc>
          <w:tcPr>
            <w:tcW w:w="49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8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5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390"/>
        </w:trPr>
        <w:tc>
          <w:tcPr>
            <w:tcW w:w="3920" w:type="dxa"/>
            <w:vAlign w:val="bottom"/>
          </w:tcPr>
          <w:p>
            <w:pPr>
              <w:spacing w:after="0"/>
              <w:rPr>
                <w:sz w:val="24"/>
                <w:szCs w:val="24"/>
                <w:color w:val="auto"/>
              </w:rPr>
            </w:pPr>
          </w:p>
        </w:tc>
        <w:tc>
          <w:tcPr>
            <w:tcW w:w="4960" w:type="dxa"/>
            <w:vAlign w:val="bottom"/>
          </w:tcPr>
          <w:p>
            <w:pPr>
              <w:jc w:val="right"/>
              <w:ind w:right="2972"/>
              <w:spacing w:after="0"/>
              <w:rPr>
                <w:sz w:val="20"/>
                <w:szCs w:val="20"/>
                <w:color w:val="auto"/>
              </w:rPr>
            </w:pPr>
            <w:r>
              <w:rPr>
                <w:rFonts w:ascii="Arial" w:cs="Arial" w:eastAsia="Arial" w:hAnsi="Arial"/>
                <w:sz w:val="18"/>
                <w:szCs w:val="18"/>
                <w:color w:val="auto"/>
              </w:rPr>
              <w:t>48</w:t>
            </w: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Supplemental Financial Information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March 31,</w:t>
            </w:r>
          </w:p>
        </w:tc>
        <w:tc>
          <w:tcPr>
            <w:tcW w:w="60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59"/>
        </w:trPr>
        <w:tc>
          <w:tcPr>
            <w:tcW w:w="88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940" w:type="dxa"/>
            <w:vAlign w:val="bottom"/>
            <w:tcBorders>
              <w:bottom w:val="single" w:sz="8" w:color="auto"/>
            </w:tcBorders>
            <w:gridSpan w:val="3"/>
          </w:tcPr>
          <w:p>
            <w:pPr>
              <w:jc w:val="right"/>
              <w:ind w:right="78"/>
              <w:spacing w:after="0" w:line="159" w:lineRule="exact"/>
              <w:rPr>
                <w:sz w:val="20"/>
                <w:szCs w:val="20"/>
                <w:color w:val="auto"/>
              </w:rPr>
            </w:pPr>
            <w:r>
              <w:rPr>
                <w:rFonts w:ascii="Arial" w:cs="Arial" w:eastAsia="Arial" w:hAnsi="Arial"/>
                <w:sz w:val="14"/>
                <w:szCs w:val="14"/>
                <w:color w:val="auto"/>
              </w:rPr>
              <w:t>2015</w:t>
            </w:r>
          </w:p>
        </w:tc>
        <w:tc>
          <w:tcPr>
            <w:tcW w:w="6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255"/>
              <w:spacing w:after="0" w:line="159"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10"/>
        </w:trPr>
        <w:tc>
          <w:tcPr>
            <w:tcW w:w="8880" w:type="dxa"/>
            <w:vAlign w:val="bottom"/>
            <w:shd w:val="clear" w:color="auto" w:fill="E5E5E5"/>
          </w:tcPr>
          <w:p>
            <w:pPr>
              <w:spacing w:after="0"/>
              <w:rPr>
                <w:sz w:val="20"/>
                <w:szCs w:val="20"/>
                <w:color w:val="auto"/>
              </w:rPr>
            </w:pPr>
            <w:r>
              <w:rPr>
                <w:rFonts w:ascii="Arial" w:cs="Arial" w:eastAsia="Arial" w:hAnsi="Arial"/>
                <w:sz w:val="18"/>
                <w:szCs w:val="18"/>
                <w:color w:val="auto"/>
              </w:rPr>
              <w:t>Receivables, gross</w:t>
            </w:r>
          </w:p>
        </w:tc>
        <w:tc>
          <w:tcPr>
            <w:tcW w:w="940" w:type="dxa"/>
            <w:vAlign w:val="bottom"/>
            <w:gridSpan w:val="3"/>
            <w:shd w:val="clear" w:color="auto" w:fill="E5E5E5"/>
          </w:tcPr>
          <w:p>
            <w:pPr>
              <w:jc w:val="right"/>
              <w:spacing w:after="0"/>
              <w:rPr>
                <w:sz w:val="20"/>
                <w:szCs w:val="20"/>
                <w:color w:val="auto"/>
              </w:rPr>
            </w:pPr>
            <w:r>
              <w:rPr>
                <w:rFonts w:ascii="Arial" w:cs="Arial" w:eastAsia="Arial" w:hAnsi="Arial"/>
                <w:sz w:val="18"/>
                <w:szCs w:val="18"/>
                <w:color w:val="auto"/>
              </w:rPr>
              <w:t>$ 5,248</w:t>
            </w:r>
          </w:p>
        </w:tc>
        <w:tc>
          <w:tcPr>
            <w:tcW w:w="600" w:type="dxa"/>
            <w:vAlign w:val="bottom"/>
            <w:shd w:val="clear" w:color="auto" w:fill="E5E5E5"/>
          </w:tcPr>
          <w:p>
            <w:pPr>
              <w:spacing w:after="0"/>
              <w:rPr>
                <w:sz w:val="18"/>
                <w:szCs w:val="18"/>
                <w:color w:val="auto"/>
              </w:rPr>
            </w:pPr>
          </w:p>
        </w:tc>
        <w:tc>
          <w:tcPr>
            <w:tcW w:w="460" w:type="dxa"/>
            <w:vAlign w:val="bottom"/>
            <w:shd w:val="clear" w:color="auto" w:fill="E5E5E5"/>
          </w:tcPr>
          <w:p>
            <w:pPr>
              <w:ind w:lef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w w:val="93"/>
              </w:rPr>
              <w:t>5,258</w:t>
            </w: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Less: Allowance for returns and customer incentives</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294</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jc w:val="right"/>
              <w:ind w:right="15"/>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8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Allowance for doubtful accounts</w:t>
            </w:r>
          </w:p>
        </w:tc>
        <w:tc>
          <w:tcPr>
            <w:tcW w:w="38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9"/>
              </w:rPr>
              <w:t>63</w:t>
            </w:r>
          </w:p>
        </w:tc>
        <w:tc>
          <w:tcPr>
            <w:tcW w:w="60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7"/>
        </w:trPr>
        <w:tc>
          <w:tcPr>
            <w:tcW w:w="8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Receivables, net</w:t>
            </w: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$ 4,891</w:t>
            </w:r>
          </w:p>
        </w:tc>
        <w:tc>
          <w:tcPr>
            <w:tcW w:w="6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w w:val="93"/>
              </w:rPr>
              <w:t>4,842</w:t>
            </w:r>
          </w:p>
        </w:tc>
        <w:tc>
          <w:tcPr>
            <w:tcW w:w="0" w:type="dxa"/>
            <w:vAlign w:val="bottom"/>
          </w:tcPr>
          <w:p>
            <w:pPr>
              <w:spacing w:after="0"/>
              <w:rPr>
                <w:sz w:val="1"/>
                <w:szCs w:val="1"/>
                <w:color w:val="auto"/>
              </w:rPr>
            </w:pPr>
          </w:p>
        </w:tc>
      </w:tr>
      <w:tr>
        <w:trPr>
          <w:trHeight w:val="403"/>
        </w:trPr>
        <w:tc>
          <w:tcPr>
            <w:tcW w:w="8880" w:type="dxa"/>
            <w:vAlign w:val="bottom"/>
          </w:tcPr>
          <w:p>
            <w:pPr>
              <w:jc w:val="center"/>
              <w:ind w:left="2455"/>
              <w:spacing w:after="0"/>
              <w:rPr>
                <w:sz w:val="20"/>
                <w:szCs w:val="20"/>
                <w:color w:val="auto"/>
              </w:rPr>
            </w:pPr>
            <w:r>
              <w:rPr>
                <w:rFonts w:ascii="Arial" w:cs="Arial" w:eastAsia="Arial" w:hAnsi="Arial"/>
                <w:sz w:val="18"/>
                <w:szCs w:val="18"/>
                <w:b w:val="1"/>
                <w:bCs w:val="1"/>
                <w:color w:val="auto"/>
                <w:w w:val="97"/>
              </w:rPr>
              <w:t>Accumulated Other Comprehensive Income (Loss)</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gridSpan w:val="3"/>
          </w:tcPr>
          <w:p>
            <w:pPr>
              <w:ind w:left="280"/>
              <w:spacing w:after="0"/>
              <w:rPr>
                <w:sz w:val="20"/>
                <w:szCs w:val="20"/>
                <w:color w:val="auto"/>
              </w:rPr>
            </w:pPr>
            <w:r>
              <w:rPr>
                <w:rFonts w:ascii="Arial" w:cs="Arial" w:eastAsia="Arial" w:hAnsi="Arial"/>
                <w:sz w:val="14"/>
                <w:szCs w:val="14"/>
                <w:color w:val="auto"/>
              </w:rPr>
              <w:t>March 31,</w:t>
            </w:r>
          </w:p>
        </w:tc>
        <w:tc>
          <w:tcPr>
            <w:tcW w:w="1000" w:type="dxa"/>
            <w:vAlign w:val="bottom"/>
            <w:gridSpan w:val="2"/>
          </w:tcPr>
          <w:p>
            <w:pPr>
              <w:ind w:left="340"/>
              <w:spacing w:after="0"/>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59"/>
        </w:trPr>
        <w:tc>
          <w:tcPr>
            <w:tcW w:w="88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397"/>
              <w:spacing w:after="0" w:line="159" w:lineRule="exact"/>
              <w:rPr>
                <w:sz w:val="20"/>
                <w:szCs w:val="20"/>
                <w:color w:val="auto"/>
              </w:rPr>
            </w:pPr>
            <w:r>
              <w:rPr>
                <w:rFonts w:ascii="Arial" w:cs="Arial" w:eastAsia="Arial" w:hAnsi="Arial"/>
                <w:sz w:val="14"/>
                <w:szCs w:val="14"/>
                <w:color w:val="auto"/>
                <w:w w:val="96"/>
              </w:rPr>
              <w:t>2015</w:t>
            </w:r>
          </w:p>
        </w:tc>
        <w:tc>
          <w:tcPr>
            <w:tcW w:w="4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75"/>
              <w:spacing w:after="0" w:line="159" w:lineRule="exact"/>
              <w:rPr>
                <w:sz w:val="20"/>
                <w:szCs w:val="20"/>
                <w:color w:val="auto"/>
              </w:rPr>
            </w:pPr>
            <w:r>
              <w:rPr>
                <w:rFonts w:ascii="Arial" w:cs="Arial" w:eastAsia="Arial" w:hAnsi="Arial"/>
                <w:sz w:val="14"/>
                <w:szCs w:val="14"/>
                <w:color w:val="auto"/>
                <w:w w:val="83"/>
              </w:rPr>
              <w:t>2014</w:t>
            </w:r>
          </w:p>
        </w:tc>
        <w:tc>
          <w:tcPr>
            <w:tcW w:w="0" w:type="dxa"/>
            <w:vAlign w:val="bottom"/>
          </w:tcPr>
          <w:p>
            <w:pPr>
              <w:spacing w:after="0"/>
              <w:rPr>
                <w:sz w:val="1"/>
                <w:szCs w:val="1"/>
                <w:color w:val="auto"/>
              </w:rPr>
            </w:pPr>
          </w:p>
        </w:tc>
      </w:tr>
      <w:tr>
        <w:trPr>
          <w:trHeight w:val="210"/>
        </w:trPr>
        <w:tc>
          <w:tcPr>
            <w:tcW w:w="8880" w:type="dxa"/>
            <w:vAlign w:val="bottom"/>
            <w:shd w:val="clear" w:color="auto" w:fill="E5E5E5"/>
          </w:tcPr>
          <w:p>
            <w:pPr>
              <w:spacing w:after="0"/>
              <w:rPr>
                <w:sz w:val="20"/>
                <w:szCs w:val="20"/>
                <w:color w:val="auto"/>
              </w:rPr>
            </w:pPr>
            <w:r>
              <w:rPr>
                <w:rFonts w:ascii="Arial" w:cs="Arial" w:eastAsia="Arial" w:hAnsi="Arial"/>
                <w:sz w:val="18"/>
                <w:szCs w:val="18"/>
                <w:color w:val="auto"/>
              </w:rPr>
              <w:t>Deferred gains (losses) on cash flow hedges</w:t>
            </w:r>
          </w:p>
        </w:tc>
        <w:tc>
          <w:tcPr>
            <w:tcW w:w="740" w:type="dxa"/>
            <w:vAlign w:val="bottom"/>
            <w:gridSpan w:val="2"/>
            <w:shd w:val="clear" w:color="auto" w:fill="E5E5E5"/>
          </w:tcPr>
          <w:p>
            <w:pPr>
              <w:ind w:left="64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237"/>
              <w:spacing w:after="0"/>
              <w:rPr>
                <w:sz w:val="20"/>
                <w:szCs w:val="20"/>
                <w:color w:val="auto"/>
              </w:rPr>
            </w:pPr>
            <w:r>
              <w:rPr>
                <w:rFonts w:ascii="Arial" w:cs="Arial" w:eastAsia="Arial" w:hAnsi="Arial"/>
                <w:sz w:val="18"/>
                <w:szCs w:val="18"/>
                <w:color w:val="auto"/>
              </w:rPr>
              <w:t>32</w:t>
            </w:r>
          </w:p>
        </w:tc>
        <w:tc>
          <w:tcPr>
            <w:tcW w:w="46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Unrecognized gains (losses) on employee benefit obligations</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177"/>
              <w:spacing w:after="0"/>
              <w:rPr>
                <w:sz w:val="20"/>
                <w:szCs w:val="20"/>
                <w:color w:val="auto"/>
              </w:rPr>
            </w:pPr>
            <w:r>
              <w:rPr>
                <w:rFonts w:ascii="Arial" w:cs="Arial" w:eastAsia="Arial" w:hAnsi="Arial"/>
                <w:sz w:val="18"/>
                <w:szCs w:val="18"/>
                <w:color w:val="auto"/>
                <w:w w:val="99"/>
              </w:rPr>
              <w:t>(61)</w:t>
            </w:r>
          </w:p>
        </w:tc>
        <w:tc>
          <w:tcPr>
            <w:tcW w:w="460" w:type="dxa"/>
            <w:vAlign w:val="bottom"/>
          </w:tcPr>
          <w:p>
            <w:pPr>
              <w:spacing w:after="0"/>
              <w:rPr>
                <w:sz w:val="18"/>
                <w:szCs w:val="18"/>
                <w:color w:val="auto"/>
              </w:rPr>
            </w:pPr>
          </w:p>
        </w:tc>
        <w:tc>
          <w:tcPr>
            <w:tcW w:w="540" w:type="dxa"/>
            <w:vAlign w:val="bottom"/>
          </w:tcPr>
          <w:p>
            <w:pPr>
              <w:jc w:val="right"/>
              <w:ind w:right="15"/>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8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Cumulative translation adjustments</w:t>
            </w:r>
          </w:p>
        </w:tc>
        <w:tc>
          <w:tcPr>
            <w:tcW w:w="38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gridSpan w:val="2"/>
            <w:shd w:val="clear" w:color="auto" w:fill="E5E5E5"/>
          </w:tcPr>
          <w:p>
            <w:pPr>
              <w:jc w:val="right"/>
              <w:ind w:right="177"/>
              <w:spacing w:after="0"/>
              <w:rPr>
                <w:sz w:val="20"/>
                <w:szCs w:val="20"/>
                <w:color w:val="auto"/>
              </w:rPr>
            </w:pPr>
            <w:r>
              <w:rPr>
                <w:rFonts w:ascii="Arial" w:cs="Arial" w:eastAsia="Arial" w:hAnsi="Arial"/>
                <w:sz w:val="18"/>
                <w:szCs w:val="18"/>
                <w:color w:val="auto"/>
              </w:rPr>
              <w:t>(181)</w:t>
            </w:r>
          </w:p>
        </w:tc>
        <w:tc>
          <w:tcPr>
            <w:tcW w:w="4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7"/>
        </w:trPr>
        <w:tc>
          <w:tcPr>
            <w:tcW w:w="8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Accumulated other comprehensive income (loss)</w:t>
            </w:r>
          </w:p>
        </w:tc>
        <w:tc>
          <w:tcPr>
            <w:tcW w:w="740" w:type="dxa"/>
            <w:vAlign w:val="bottom"/>
            <w:tcBorders>
              <w:bottom w:val="single" w:sz="8" w:color="auto"/>
            </w:tcBorders>
            <w:gridSpan w:val="2"/>
          </w:tcPr>
          <w:p>
            <w:pPr>
              <w:ind w:left="64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gridSpan w:val="2"/>
          </w:tcPr>
          <w:p>
            <w:pPr>
              <w:jc w:val="right"/>
              <w:ind w:right="177"/>
              <w:spacing w:after="0"/>
              <w:rPr>
                <w:sz w:val="20"/>
                <w:szCs w:val="20"/>
                <w:color w:val="auto"/>
              </w:rPr>
            </w:pPr>
            <w:r>
              <w:rPr>
                <w:rFonts w:ascii="Arial" w:cs="Arial" w:eastAsia="Arial" w:hAnsi="Arial"/>
                <w:sz w:val="18"/>
                <w:szCs w:val="18"/>
                <w:b w:val="1"/>
                <w:bCs w:val="1"/>
                <w:color w:val="auto"/>
              </w:rPr>
              <w:t>(210)</w:t>
            </w:r>
          </w:p>
        </w:tc>
        <w:tc>
          <w:tcPr>
            <w:tcW w:w="4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403"/>
        </w:trPr>
        <w:tc>
          <w:tcPr>
            <w:tcW w:w="8880" w:type="dxa"/>
            <w:vAlign w:val="bottom"/>
          </w:tcPr>
          <w:p>
            <w:pPr>
              <w:jc w:val="center"/>
              <w:ind w:left="2475"/>
              <w:spacing w:after="0"/>
              <w:rPr>
                <w:sz w:val="20"/>
                <w:szCs w:val="20"/>
                <w:color w:val="auto"/>
              </w:rPr>
            </w:pPr>
            <w:r>
              <w:rPr>
                <w:rFonts w:ascii="Arial" w:cs="Arial" w:eastAsia="Arial" w:hAnsi="Arial"/>
                <w:sz w:val="18"/>
                <w:szCs w:val="18"/>
                <w:b w:val="1"/>
                <w:bCs w:val="1"/>
                <w:color w:val="auto"/>
                <w:w w:val="97"/>
              </w:rPr>
              <w:t>Net Cash Provided by Operating Activities</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0" w:type="dxa"/>
            <w:vAlign w:val="bottom"/>
            <w:gridSpan w:val="3"/>
          </w:tcPr>
          <w:p>
            <w:pPr>
              <w:jc w:val="right"/>
              <w:ind w:right="255"/>
              <w:spacing w:after="0"/>
              <w:rPr>
                <w:sz w:val="20"/>
                <w:szCs w:val="20"/>
                <w:color w:val="auto"/>
              </w:rPr>
            </w:pPr>
            <w:r>
              <w:rPr>
                <w:rFonts w:ascii="Arial" w:cs="Arial" w:eastAsia="Arial" w:hAnsi="Arial"/>
                <w:sz w:val="14"/>
                <w:szCs w:val="14"/>
                <w:color w:val="auto"/>
                <w:w w:val="94"/>
              </w:rPr>
              <w:t>Three Months Ended</w:t>
            </w:r>
          </w:p>
        </w:tc>
        <w:tc>
          <w:tcPr>
            <w:tcW w:w="0" w:type="dxa"/>
            <w:vAlign w:val="bottom"/>
          </w:tcPr>
          <w:p>
            <w:pPr>
              <w:spacing w:after="0"/>
              <w:rPr>
                <w:sz w:val="1"/>
                <w:szCs w:val="1"/>
                <w:color w:val="auto"/>
              </w:rPr>
            </w:pPr>
          </w:p>
        </w:tc>
      </w:tr>
      <w:tr>
        <w:trPr>
          <w:trHeight w:val="159"/>
        </w:trPr>
        <w:tc>
          <w:tcPr>
            <w:tcW w:w="88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420"/>
              <w:spacing w:after="0" w:line="159" w:lineRule="exact"/>
              <w:rPr>
                <w:sz w:val="20"/>
                <w:szCs w:val="20"/>
                <w:color w:val="auto"/>
              </w:rPr>
            </w:pPr>
            <w:r>
              <w:rPr>
                <w:rFonts w:ascii="Arial" w:cs="Arial" w:eastAsia="Arial" w:hAnsi="Arial"/>
                <w:sz w:val="14"/>
                <w:szCs w:val="14"/>
                <w:color w:val="auto"/>
              </w:rPr>
              <w:t>March 31</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88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color w:val="auto"/>
                <w:w w:val="83"/>
              </w:rPr>
              <w:t>2015</w:t>
            </w:r>
          </w:p>
        </w:tc>
        <w:tc>
          <w:tcPr>
            <w:tcW w:w="4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color w:val="auto"/>
                <w:w w:val="89"/>
              </w:rPr>
              <w:t>2014</w:t>
            </w:r>
          </w:p>
        </w:tc>
        <w:tc>
          <w:tcPr>
            <w:tcW w:w="0" w:type="dxa"/>
            <w:vAlign w:val="bottom"/>
          </w:tcPr>
          <w:p>
            <w:pPr>
              <w:spacing w:after="0"/>
              <w:rPr>
                <w:sz w:val="1"/>
                <w:szCs w:val="1"/>
                <w:color w:val="auto"/>
              </w:rPr>
            </w:pPr>
          </w:p>
        </w:tc>
      </w:tr>
      <w:tr>
        <w:trPr>
          <w:trHeight w:val="210"/>
        </w:trPr>
        <w:tc>
          <w:tcPr>
            <w:tcW w:w="888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2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918</w:t>
            </w:r>
          </w:p>
        </w:tc>
        <w:tc>
          <w:tcPr>
            <w:tcW w:w="460" w:type="dxa"/>
            <w:vAlign w:val="bottom"/>
            <w:shd w:val="clear" w:color="auto" w:fill="E5E5E5"/>
          </w:tcPr>
          <w:p>
            <w:pPr>
              <w:ind w:left="3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364</w:t>
            </w:r>
          </w:p>
        </w:tc>
        <w:tc>
          <w:tcPr>
            <w:tcW w:w="4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8880" w:type="dxa"/>
            <w:vAlign w:val="bottom"/>
          </w:tcPr>
          <w:p>
            <w:pPr>
              <w:ind w:left="440"/>
              <w:spacing w:after="0"/>
              <w:rPr>
                <w:sz w:val="20"/>
                <w:szCs w:val="20"/>
                <w:color w:val="auto"/>
              </w:rPr>
            </w:pPr>
            <w:r>
              <w:rPr>
                <w:rFonts w:ascii="Arial" w:cs="Arial" w:eastAsia="Arial" w:hAnsi="Arial"/>
                <w:sz w:val="18"/>
                <w:szCs w:val="18"/>
                <w:color w:val="auto"/>
              </w:rPr>
              <w:t>Equity in net (income) losses of investees, net</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37"/>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88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Cash received from investees</w:t>
            </w:r>
          </w:p>
        </w:tc>
        <w:tc>
          <w:tcPr>
            <w:tcW w:w="38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12</w:t>
            </w:r>
          </w:p>
        </w:tc>
        <w:tc>
          <w:tcPr>
            <w:tcW w:w="4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880" w:type="dxa"/>
            <w:vAlign w:val="bottom"/>
          </w:tcPr>
          <w:p>
            <w:pPr>
              <w:ind w:left="440"/>
              <w:spacing w:after="0"/>
              <w:rPr>
                <w:sz w:val="20"/>
                <w:szCs w:val="20"/>
                <w:color w:val="auto"/>
              </w:rPr>
            </w:pPr>
            <w:r>
              <w:rPr>
                <w:rFonts w:ascii="Arial" w:cs="Arial" w:eastAsia="Arial" w:hAnsi="Arial"/>
                <w:sz w:val="18"/>
                <w:szCs w:val="18"/>
                <w:color w:val="auto"/>
              </w:rPr>
              <w:t>Net (gain) loss on investment activity and other</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97"/>
              <w:spacing w:after="0"/>
              <w:rPr>
                <w:sz w:val="20"/>
                <w:szCs w:val="20"/>
                <w:color w:val="auto"/>
              </w:rPr>
            </w:pPr>
            <w:r>
              <w:rPr>
                <w:rFonts w:ascii="Arial" w:cs="Arial" w:eastAsia="Arial" w:hAnsi="Arial"/>
                <w:sz w:val="18"/>
                <w:szCs w:val="18"/>
                <w:color w:val="auto"/>
              </w:rPr>
              <w:t>46</w:t>
            </w:r>
          </w:p>
        </w:tc>
        <w:tc>
          <w:tcPr>
            <w:tcW w:w="460" w:type="dxa"/>
            <w:vAlign w:val="bottom"/>
          </w:tcPr>
          <w:p>
            <w:pPr>
              <w:spacing w:after="0"/>
              <w:rPr>
                <w:sz w:val="18"/>
                <w:szCs w:val="18"/>
                <w:color w:val="auto"/>
              </w:rPr>
            </w:pPr>
          </w:p>
        </w:tc>
        <w:tc>
          <w:tcPr>
            <w:tcW w:w="540" w:type="dxa"/>
            <w:vAlign w:val="bottom"/>
          </w:tcPr>
          <w:p>
            <w:pPr>
              <w:jc w:val="right"/>
              <w:ind w:right="15"/>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88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Deferred income taxes</w:t>
            </w:r>
          </w:p>
        </w:tc>
        <w:tc>
          <w:tcPr>
            <w:tcW w:w="38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3</w:t>
            </w:r>
          </w:p>
        </w:tc>
        <w:tc>
          <w:tcPr>
            <w:tcW w:w="4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Current and noncurrent receivables, net</w:t>
            </w:r>
          </w:p>
        </w:tc>
        <w:tc>
          <w:tcPr>
            <w:tcW w:w="38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rPr>
              <w:t>(106)</w:t>
            </w:r>
          </w:p>
        </w:tc>
        <w:tc>
          <w:tcPr>
            <w:tcW w:w="4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8880" w:type="dxa"/>
            <w:vAlign w:val="bottom"/>
          </w:tcPr>
          <w:p>
            <w:pPr>
              <w:ind w:left="440"/>
              <w:spacing w:after="0"/>
              <w:rPr>
                <w:sz w:val="20"/>
                <w:szCs w:val="20"/>
                <w:color w:val="auto"/>
              </w:rPr>
            </w:pPr>
            <w:r>
              <w:rPr>
                <w:rFonts w:ascii="Arial" w:cs="Arial" w:eastAsia="Arial" w:hAnsi="Arial"/>
                <w:sz w:val="18"/>
                <w:szCs w:val="18"/>
                <w:color w:val="auto"/>
              </w:rPr>
              <w:t>Film and television costs, net</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37"/>
              <w:spacing w:after="0"/>
              <w:rPr>
                <w:sz w:val="20"/>
                <w:szCs w:val="20"/>
                <w:color w:val="auto"/>
              </w:rPr>
            </w:pPr>
            <w:r>
              <w:rPr>
                <w:rFonts w:ascii="Arial" w:cs="Arial" w:eastAsia="Arial" w:hAnsi="Arial"/>
                <w:sz w:val="18"/>
                <w:szCs w:val="18"/>
                <w:color w:val="auto"/>
              </w:rPr>
              <w:t>(36)</w:t>
            </w:r>
          </w:p>
        </w:tc>
        <w:tc>
          <w:tcPr>
            <w:tcW w:w="460" w:type="dxa"/>
            <w:vAlign w:val="bottom"/>
          </w:tcPr>
          <w:p>
            <w:pPr>
              <w:spacing w:after="0"/>
              <w:rPr>
                <w:sz w:val="18"/>
                <w:szCs w:val="18"/>
                <w:color w:val="auto"/>
              </w:rPr>
            </w:pPr>
          </w:p>
        </w:tc>
        <w:tc>
          <w:tcPr>
            <w:tcW w:w="540" w:type="dxa"/>
            <w:vAlign w:val="bottom"/>
          </w:tcPr>
          <w:p>
            <w:pPr>
              <w:jc w:val="right"/>
              <w:ind w:right="15"/>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88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38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16</w:t>
            </w:r>
          </w:p>
        </w:tc>
        <w:tc>
          <w:tcPr>
            <w:tcW w:w="46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88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 operating assets and liabilities</w:t>
            </w:r>
          </w:p>
        </w:tc>
        <w:tc>
          <w:tcPr>
            <w:tcW w:w="3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5</w:t>
            </w: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7"/>
        </w:trPr>
        <w:tc>
          <w:tcPr>
            <w:tcW w:w="8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38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b w:val="1"/>
                <w:bCs w:val="1"/>
                <w:color w:val="auto"/>
                <w:w w:val="88"/>
              </w:rPr>
              <w:t>1,202</w:t>
            </w:r>
          </w:p>
        </w:tc>
        <w:tc>
          <w:tcPr>
            <w:tcW w:w="46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756</w:t>
            </w:r>
          </w:p>
        </w:tc>
        <w:tc>
          <w:tcPr>
            <w:tcW w:w="0" w:type="dxa"/>
            <w:vAlign w:val="bottom"/>
          </w:tcPr>
          <w:p>
            <w:pPr>
              <w:spacing w:after="0"/>
              <w:rPr>
                <w:sz w:val="1"/>
                <w:szCs w:val="1"/>
                <w:color w:val="auto"/>
              </w:rPr>
            </w:pPr>
          </w:p>
        </w:tc>
      </w:tr>
      <w:tr>
        <w:trPr>
          <w:trHeight w:val="403"/>
        </w:trPr>
        <w:tc>
          <w:tcPr>
            <w:tcW w:w="8880" w:type="dxa"/>
            <w:vAlign w:val="bottom"/>
          </w:tcPr>
          <w:p>
            <w:pPr>
              <w:jc w:val="center"/>
              <w:ind w:left="2455"/>
              <w:spacing w:after="0"/>
              <w:rPr>
                <w:sz w:val="20"/>
                <w:szCs w:val="20"/>
                <w:color w:val="auto"/>
              </w:rPr>
            </w:pPr>
            <w:r>
              <w:rPr>
                <w:rFonts w:ascii="Arial" w:cs="Arial" w:eastAsia="Arial" w:hAnsi="Arial"/>
                <w:sz w:val="18"/>
                <w:szCs w:val="18"/>
                <w:b w:val="1"/>
                <w:bCs w:val="1"/>
                <w:color w:val="auto"/>
                <w:w w:val="96"/>
              </w:rPr>
              <w:t>Cash Payments for Interest and Income Taxes</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0" w:type="dxa"/>
            <w:vAlign w:val="bottom"/>
            <w:gridSpan w:val="3"/>
          </w:tcPr>
          <w:p>
            <w:pPr>
              <w:jc w:val="center"/>
              <w:ind w:right="295"/>
              <w:spacing w:after="0"/>
              <w:rPr>
                <w:sz w:val="20"/>
                <w:szCs w:val="20"/>
                <w:color w:val="auto"/>
              </w:rPr>
            </w:pPr>
            <w:r>
              <w:rPr>
                <w:rFonts w:ascii="Arial" w:cs="Arial" w:eastAsia="Arial" w:hAnsi="Arial"/>
                <w:sz w:val="14"/>
                <w:szCs w:val="14"/>
                <w:color w:val="auto"/>
                <w:w w:val="87"/>
              </w:rPr>
              <w:t>Three Months Ended</w:t>
            </w:r>
          </w:p>
        </w:tc>
        <w:tc>
          <w:tcPr>
            <w:tcW w:w="0" w:type="dxa"/>
            <w:vAlign w:val="bottom"/>
          </w:tcPr>
          <w:p>
            <w:pPr>
              <w:spacing w:after="0"/>
              <w:rPr>
                <w:sz w:val="1"/>
                <w:szCs w:val="1"/>
                <w:color w:val="auto"/>
              </w:rPr>
            </w:pPr>
          </w:p>
        </w:tc>
      </w:tr>
      <w:tr>
        <w:trPr>
          <w:trHeight w:val="159"/>
        </w:trPr>
        <w:tc>
          <w:tcPr>
            <w:tcW w:w="88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center"/>
              <w:ind w:left="57"/>
              <w:spacing w:after="0" w:line="159" w:lineRule="exact"/>
              <w:rPr>
                <w:sz w:val="20"/>
                <w:szCs w:val="20"/>
                <w:color w:val="auto"/>
              </w:rPr>
            </w:pPr>
            <w:r>
              <w:rPr>
                <w:rFonts w:ascii="Arial" w:cs="Arial" w:eastAsia="Arial" w:hAnsi="Arial"/>
                <w:sz w:val="14"/>
                <w:szCs w:val="14"/>
                <w:color w:val="auto"/>
                <w:w w:val="89"/>
              </w:rPr>
              <w:t>March 31</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88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417"/>
              <w:spacing w:after="0" w:line="142" w:lineRule="exact"/>
              <w:rPr>
                <w:sz w:val="20"/>
                <w:szCs w:val="20"/>
                <w:color w:val="auto"/>
              </w:rPr>
            </w:pPr>
            <w:r>
              <w:rPr>
                <w:rFonts w:ascii="Arial" w:cs="Arial" w:eastAsia="Arial" w:hAnsi="Arial"/>
                <w:sz w:val="14"/>
                <w:szCs w:val="14"/>
                <w:color w:val="auto"/>
                <w:w w:val="89"/>
              </w:rPr>
              <w:t>2015</w:t>
            </w:r>
          </w:p>
        </w:tc>
        <w:tc>
          <w:tcPr>
            <w:tcW w:w="4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color w:val="auto"/>
                <w:w w:val="96"/>
              </w:rPr>
              <w:t>2014</w:t>
            </w:r>
          </w:p>
        </w:tc>
        <w:tc>
          <w:tcPr>
            <w:tcW w:w="0" w:type="dxa"/>
            <w:vAlign w:val="bottom"/>
          </w:tcPr>
          <w:p>
            <w:pPr>
              <w:spacing w:after="0"/>
              <w:rPr>
                <w:sz w:val="1"/>
                <w:szCs w:val="1"/>
                <w:color w:val="auto"/>
              </w:rPr>
            </w:pPr>
          </w:p>
        </w:tc>
      </w:tr>
      <w:tr>
        <w:trPr>
          <w:trHeight w:val="210"/>
        </w:trPr>
        <w:tc>
          <w:tcPr>
            <w:tcW w:w="8880" w:type="dxa"/>
            <w:vAlign w:val="bottom"/>
            <w:shd w:val="clear" w:color="auto" w:fill="E5E5E5"/>
          </w:tcPr>
          <w:p>
            <w:pPr>
              <w:spacing w:after="0"/>
              <w:rPr>
                <w:sz w:val="20"/>
                <w:szCs w:val="20"/>
                <w:color w:val="auto"/>
              </w:rPr>
            </w:pPr>
            <w:r>
              <w:rPr>
                <w:rFonts w:ascii="Arial" w:cs="Arial" w:eastAsia="Arial" w:hAnsi="Arial"/>
                <w:sz w:val="18"/>
                <w:szCs w:val="18"/>
                <w:color w:val="auto"/>
              </w:rPr>
              <w:t>Interest</w:t>
            </w:r>
          </w:p>
        </w:tc>
        <w:tc>
          <w:tcPr>
            <w:tcW w:w="740" w:type="dxa"/>
            <w:vAlign w:val="bottom"/>
            <w:gridSpan w:val="2"/>
            <w:shd w:val="clear" w:color="auto" w:fill="E5E5E5"/>
          </w:tcPr>
          <w:p>
            <w:pPr>
              <w:ind w:left="64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277"/>
              <w:spacing w:after="0"/>
              <w:rPr>
                <w:sz w:val="20"/>
                <w:szCs w:val="20"/>
                <w:color w:val="auto"/>
              </w:rPr>
            </w:pPr>
            <w:r>
              <w:rPr>
                <w:rFonts w:ascii="Arial" w:cs="Arial" w:eastAsia="Arial" w:hAnsi="Arial"/>
                <w:sz w:val="18"/>
                <w:szCs w:val="18"/>
                <w:color w:val="auto"/>
              </w:rPr>
              <w:t>33</w:t>
            </w:r>
          </w:p>
        </w:tc>
        <w:tc>
          <w:tcPr>
            <w:tcW w:w="460" w:type="dxa"/>
            <w:vAlign w:val="bottom"/>
            <w:shd w:val="clear" w:color="auto" w:fill="E5E5E5"/>
          </w:tcPr>
          <w:p>
            <w:pPr>
              <w:ind w:left="3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8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740" w:type="dxa"/>
            <w:vAlign w:val="bottom"/>
            <w:tcBorders>
              <w:bottom w:val="single" w:sz="8" w:color="auto"/>
            </w:tcBorders>
            <w:gridSpan w:val="2"/>
          </w:tcPr>
          <w:p>
            <w:pPr>
              <w:ind w:left="64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77"/>
              <w:spacing w:after="0"/>
              <w:rPr>
                <w:sz w:val="20"/>
                <w:szCs w:val="20"/>
                <w:color w:val="auto"/>
              </w:rPr>
            </w:pPr>
            <w:r>
              <w:rPr>
                <w:rFonts w:ascii="Arial" w:cs="Arial" w:eastAsia="Arial" w:hAnsi="Arial"/>
                <w:sz w:val="18"/>
                <w:szCs w:val="18"/>
                <w:color w:val="auto"/>
              </w:rPr>
              <w:t>40</w:t>
            </w:r>
          </w:p>
        </w:tc>
        <w:tc>
          <w:tcPr>
            <w:tcW w:w="4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2015:</w:t>
      </w:r>
    </w:p>
    <w:p>
      <w:pPr>
        <w:spacing w:after="0" w:line="77" w:lineRule="exact"/>
        <w:rPr>
          <w:sz w:val="20"/>
          <w:szCs w:val="20"/>
          <w:color w:val="auto"/>
        </w:rPr>
      </w:pPr>
    </w:p>
    <w:p>
      <w:pPr>
        <w:ind w:left="1020" w:hanging="21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acquired $153 million of property and equipment and intangible assets that were accrued but unpaid</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recorded a liability of $123 million for a capital contribution for an investment that was accrued but unpaid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Financial Data by Business Segment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operations in four reportable business segments:</w:t>
      </w:r>
    </w:p>
    <w:p>
      <w:pPr>
        <w:spacing w:after="0" w:line="71" w:lineRule="exact"/>
        <w:rPr>
          <w:sz w:val="20"/>
          <w:szCs w:val="20"/>
          <w:color w:val="auto"/>
        </w:rPr>
      </w:pPr>
    </w:p>
    <w:p>
      <w:pPr>
        <w:ind w:left="1020" w:right="1240" w:hanging="215"/>
        <w:spacing w:after="0" w:line="275"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 international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cable networks and our cable television production operations.</w:t>
      </w:r>
    </w:p>
    <w:p>
      <w:pPr>
        <w:spacing w:after="0" w:line="25" w:lineRule="exact"/>
        <w:rPr>
          <w:rFonts w:ascii="Arial" w:cs="Arial" w:eastAsia="Arial" w:hAnsi="Arial"/>
          <w:sz w:val="18"/>
          <w:szCs w:val="18"/>
          <w:color w:val="auto"/>
        </w:rPr>
      </w:pPr>
    </w:p>
    <w:p>
      <w:pPr>
        <w:ind w:left="1020" w:right="1260" w:hanging="215"/>
        <w:spacing w:after="0" w:line="325"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Broadcast Television: </w:t>
      </w:r>
      <w:r>
        <w:rPr>
          <w:rFonts w:ascii="Arial" w:cs="Arial" w:eastAsia="Arial" w:hAnsi="Arial"/>
          <w:sz w:val="16"/>
          <w:szCs w:val="16"/>
          <w:color w:val="auto"/>
        </w:rPr>
        <w:t>Consists primarily of the NBC and Telemundo broadcast networks, our NBC and Telemundo owned local</w:t>
      </w:r>
      <w:r>
        <w:rPr>
          <w:rFonts w:ascii="Arial" w:cs="Arial" w:eastAsia="Arial" w:hAnsi="Arial"/>
          <w:sz w:val="16"/>
          <w:szCs w:val="16"/>
          <w:b w:val="1"/>
          <w:bCs w:val="1"/>
          <w:color w:val="auto"/>
        </w:rPr>
        <w:t xml:space="preserve"> </w:t>
      </w:r>
      <w:r>
        <w:rPr>
          <w:rFonts w:ascii="Arial" w:cs="Arial" w:eastAsia="Arial" w:hAnsi="Arial"/>
          <w:sz w:val="16"/>
          <w:szCs w:val="16"/>
          <w:color w:val="auto"/>
        </w:rPr>
        <w:t>broadcast television stations, the NBC Universo national cable network, and our broadcast television production operations.</w:t>
      </w:r>
    </w:p>
    <w:p>
      <w:pPr>
        <w:spacing w:after="0" w:line="1" w:lineRule="exact"/>
        <w:rPr>
          <w:rFonts w:ascii="Arial" w:cs="Arial" w:eastAsia="Arial" w:hAnsi="Arial"/>
          <w:sz w:val="16"/>
          <w:szCs w:val="16"/>
          <w:color w:val="auto"/>
        </w:rPr>
      </w:pPr>
    </w:p>
    <w:p>
      <w:pPr>
        <w:ind w:left="1020" w:right="1240" w:hanging="215"/>
        <w:spacing w:after="0" w:line="275"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Filmed Entertainment: </w:t>
      </w:r>
      <w:r>
        <w:rPr>
          <w:rFonts w:ascii="Arial" w:cs="Arial" w:eastAsia="Arial" w:hAnsi="Arial"/>
          <w:sz w:val="18"/>
          <w:szCs w:val="18"/>
          <w:color w:val="auto"/>
        </w:rPr>
        <w:t>Consists primarily of the studio operations of Universal Pictures, which produces, acquires, markets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distributes filmed entertainment worldwide.</w:t>
      </w:r>
    </w:p>
    <w:p>
      <w:pPr>
        <w:spacing w:after="0" w:line="25" w:lineRule="exact"/>
        <w:rPr>
          <w:rFonts w:ascii="Arial" w:cs="Arial" w:eastAsia="Arial" w:hAnsi="Arial"/>
          <w:sz w:val="18"/>
          <w:szCs w:val="18"/>
          <w:color w:val="auto"/>
        </w:rPr>
      </w:pPr>
    </w:p>
    <w:p>
      <w:pPr>
        <w:ind w:left="1020" w:hanging="21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Florida and Hollywood. California.</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evaluating the profitability of our operating segments, the components of net income (loss) below operating income (loss) before depreciation and amortization are not separately evaluated by our management. Our financial data by business segment is presented in the tables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3"/>
          </w:tcPr>
          <w:p>
            <w:pPr>
              <w:jc w:val="right"/>
              <w:ind w:right="95"/>
              <w:spacing w:after="0"/>
              <w:rPr>
                <w:sz w:val="20"/>
                <w:szCs w:val="20"/>
                <w:color w:val="auto"/>
              </w:rPr>
            </w:pPr>
            <w:r>
              <w:rPr>
                <w:rFonts w:ascii="Arial" w:cs="Arial" w:eastAsia="Arial" w:hAnsi="Arial"/>
                <w:sz w:val="14"/>
                <w:szCs w:val="14"/>
                <w:color w:val="auto"/>
              </w:rPr>
              <w:t>Three Months Ended March 31, 2015</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40" w:type="dxa"/>
            <w:vAlign w:val="bottom"/>
            <w:gridSpan w:val="2"/>
          </w:tcPr>
          <w:p>
            <w:pPr>
              <w:ind w:left="320"/>
              <w:spacing w:after="0" w:line="131" w:lineRule="exact"/>
              <w:rPr>
                <w:sz w:val="20"/>
                <w:szCs w:val="20"/>
                <w:color w:val="auto"/>
              </w:rPr>
            </w:pPr>
            <w:r>
              <w:rPr>
                <w:rFonts w:ascii="Arial" w:cs="Arial" w:eastAsia="Arial" w:hAnsi="Arial"/>
                <w:sz w:val="14"/>
                <w:szCs w:val="14"/>
                <w:color w:val="auto"/>
              </w:rPr>
              <w:t>Operating Income (Loss)</w:t>
            </w:r>
          </w:p>
        </w:tc>
        <w:tc>
          <w:tcPr>
            <w:tcW w:w="1520" w:type="dxa"/>
            <w:vAlign w:val="bottom"/>
            <w:gridSpan w:val="2"/>
          </w:tcPr>
          <w:p>
            <w:pPr>
              <w:ind w:left="320"/>
              <w:spacing w:after="0" w:line="131" w:lineRule="exact"/>
              <w:rPr>
                <w:sz w:val="20"/>
                <w:szCs w:val="20"/>
                <w:color w:val="auto"/>
              </w:rPr>
            </w:pPr>
            <w:r>
              <w:rPr>
                <w:rFonts w:ascii="Arial" w:cs="Arial" w:eastAsia="Arial" w:hAnsi="Arial"/>
                <w:sz w:val="14"/>
                <w:szCs w:val="14"/>
                <w:color w:val="auto"/>
              </w:rPr>
              <w:t>Depreciation</w:t>
            </w:r>
          </w:p>
        </w:tc>
        <w:tc>
          <w:tcPr>
            <w:tcW w:w="1100" w:type="dxa"/>
            <w:vAlign w:val="bottom"/>
            <w:gridSpan w:val="2"/>
          </w:tcPr>
          <w:p>
            <w:pPr>
              <w:ind w:left="200"/>
              <w:spacing w:after="0" w:line="131" w:lineRule="exact"/>
              <w:rPr>
                <w:sz w:val="20"/>
                <w:szCs w:val="20"/>
                <w:color w:val="auto"/>
              </w:rPr>
            </w:pPr>
            <w:r>
              <w:rPr>
                <w:rFonts w:ascii="Arial" w:cs="Arial" w:eastAsia="Arial" w:hAnsi="Arial"/>
                <w:sz w:val="14"/>
                <w:szCs w:val="14"/>
                <w:color w:val="auto"/>
              </w:rPr>
              <w:t>Operating</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100" w:type="dxa"/>
            <w:vAlign w:val="bottom"/>
          </w:tcPr>
          <w:p>
            <w:pPr>
              <w:spacing w:after="0"/>
              <w:rPr>
                <w:sz w:val="11"/>
                <w:szCs w:val="11"/>
                <w:color w:val="auto"/>
              </w:rPr>
            </w:pPr>
          </w:p>
        </w:tc>
        <w:tc>
          <w:tcPr>
            <w:tcW w:w="1540" w:type="dxa"/>
            <w:vAlign w:val="bottom"/>
            <w:gridSpan w:val="2"/>
            <w:vMerge w:val="restart"/>
          </w:tcPr>
          <w:p>
            <w:pPr>
              <w:ind w:left="580"/>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(c)</w:t>
            </w:r>
          </w:p>
        </w:tc>
        <w:tc>
          <w:tcPr>
            <w:tcW w:w="2040" w:type="dxa"/>
            <w:vAlign w:val="bottom"/>
            <w:gridSpan w:val="2"/>
          </w:tcPr>
          <w:p>
            <w:pPr>
              <w:ind w:left="320"/>
              <w:spacing w:after="0" w:line="133" w:lineRule="exact"/>
              <w:rPr>
                <w:sz w:val="20"/>
                <w:szCs w:val="20"/>
                <w:color w:val="auto"/>
              </w:rPr>
            </w:pPr>
            <w:r>
              <w:rPr>
                <w:rFonts w:ascii="Arial" w:cs="Arial" w:eastAsia="Arial" w:hAnsi="Arial"/>
                <w:sz w:val="14"/>
                <w:szCs w:val="14"/>
                <w:color w:val="auto"/>
              </w:rPr>
              <w:t>Before Depreciation and</w:t>
            </w:r>
          </w:p>
        </w:tc>
        <w:tc>
          <w:tcPr>
            <w:tcW w:w="480" w:type="dxa"/>
            <w:vAlign w:val="bottom"/>
          </w:tcPr>
          <w:p>
            <w:pPr>
              <w:spacing w:after="0"/>
              <w:rPr>
                <w:sz w:val="11"/>
                <w:szCs w:val="11"/>
                <w:color w:val="auto"/>
              </w:rPr>
            </w:pPr>
          </w:p>
        </w:tc>
        <w:tc>
          <w:tcPr>
            <w:tcW w:w="1040" w:type="dxa"/>
            <w:vAlign w:val="bottom"/>
          </w:tcPr>
          <w:p>
            <w:pPr>
              <w:jc w:val="right"/>
              <w:ind w:right="655"/>
              <w:spacing w:after="0" w:line="133" w:lineRule="exact"/>
              <w:rPr>
                <w:sz w:val="20"/>
                <w:szCs w:val="20"/>
                <w:color w:val="auto"/>
              </w:rPr>
            </w:pPr>
            <w:r>
              <w:rPr>
                <w:rFonts w:ascii="Arial" w:cs="Arial" w:eastAsia="Arial" w:hAnsi="Arial"/>
                <w:sz w:val="14"/>
                <w:szCs w:val="14"/>
                <w:color w:val="auto"/>
              </w:rPr>
              <w:t>and</w:t>
            </w:r>
          </w:p>
        </w:tc>
        <w:tc>
          <w:tcPr>
            <w:tcW w:w="1100" w:type="dxa"/>
            <w:vAlign w:val="bottom"/>
            <w:gridSpan w:val="2"/>
          </w:tcPr>
          <w:p>
            <w:pPr>
              <w:jc w:val="right"/>
              <w:ind w:right="355"/>
              <w:spacing w:after="0" w:line="133" w:lineRule="exact"/>
              <w:rPr>
                <w:sz w:val="20"/>
                <w:szCs w:val="20"/>
                <w:color w:val="auto"/>
              </w:rPr>
            </w:pPr>
            <w:r>
              <w:rPr>
                <w:rFonts w:ascii="Arial" w:cs="Arial" w:eastAsia="Arial" w:hAnsi="Arial"/>
                <w:sz w:val="14"/>
                <w:szCs w:val="14"/>
                <w:color w:val="auto"/>
              </w:rPr>
              <w:t>Income</w:t>
            </w:r>
          </w:p>
        </w:tc>
        <w:tc>
          <w:tcPr>
            <w:tcW w:w="440" w:type="dxa"/>
            <w:vAlign w:val="bottom"/>
          </w:tcPr>
          <w:p>
            <w:pPr>
              <w:spacing w:after="0"/>
              <w:rPr>
                <w:sz w:val="11"/>
                <w:szCs w:val="11"/>
                <w:color w:val="auto"/>
              </w:rPr>
            </w:pPr>
          </w:p>
        </w:tc>
        <w:tc>
          <w:tcPr>
            <w:tcW w:w="680" w:type="dxa"/>
            <w:vAlign w:val="bottom"/>
          </w:tcPr>
          <w:p>
            <w:pPr>
              <w:jc w:val="right"/>
              <w:ind w:right="175"/>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4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540" w:type="dxa"/>
            <w:vAlign w:val="bottom"/>
            <w:tcBorders>
              <w:bottom w:val="single" w:sz="8" w:color="auto"/>
            </w:tcBorders>
            <w:gridSpan w:val="2"/>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537"/>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(d)</w:t>
            </w:r>
          </w:p>
        </w:tc>
        <w:tc>
          <w:tcPr>
            <w:tcW w:w="152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rPr>
              <w:t>Amortization</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color w:val="auto"/>
                <w:w w:val="87"/>
              </w:rPr>
              <w:t>(Loss)</w:t>
            </w:r>
          </w:p>
        </w:tc>
        <w:tc>
          <w:tcPr>
            <w:tcW w:w="112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4100" w:type="dxa"/>
            <w:vAlign w:val="bottom"/>
            <w:shd w:val="clear" w:color="auto" w:fill="E5E5E5"/>
          </w:tcPr>
          <w:p>
            <w:pPr>
              <w:spacing w:after="0"/>
              <w:rPr>
                <w:sz w:val="20"/>
                <w:szCs w:val="20"/>
                <w:color w:val="auto"/>
              </w:rPr>
            </w:pPr>
            <w:r>
              <w:rPr>
                <w:rFonts w:ascii="Arial" w:cs="Arial" w:eastAsia="Arial" w:hAnsi="Arial"/>
                <w:sz w:val="18"/>
                <w:szCs w:val="18"/>
                <w:color w:val="auto"/>
              </w:rPr>
              <w:t>Cable Networks</w:t>
            </w:r>
          </w:p>
        </w:tc>
        <w:tc>
          <w:tcPr>
            <w:tcW w:w="720" w:type="dxa"/>
            <w:vAlign w:val="bottom"/>
            <w:shd w:val="clear" w:color="auto" w:fill="E5E5E5"/>
          </w:tcPr>
          <w:p>
            <w:pPr>
              <w:ind w:left="560"/>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ind w:right="272"/>
              <w:spacing w:after="0"/>
              <w:rPr>
                <w:sz w:val="20"/>
                <w:szCs w:val="20"/>
                <w:color w:val="auto"/>
              </w:rPr>
            </w:pPr>
            <w:r>
              <w:rPr>
                <w:rFonts w:ascii="Arial" w:cs="Arial" w:eastAsia="Arial" w:hAnsi="Arial"/>
                <w:sz w:val="18"/>
                <w:szCs w:val="18"/>
                <w:color w:val="auto"/>
                <w:w w:val="97"/>
              </w:rPr>
              <w:t>2,359</w:t>
            </w:r>
          </w:p>
        </w:tc>
        <w:tc>
          <w:tcPr>
            <w:tcW w:w="48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E5E5E5"/>
          </w:tcPr>
          <w:p>
            <w:pPr>
              <w:jc w:val="right"/>
              <w:ind w:right="277"/>
              <w:spacing w:after="0"/>
              <w:rPr>
                <w:sz w:val="20"/>
                <w:szCs w:val="20"/>
                <w:color w:val="auto"/>
              </w:rPr>
            </w:pPr>
            <w:r>
              <w:rPr>
                <w:rFonts w:ascii="Arial" w:cs="Arial" w:eastAsia="Arial" w:hAnsi="Arial"/>
                <w:sz w:val="18"/>
                <w:szCs w:val="18"/>
                <w:color w:val="auto"/>
              </w:rPr>
              <w:t>898</w:t>
            </w:r>
          </w:p>
        </w:tc>
        <w:tc>
          <w:tcPr>
            <w:tcW w:w="48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395"/>
              <w:spacing w:after="0"/>
              <w:rPr>
                <w:sz w:val="20"/>
                <w:szCs w:val="20"/>
                <w:color w:val="auto"/>
              </w:rPr>
            </w:pPr>
            <w:r>
              <w:rPr>
                <w:rFonts w:ascii="Arial" w:cs="Arial" w:eastAsia="Arial" w:hAnsi="Arial"/>
                <w:sz w:val="18"/>
                <w:szCs w:val="18"/>
                <w:color w:val="auto"/>
              </w:rPr>
              <w:t>184</w:t>
            </w:r>
          </w:p>
        </w:tc>
        <w:tc>
          <w:tcPr>
            <w:tcW w:w="280" w:type="dxa"/>
            <w:vAlign w:val="bottom"/>
            <w:shd w:val="clear" w:color="auto" w:fill="E5E5E5"/>
          </w:tcPr>
          <w:p>
            <w:pPr>
              <w:ind w:left="20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714</w:t>
            </w:r>
          </w:p>
        </w:tc>
        <w:tc>
          <w:tcPr>
            <w:tcW w:w="44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Broadcast Television</w:t>
            </w:r>
          </w:p>
        </w:tc>
        <w:tc>
          <w:tcPr>
            <w:tcW w:w="720" w:type="dxa"/>
            <w:vAlign w:val="bottom"/>
          </w:tcPr>
          <w:p>
            <w:pPr>
              <w:spacing w:after="0"/>
              <w:rPr>
                <w:sz w:val="18"/>
                <w:szCs w:val="18"/>
                <w:color w:val="auto"/>
              </w:rPr>
            </w:pPr>
          </w:p>
        </w:tc>
        <w:tc>
          <w:tcPr>
            <w:tcW w:w="820" w:type="dxa"/>
            <w:vAlign w:val="bottom"/>
          </w:tcPr>
          <w:p>
            <w:pPr>
              <w:jc w:val="right"/>
              <w:ind w:right="272"/>
              <w:spacing w:after="0"/>
              <w:rPr>
                <w:sz w:val="20"/>
                <w:szCs w:val="20"/>
                <w:color w:val="auto"/>
              </w:rPr>
            </w:pPr>
            <w:r>
              <w:rPr>
                <w:rFonts w:ascii="Arial" w:cs="Arial" w:eastAsia="Arial" w:hAnsi="Arial"/>
                <w:sz w:val="18"/>
                <w:szCs w:val="18"/>
                <w:color w:val="auto"/>
                <w:w w:val="97"/>
              </w:rPr>
              <w:t>2,248</w:t>
            </w:r>
          </w:p>
        </w:tc>
        <w:tc>
          <w:tcPr>
            <w:tcW w:w="480" w:type="dxa"/>
            <w:vAlign w:val="bottom"/>
          </w:tcPr>
          <w:p>
            <w:pPr>
              <w:spacing w:after="0"/>
              <w:rPr>
                <w:sz w:val="18"/>
                <w:szCs w:val="18"/>
                <w:color w:val="auto"/>
              </w:rPr>
            </w:pPr>
          </w:p>
        </w:tc>
        <w:tc>
          <w:tcPr>
            <w:tcW w:w="1560" w:type="dxa"/>
            <w:vAlign w:val="bottom"/>
          </w:tcPr>
          <w:p>
            <w:pPr>
              <w:jc w:val="right"/>
              <w:ind w:right="277"/>
              <w:spacing w:after="0"/>
              <w:rPr>
                <w:sz w:val="20"/>
                <w:szCs w:val="20"/>
                <w:color w:val="auto"/>
              </w:rPr>
            </w:pPr>
            <w:r>
              <w:rPr>
                <w:rFonts w:ascii="Arial" w:cs="Arial" w:eastAsia="Arial" w:hAnsi="Arial"/>
                <w:sz w:val="18"/>
                <w:szCs w:val="18"/>
                <w:color w:val="auto"/>
              </w:rPr>
              <w:t>182</w:t>
            </w:r>
          </w:p>
        </w:tc>
        <w:tc>
          <w:tcPr>
            <w:tcW w:w="480" w:type="dxa"/>
            <w:vAlign w:val="bottom"/>
          </w:tcPr>
          <w:p>
            <w:pPr>
              <w:spacing w:after="0"/>
              <w:rPr>
                <w:sz w:val="18"/>
                <w:szCs w:val="18"/>
                <w:color w:val="auto"/>
              </w:rPr>
            </w:pPr>
          </w:p>
        </w:tc>
        <w:tc>
          <w:tcPr>
            <w:tcW w:w="1040" w:type="dxa"/>
            <w:vAlign w:val="bottom"/>
          </w:tcPr>
          <w:p>
            <w:pPr>
              <w:jc w:val="right"/>
              <w:ind w:right="395"/>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820" w:type="dxa"/>
            <w:vAlign w:val="bottom"/>
          </w:tcPr>
          <w:p>
            <w:pPr>
              <w:jc w:val="right"/>
              <w:ind w:right="275"/>
              <w:spacing w:after="0"/>
              <w:rPr>
                <w:sz w:val="20"/>
                <w:szCs w:val="20"/>
                <w:color w:val="auto"/>
              </w:rPr>
            </w:pPr>
            <w:r>
              <w:rPr>
                <w:rFonts w:ascii="Arial" w:cs="Arial" w:eastAsia="Arial" w:hAnsi="Arial"/>
                <w:sz w:val="18"/>
                <w:szCs w:val="18"/>
                <w:color w:val="auto"/>
              </w:rPr>
              <w:t>153</w:t>
            </w:r>
          </w:p>
        </w:tc>
        <w:tc>
          <w:tcPr>
            <w:tcW w:w="44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100" w:type="dxa"/>
            <w:vAlign w:val="bottom"/>
            <w:shd w:val="clear" w:color="auto" w:fill="E5E5E5"/>
          </w:tcPr>
          <w:p>
            <w:pPr>
              <w:spacing w:after="0"/>
              <w:rPr>
                <w:sz w:val="20"/>
                <w:szCs w:val="20"/>
                <w:color w:val="auto"/>
              </w:rPr>
            </w:pPr>
            <w:r>
              <w:rPr>
                <w:rFonts w:ascii="Arial" w:cs="Arial" w:eastAsia="Arial" w:hAnsi="Arial"/>
                <w:sz w:val="18"/>
                <w:szCs w:val="18"/>
                <w:color w:val="auto"/>
              </w:rPr>
              <w:t>Filmed Entertainment</w:t>
            </w:r>
          </w:p>
        </w:tc>
        <w:tc>
          <w:tcPr>
            <w:tcW w:w="7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72"/>
              <w:spacing w:after="0"/>
              <w:rPr>
                <w:sz w:val="20"/>
                <w:szCs w:val="20"/>
                <w:color w:val="auto"/>
              </w:rPr>
            </w:pPr>
            <w:r>
              <w:rPr>
                <w:rFonts w:ascii="Arial" w:cs="Arial" w:eastAsia="Arial" w:hAnsi="Arial"/>
                <w:sz w:val="18"/>
                <w:szCs w:val="18"/>
                <w:color w:val="auto"/>
                <w:w w:val="97"/>
              </w:rPr>
              <w:t>1,446</w:t>
            </w:r>
          </w:p>
        </w:tc>
        <w:tc>
          <w:tcPr>
            <w:tcW w:w="48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77"/>
              <w:spacing w:after="0"/>
              <w:rPr>
                <w:sz w:val="20"/>
                <w:szCs w:val="20"/>
                <w:color w:val="auto"/>
              </w:rPr>
            </w:pPr>
            <w:r>
              <w:rPr>
                <w:rFonts w:ascii="Arial" w:cs="Arial" w:eastAsia="Arial" w:hAnsi="Arial"/>
                <w:sz w:val="18"/>
                <w:szCs w:val="18"/>
                <w:color w:val="auto"/>
              </w:rPr>
              <w:t>293</w:t>
            </w:r>
          </w:p>
        </w:tc>
        <w:tc>
          <w:tcPr>
            <w:tcW w:w="480" w:type="dxa"/>
            <w:vAlign w:val="bottom"/>
            <w:shd w:val="clear" w:color="auto" w:fill="E5E5E5"/>
          </w:tcPr>
          <w:p>
            <w:pPr>
              <w:spacing w:after="0"/>
              <w:rPr>
                <w:sz w:val="18"/>
                <w:szCs w:val="18"/>
                <w:color w:val="auto"/>
              </w:rPr>
            </w:pPr>
          </w:p>
        </w:tc>
        <w:tc>
          <w:tcPr>
            <w:tcW w:w="1040" w:type="dxa"/>
            <w:vAlign w:val="bottom"/>
            <w:shd w:val="clear" w:color="auto" w:fill="E5E5E5"/>
          </w:tcPr>
          <w:p>
            <w:pPr>
              <w:jc w:val="right"/>
              <w:ind w:right="395"/>
              <w:spacing w:after="0"/>
              <w:rPr>
                <w:sz w:val="20"/>
                <w:szCs w:val="20"/>
                <w:color w:val="auto"/>
              </w:rPr>
            </w:pPr>
            <w:r>
              <w:rPr>
                <w:rFonts w:ascii="Arial" w:cs="Arial" w:eastAsia="Arial" w:hAnsi="Arial"/>
                <w:sz w:val="18"/>
                <w:szCs w:val="18"/>
                <w:color w:val="auto"/>
              </w:rPr>
              <w:t>5</w:t>
            </w: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288</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Theme Parks</w:t>
            </w:r>
          </w:p>
        </w:tc>
        <w:tc>
          <w:tcPr>
            <w:tcW w:w="720" w:type="dxa"/>
            <w:vAlign w:val="bottom"/>
          </w:tcPr>
          <w:p>
            <w:pPr>
              <w:spacing w:after="0"/>
              <w:rPr>
                <w:sz w:val="18"/>
                <w:szCs w:val="18"/>
                <w:color w:val="auto"/>
              </w:rPr>
            </w:pP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651</w:t>
            </w:r>
          </w:p>
        </w:tc>
        <w:tc>
          <w:tcPr>
            <w:tcW w:w="480" w:type="dxa"/>
            <w:vAlign w:val="bottom"/>
          </w:tcPr>
          <w:p>
            <w:pPr>
              <w:spacing w:after="0"/>
              <w:rPr>
                <w:sz w:val="18"/>
                <w:szCs w:val="18"/>
                <w:color w:val="auto"/>
              </w:rPr>
            </w:pPr>
          </w:p>
        </w:tc>
        <w:tc>
          <w:tcPr>
            <w:tcW w:w="1560" w:type="dxa"/>
            <w:vAlign w:val="bottom"/>
          </w:tcPr>
          <w:p>
            <w:pPr>
              <w:jc w:val="right"/>
              <w:ind w:right="277"/>
              <w:spacing w:after="0"/>
              <w:rPr>
                <w:sz w:val="20"/>
                <w:szCs w:val="20"/>
                <w:color w:val="auto"/>
              </w:rPr>
            </w:pPr>
            <w:r>
              <w:rPr>
                <w:rFonts w:ascii="Arial" w:cs="Arial" w:eastAsia="Arial" w:hAnsi="Arial"/>
                <w:sz w:val="18"/>
                <w:szCs w:val="18"/>
                <w:color w:val="auto"/>
              </w:rPr>
              <w:t>263</w:t>
            </w:r>
          </w:p>
        </w:tc>
        <w:tc>
          <w:tcPr>
            <w:tcW w:w="480" w:type="dxa"/>
            <w:vAlign w:val="bottom"/>
          </w:tcPr>
          <w:p>
            <w:pPr>
              <w:spacing w:after="0"/>
              <w:rPr>
                <w:sz w:val="18"/>
                <w:szCs w:val="18"/>
                <w:color w:val="auto"/>
              </w:rPr>
            </w:pPr>
          </w:p>
        </w:tc>
        <w:tc>
          <w:tcPr>
            <w:tcW w:w="1040" w:type="dxa"/>
            <w:vAlign w:val="bottom"/>
          </w:tcPr>
          <w:p>
            <w:pPr>
              <w:jc w:val="right"/>
              <w:ind w:right="395"/>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18"/>
                <w:szCs w:val="18"/>
                <w:color w:val="auto"/>
              </w:rPr>
            </w:pPr>
          </w:p>
        </w:tc>
        <w:tc>
          <w:tcPr>
            <w:tcW w:w="820" w:type="dxa"/>
            <w:vAlign w:val="bottom"/>
          </w:tcPr>
          <w:p>
            <w:pPr>
              <w:jc w:val="right"/>
              <w:ind w:right="275"/>
              <w:spacing w:after="0"/>
              <w:rPr>
                <w:sz w:val="20"/>
                <w:szCs w:val="20"/>
                <w:color w:val="auto"/>
              </w:rPr>
            </w:pPr>
            <w:r>
              <w:rPr>
                <w:rFonts w:ascii="Arial" w:cs="Arial" w:eastAsia="Arial" w:hAnsi="Arial"/>
                <w:sz w:val="18"/>
                <w:szCs w:val="18"/>
                <w:color w:val="auto"/>
              </w:rPr>
              <w:t>197</w:t>
            </w:r>
          </w:p>
        </w:tc>
        <w:tc>
          <w:tcPr>
            <w:tcW w:w="44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4100" w:type="dxa"/>
            <w:vAlign w:val="bottom"/>
            <w:shd w:val="clear" w:color="auto" w:fill="E5E5E5"/>
          </w:tcPr>
          <w:p>
            <w:pPr>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(a)</w:t>
            </w:r>
          </w:p>
        </w:tc>
        <w:tc>
          <w:tcPr>
            <w:tcW w:w="7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72"/>
              <w:spacing w:after="0"/>
              <w:rPr>
                <w:sz w:val="20"/>
                <w:szCs w:val="20"/>
                <w:color w:val="auto"/>
              </w:rPr>
            </w:pPr>
            <w:r>
              <w:rPr>
                <w:rFonts w:ascii="Arial" w:cs="Arial" w:eastAsia="Arial" w:hAnsi="Arial"/>
                <w:sz w:val="18"/>
                <w:szCs w:val="18"/>
                <w:color w:val="auto"/>
              </w:rPr>
              <w:t>4</w:t>
            </w:r>
          </w:p>
        </w:tc>
        <w:tc>
          <w:tcPr>
            <w:tcW w:w="48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(140)</w:t>
            </w:r>
          </w:p>
        </w:tc>
        <w:tc>
          <w:tcPr>
            <w:tcW w:w="480" w:type="dxa"/>
            <w:vAlign w:val="bottom"/>
            <w:shd w:val="clear" w:color="auto" w:fill="E5E5E5"/>
          </w:tcPr>
          <w:p>
            <w:pPr>
              <w:spacing w:after="0"/>
              <w:rPr>
                <w:sz w:val="18"/>
                <w:szCs w:val="18"/>
                <w:color w:val="auto"/>
              </w:rPr>
            </w:pPr>
          </w:p>
        </w:tc>
        <w:tc>
          <w:tcPr>
            <w:tcW w:w="1040" w:type="dxa"/>
            <w:vAlign w:val="bottom"/>
            <w:shd w:val="clear" w:color="auto" w:fill="E5E5E5"/>
          </w:tcPr>
          <w:p>
            <w:pPr>
              <w:jc w:val="right"/>
              <w:ind w:right="395"/>
              <w:spacing w:after="0"/>
              <w:rPr>
                <w:sz w:val="20"/>
                <w:szCs w:val="20"/>
                <w:color w:val="auto"/>
              </w:rPr>
            </w:pPr>
            <w:r>
              <w:rPr>
                <w:rFonts w:ascii="Arial" w:cs="Arial" w:eastAsia="Arial" w:hAnsi="Arial"/>
                <w:sz w:val="18"/>
                <w:szCs w:val="18"/>
                <w:color w:val="auto"/>
              </w:rPr>
              <w:t>80</w:t>
            </w: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(220)</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(b)</w:t>
            </w:r>
          </w:p>
        </w:tc>
        <w:tc>
          <w:tcPr>
            <w:tcW w:w="7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(104)</w:t>
            </w: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rPr>
              <w:t>(2)</w:t>
            </w: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(2)</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1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720" w:type="dxa"/>
            <w:vAlign w:val="bottom"/>
            <w:tcBorders>
              <w:bottom w:val="single" w:sz="8" w:color="auto"/>
            </w:tcBorders>
            <w:shd w:val="clear" w:color="auto" w:fill="E5E5E5"/>
          </w:tcPr>
          <w:p>
            <w:pPr>
              <w:ind w:left="56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E5E5E5"/>
          </w:tcPr>
          <w:p>
            <w:pPr>
              <w:jc w:val="right"/>
              <w:ind w:right="272"/>
              <w:spacing w:after="0"/>
              <w:rPr>
                <w:sz w:val="20"/>
                <w:szCs w:val="20"/>
                <w:color w:val="auto"/>
              </w:rPr>
            </w:pPr>
            <w:r>
              <w:rPr>
                <w:rFonts w:ascii="Arial" w:cs="Arial" w:eastAsia="Arial" w:hAnsi="Arial"/>
                <w:sz w:val="18"/>
                <w:szCs w:val="18"/>
                <w:b w:val="1"/>
                <w:bCs w:val="1"/>
                <w:color w:val="auto"/>
                <w:w w:val="97"/>
              </w:rPr>
              <w:t>6,604</w:t>
            </w:r>
          </w:p>
        </w:tc>
        <w:tc>
          <w:tcPr>
            <w:tcW w:w="480" w:type="dxa"/>
            <w:vAlign w:val="bottom"/>
            <w:tcBorders>
              <w:bottom w:val="single" w:sz="8" w:color="auto"/>
            </w:tcBorders>
            <w:shd w:val="clear" w:color="auto" w:fill="E5E5E5"/>
          </w:tcPr>
          <w:p>
            <w:pPr>
              <w:ind w:left="32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tcBorders>
            <w:shd w:val="clear" w:color="auto" w:fill="E5E5E5"/>
          </w:tcPr>
          <w:p>
            <w:pPr>
              <w:jc w:val="right"/>
              <w:ind w:right="277"/>
              <w:spacing w:after="0"/>
              <w:rPr>
                <w:sz w:val="20"/>
                <w:szCs w:val="20"/>
                <w:color w:val="auto"/>
              </w:rPr>
            </w:pPr>
            <w:r>
              <w:rPr>
                <w:rFonts w:ascii="Arial" w:cs="Arial" w:eastAsia="Arial" w:hAnsi="Arial"/>
                <w:sz w:val="18"/>
                <w:szCs w:val="18"/>
                <w:b w:val="1"/>
                <w:bCs w:val="1"/>
                <w:color w:val="auto"/>
              </w:rPr>
              <w:t>1,494</w:t>
            </w:r>
          </w:p>
        </w:tc>
        <w:tc>
          <w:tcPr>
            <w:tcW w:w="480" w:type="dxa"/>
            <w:vAlign w:val="bottom"/>
            <w:tcBorders>
              <w:bottom w:val="single" w:sz="8" w:color="auto"/>
            </w:tcBorders>
            <w:shd w:val="clear" w:color="auto" w:fill="E5E5E5"/>
          </w:tcPr>
          <w:p>
            <w:pPr>
              <w:ind w:left="30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E5E5E5"/>
          </w:tcPr>
          <w:p>
            <w:pPr>
              <w:jc w:val="right"/>
              <w:ind w:right="395"/>
              <w:spacing w:after="0"/>
              <w:rPr>
                <w:sz w:val="20"/>
                <w:szCs w:val="20"/>
                <w:color w:val="auto"/>
              </w:rPr>
            </w:pPr>
            <w:r>
              <w:rPr>
                <w:rFonts w:ascii="Arial" w:cs="Arial" w:eastAsia="Arial" w:hAnsi="Arial"/>
                <w:sz w:val="18"/>
                <w:szCs w:val="18"/>
                <w:b w:val="1"/>
                <w:bCs w:val="1"/>
                <w:color w:val="auto"/>
              </w:rPr>
              <w:t>364</w:t>
            </w:r>
          </w:p>
        </w:tc>
        <w:tc>
          <w:tcPr>
            <w:tcW w:w="2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b w:val="1"/>
                <w:bCs w:val="1"/>
                <w:color w:val="auto"/>
                <w:w w:val="97"/>
              </w:rPr>
              <w:t>1,130</w:t>
            </w:r>
          </w:p>
        </w:tc>
        <w:tc>
          <w:tcPr>
            <w:tcW w:w="440" w:type="dxa"/>
            <w:vAlign w:val="bottom"/>
            <w:tcBorders>
              <w:bottom w:val="single" w:sz="8" w:color="auto"/>
            </w:tcBorders>
            <w:shd w:val="clear" w:color="auto" w:fill="E5E5E5"/>
          </w:tcPr>
          <w:p>
            <w:pPr>
              <w:ind w:left="30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268</w:t>
            </w:r>
          </w:p>
        </w:tc>
        <w:tc>
          <w:tcPr>
            <w:tcW w:w="0" w:type="dxa"/>
            <w:vAlign w:val="bottom"/>
          </w:tcPr>
          <w:p>
            <w:pPr>
              <w:spacing w:after="0"/>
              <w:rPr>
                <w:sz w:val="1"/>
                <w:szCs w:val="1"/>
                <w:color w:val="auto"/>
              </w:rPr>
            </w:pPr>
          </w:p>
        </w:tc>
      </w:tr>
    </w:tbl>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3"/>
          </w:tcPr>
          <w:p>
            <w:pPr>
              <w:jc w:val="right"/>
              <w:ind w:right="135"/>
              <w:spacing w:after="0"/>
              <w:rPr>
                <w:sz w:val="20"/>
                <w:szCs w:val="20"/>
                <w:color w:val="auto"/>
              </w:rPr>
            </w:pPr>
            <w:r>
              <w:rPr>
                <w:rFonts w:ascii="Arial" w:cs="Arial" w:eastAsia="Arial" w:hAnsi="Arial"/>
                <w:sz w:val="14"/>
                <w:szCs w:val="14"/>
                <w:color w:val="auto"/>
              </w:rPr>
              <w:t>Three Months Ended March 31, 2014</w:t>
            </w: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100" w:type="dxa"/>
            <w:vAlign w:val="bottom"/>
            <w:gridSpan w:val="2"/>
          </w:tcPr>
          <w:p>
            <w:pPr>
              <w:ind w:left="340"/>
              <w:spacing w:after="0" w:line="131" w:lineRule="exact"/>
              <w:rPr>
                <w:sz w:val="20"/>
                <w:szCs w:val="20"/>
                <w:color w:val="auto"/>
              </w:rPr>
            </w:pPr>
            <w:r>
              <w:rPr>
                <w:rFonts w:ascii="Arial" w:cs="Arial" w:eastAsia="Arial" w:hAnsi="Arial"/>
                <w:sz w:val="14"/>
                <w:szCs w:val="14"/>
                <w:color w:val="auto"/>
              </w:rPr>
              <w:t>Operating Income (Loss)</w:t>
            </w:r>
          </w:p>
        </w:tc>
        <w:tc>
          <w:tcPr>
            <w:tcW w:w="1600" w:type="dxa"/>
            <w:vAlign w:val="bottom"/>
            <w:gridSpan w:val="2"/>
          </w:tcPr>
          <w:p>
            <w:pPr>
              <w:ind w:left="360"/>
              <w:spacing w:after="0" w:line="131" w:lineRule="exact"/>
              <w:rPr>
                <w:sz w:val="20"/>
                <w:szCs w:val="20"/>
                <w:color w:val="auto"/>
              </w:rPr>
            </w:pPr>
            <w:r>
              <w:rPr>
                <w:rFonts w:ascii="Arial" w:cs="Arial" w:eastAsia="Arial" w:hAnsi="Arial"/>
                <w:sz w:val="14"/>
                <w:szCs w:val="14"/>
                <w:color w:val="auto"/>
              </w:rPr>
              <w:t>Depreciation</w:t>
            </w:r>
          </w:p>
        </w:tc>
        <w:tc>
          <w:tcPr>
            <w:tcW w:w="1160" w:type="dxa"/>
            <w:vAlign w:val="bottom"/>
            <w:gridSpan w:val="2"/>
          </w:tcPr>
          <w:p>
            <w:pPr>
              <w:ind w:left="220"/>
              <w:spacing w:after="0" w:line="131" w:lineRule="exact"/>
              <w:rPr>
                <w:sz w:val="20"/>
                <w:szCs w:val="20"/>
                <w:color w:val="auto"/>
              </w:rPr>
            </w:pPr>
            <w:r>
              <w:rPr>
                <w:rFonts w:ascii="Arial" w:cs="Arial" w:eastAsia="Arial" w:hAnsi="Arial"/>
                <w:sz w:val="14"/>
                <w:szCs w:val="14"/>
                <w:color w:val="auto"/>
              </w:rPr>
              <w:t>Operating</w:t>
            </w: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740" w:type="dxa"/>
            <w:vAlign w:val="bottom"/>
          </w:tcPr>
          <w:p>
            <w:pPr>
              <w:spacing w:after="0"/>
              <w:rPr>
                <w:sz w:val="11"/>
                <w:szCs w:val="11"/>
                <w:color w:val="auto"/>
              </w:rPr>
            </w:pPr>
          </w:p>
        </w:tc>
        <w:tc>
          <w:tcPr>
            <w:tcW w:w="1660" w:type="dxa"/>
            <w:vAlign w:val="bottom"/>
            <w:gridSpan w:val="2"/>
            <w:vMerge w:val="restart"/>
          </w:tcPr>
          <w:p>
            <w:pPr>
              <w:ind w:left="640"/>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(c)</w:t>
            </w:r>
          </w:p>
        </w:tc>
        <w:tc>
          <w:tcPr>
            <w:tcW w:w="2100" w:type="dxa"/>
            <w:vAlign w:val="bottom"/>
            <w:gridSpan w:val="2"/>
          </w:tcPr>
          <w:p>
            <w:pPr>
              <w:ind w:left="360"/>
              <w:spacing w:after="0" w:line="133" w:lineRule="exact"/>
              <w:rPr>
                <w:sz w:val="20"/>
                <w:szCs w:val="20"/>
                <w:color w:val="auto"/>
              </w:rPr>
            </w:pPr>
            <w:r>
              <w:rPr>
                <w:rFonts w:ascii="Arial" w:cs="Arial" w:eastAsia="Arial" w:hAnsi="Arial"/>
                <w:sz w:val="14"/>
                <w:szCs w:val="14"/>
                <w:color w:val="auto"/>
              </w:rPr>
              <w:t>Before Depreciation and</w:t>
            </w:r>
          </w:p>
        </w:tc>
        <w:tc>
          <w:tcPr>
            <w:tcW w:w="520" w:type="dxa"/>
            <w:vAlign w:val="bottom"/>
          </w:tcPr>
          <w:p>
            <w:pPr>
              <w:spacing w:after="0"/>
              <w:rPr>
                <w:sz w:val="11"/>
                <w:szCs w:val="11"/>
                <w:color w:val="auto"/>
              </w:rPr>
            </w:pPr>
          </w:p>
        </w:tc>
        <w:tc>
          <w:tcPr>
            <w:tcW w:w="1080" w:type="dxa"/>
            <w:vAlign w:val="bottom"/>
          </w:tcPr>
          <w:p>
            <w:pPr>
              <w:jc w:val="right"/>
              <w:ind w:right="715"/>
              <w:spacing w:after="0" w:line="133" w:lineRule="exact"/>
              <w:rPr>
                <w:sz w:val="20"/>
                <w:szCs w:val="20"/>
                <w:color w:val="auto"/>
              </w:rPr>
            </w:pPr>
            <w:r>
              <w:rPr>
                <w:rFonts w:ascii="Arial" w:cs="Arial" w:eastAsia="Arial" w:hAnsi="Arial"/>
                <w:sz w:val="14"/>
                <w:szCs w:val="14"/>
                <w:color w:val="auto"/>
              </w:rPr>
              <w:t>and</w:t>
            </w:r>
          </w:p>
        </w:tc>
        <w:tc>
          <w:tcPr>
            <w:tcW w:w="1160" w:type="dxa"/>
            <w:vAlign w:val="bottom"/>
            <w:gridSpan w:val="2"/>
          </w:tcPr>
          <w:p>
            <w:pPr>
              <w:jc w:val="right"/>
              <w:ind w:right="395"/>
              <w:spacing w:after="0" w:line="133" w:lineRule="exact"/>
              <w:rPr>
                <w:sz w:val="20"/>
                <w:szCs w:val="20"/>
                <w:color w:val="auto"/>
              </w:rPr>
            </w:pPr>
            <w:r>
              <w:rPr>
                <w:rFonts w:ascii="Arial" w:cs="Arial" w:eastAsia="Arial" w:hAnsi="Arial"/>
                <w:sz w:val="14"/>
                <w:szCs w:val="14"/>
                <w:color w:val="auto"/>
              </w:rPr>
              <w:t>Income</w:t>
            </w:r>
          </w:p>
        </w:tc>
        <w:tc>
          <w:tcPr>
            <w:tcW w:w="480" w:type="dxa"/>
            <w:vAlign w:val="bottom"/>
          </w:tcPr>
          <w:p>
            <w:pPr>
              <w:spacing w:after="0"/>
              <w:rPr>
                <w:sz w:val="11"/>
                <w:szCs w:val="11"/>
                <w:color w:val="auto"/>
              </w:rPr>
            </w:pPr>
          </w:p>
        </w:tc>
        <w:tc>
          <w:tcPr>
            <w:tcW w:w="680" w:type="dxa"/>
            <w:vAlign w:val="bottom"/>
          </w:tcPr>
          <w:p>
            <w:pPr>
              <w:jc w:val="right"/>
              <w:ind w:right="175"/>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660" w:type="dxa"/>
            <w:vAlign w:val="bottom"/>
            <w:tcBorders>
              <w:bottom w:val="single" w:sz="8" w:color="auto"/>
            </w:tcBorders>
            <w:gridSpan w:val="2"/>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577"/>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(d)</w:t>
            </w:r>
          </w:p>
        </w:tc>
        <w:tc>
          <w:tcPr>
            <w:tcW w:w="160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color w:val="auto"/>
              </w:rPr>
              <w:t>Amortization</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color w:val="auto"/>
                <w:w w:val="87"/>
              </w:rPr>
              <w:t>(Loss)</w:t>
            </w:r>
          </w:p>
        </w:tc>
        <w:tc>
          <w:tcPr>
            <w:tcW w:w="11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3740" w:type="dxa"/>
            <w:vAlign w:val="bottom"/>
            <w:shd w:val="clear" w:color="auto" w:fill="E5E5E5"/>
          </w:tcPr>
          <w:p>
            <w:pPr>
              <w:spacing w:after="0"/>
              <w:rPr>
                <w:sz w:val="20"/>
                <w:szCs w:val="20"/>
                <w:color w:val="auto"/>
              </w:rPr>
            </w:pPr>
            <w:r>
              <w:rPr>
                <w:rFonts w:ascii="Arial" w:cs="Arial" w:eastAsia="Arial" w:hAnsi="Arial"/>
                <w:sz w:val="18"/>
                <w:szCs w:val="18"/>
                <w:color w:val="auto"/>
              </w:rPr>
              <w:t>Cable Networks</w:t>
            </w:r>
          </w:p>
        </w:tc>
        <w:tc>
          <w:tcPr>
            <w:tcW w:w="800" w:type="dxa"/>
            <w:vAlign w:val="bottom"/>
            <w:shd w:val="clear" w:color="auto" w:fill="E5E5E5"/>
          </w:tcPr>
          <w:p>
            <w:pPr>
              <w:ind w:left="64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312"/>
              <w:spacing w:after="0"/>
              <w:rPr>
                <w:sz w:val="20"/>
                <w:szCs w:val="20"/>
                <w:color w:val="auto"/>
              </w:rPr>
            </w:pPr>
            <w:r>
              <w:rPr>
                <w:rFonts w:ascii="Arial" w:cs="Arial" w:eastAsia="Arial" w:hAnsi="Arial"/>
                <w:sz w:val="18"/>
                <w:szCs w:val="18"/>
                <w:color w:val="auto"/>
                <w:w w:val="97"/>
              </w:rPr>
              <w:t>2,505</w:t>
            </w:r>
          </w:p>
        </w:tc>
        <w:tc>
          <w:tcPr>
            <w:tcW w:w="500" w:type="dxa"/>
            <w:vAlign w:val="bottom"/>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E5E5E5"/>
          </w:tcPr>
          <w:p>
            <w:pPr>
              <w:jc w:val="right"/>
              <w:ind w:right="317"/>
              <w:spacing w:after="0"/>
              <w:rPr>
                <w:sz w:val="20"/>
                <w:szCs w:val="20"/>
                <w:color w:val="auto"/>
              </w:rPr>
            </w:pPr>
            <w:r>
              <w:rPr>
                <w:rFonts w:ascii="Arial" w:cs="Arial" w:eastAsia="Arial" w:hAnsi="Arial"/>
                <w:sz w:val="18"/>
                <w:szCs w:val="18"/>
                <w:color w:val="auto"/>
              </w:rPr>
              <w:t>895</w:t>
            </w:r>
          </w:p>
        </w:tc>
        <w:tc>
          <w:tcPr>
            <w:tcW w:w="520" w:type="dxa"/>
            <w:vAlign w:val="bottom"/>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right"/>
              <w:ind w:right="435"/>
              <w:spacing w:after="0"/>
              <w:rPr>
                <w:sz w:val="20"/>
                <w:szCs w:val="20"/>
                <w:color w:val="auto"/>
              </w:rPr>
            </w:pPr>
            <w:r>
              <w:rPr>
                <w:rFonts w:ascii="Arial" w:cs="Arial" w:eastAsia="Arial" w:hAnsi="Arial"/>
                <w:sz w:val="18"/>
                <w:szCs w:val="18"/>
                <w:color w:val="auto"/>
              </w:rPr>
              <w:t>189</w:t>
            </w:r>
          </w:p>
        </w:tc>
        <w:tc>
          <w:tcPr>
            <w:tcW w:w="300" w:type="dxa"/>
            <w:vAlign w:val="bottom"/>
            <w:shd w:val="clear" w:color="auto" w:fill="E5E5E5"/>
          </w:tcPr>
          <w:p>
            <w:pPr>
              <w:ind w:left="22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E5E5E5"/>
          </w:tcPr>
          <w:p>
            <w:pPr>
              <w:jc w:val="right"/>
              <w:ind w:right="315"/>
              <w:spacing w:after="0"/>
              <w:rPr>
                <w:sz w:val="20"/>
                <w:szCs w:val="20"/>
                <w:color w:val="auto"/>
              </w:rPr>
            </w:pPr>
            <w:r>
              <w:rPr>
                <w:rFonts w:ascii="Arial" w:cs="Arial" w:eastAsia="Arial" w:hAnsi="Arial"/>
                <w:sz w:val="18"/>
                <w:szCs w:val="18"/>
                <w:color w:val="auto"/>
              </w:rPr>
              <w:t>706</w:t>
            </w:r>
          </w:p>
        </w:tc>
        <w:tc>
          <w:tcPr>
            <w:tcW w:w="480" w:type="dxa"/>
            <w:vAlign w:val="bottom"/>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Broadcast Television</w:t>
            </w:r>
          </w:p>
        </w:tc>
        <w:tc>
          <w:tcPr>
            <w:tcW w:w="800" w:type="dxa"/>
            <w:vAlign w:val="bottom"/>
          </w:tcPr>
          <w:p>
            <w:pPr>
              <w:spacing w:after="0"/>
              <w:rPr>
                <w:sz w:val="18"/>
                <w:szCs w:val="18"/>
                <w:color w:val="auto"/>
              </w:rPr>
            </w:pPr>
          </w:p>
        </w:tc>
        <w:tc>
          <w:tcPr>
            <w:tcW w:w="860" w:type="dxa"/>
            <w:vAlign w:val="bottom"/>
          </w:tcPr>
          <w:p>
            <w:pPr>
              <w:jc w:val="right"/>
              <w:ind w:right="312"/>
              <w:spacing w:after="0"/>
              <w:rPr>
                <w:sz w:val="20"/>
                <w:szCs w:val="20"/>
                <w:color w:val="auto"/>
              </w:rPr>
            </w:pPr>
            <w:r>
              <w:rPr>
                <w:rFonts w:ascii="Arial" w:cs="Arial" w:eastAsia="Arial" w:hAnsi="Arial"/>
                <w:sz w:val="18"/>
                <w:szCs w:val="18"/>
                <w:color w:val="auto"/>
                <w:w w:val="97"/>
              </w:rPr>
              <w:t>2,621</w:t>
            </w:r>
          </w:p>
        </w:tc>
        <w:tc>
          <w:tcPr>
            <w:tcW w:w="500" w:type="dxa"/>
            <w:vAlign w:val="bottom"/>
          </w:tcPr>
          <w:p>
            <w:pPr>
              <w:spacing w:after="0"/>
              <w:rPr>
                <w:sz w:val="18"/>
                <w:szCs w:val="18"/>
                <w:color w:val="auto"/>
              </w:rPr>
            </w:pPr>
          </w:p>
        </w:tc>
        <w:tc>
          <w:tcPr>
            <w:tcW w:w="1600" w:type="dxa"/>
            <w:vAlign w:val="bottom"/>
          </w:tcPr>
          <w:p>
            <w:pPr>
              <w:jc w:val="right"/>
              <w:ind w:right="317"/>
              <w:spacing w:after="0"/>
              <w:rPr>
                <w:sz w:val="20"/>
                <w:szCs w:val="20"/>
                <w:color w:val="auto"/>
              </w:rPr>
            </w:pPr>
            <w:r>
              <w:rPr>
                <w:rFonts w:ascii="Arial" w:cs="Arial" w:eastAsia="Arial" w:hAnsi="Arial"/>
                <w:sz w:val="18"/>
                <w:szCs w:val="18"/>
                <w:color w:val="auto"/>
              </w:rPr>
              <w:t>122</w:t>
            </w:r>
          </w:p>
        </w:tc>
        <w:tc>
          <w:tcPr>
            <w:tcW w:w="520" w:type="dxa"/>
            <w:vAlign w:val="bottom"/>
          </w:tcPr>
          <w:p>
            <w:pPr>
              <w:spacing w:after="0"/>
              <w:rPr>
                <w:sz w:val="18"/>
                <w:szCs w:val="18"/>
                <w:color w:val="auto"/>
              </w:rPr>
            </w:pPr>
          </w:p>
        </w:tc>
        <w:tc>
          <w:tcPr>
            <w:tcW w:w="1080" w:type="dxa"/>
            <w:vAlign w:val="bottom"/>
          </w:tcPr>
          <w:p>
            <w:pPr>
              <w:jc w:val="right"/>
              <w:ind w:right="435"/>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860" w:type="dxa"/>
            <w:vAlign w:val="bottom"/>
          </w:tcPr>
          <w:p>
            <w:pPr>
              <w:jc w:val="right"/>
              <w:ind w:right="315"/>
              <w:spacing w:after="0"/>
              <w:rPr>
                <w:sz w:val="20"/>
                <w:szCs w:val="20"/>
                <w:color w:val="auto"/>
              </w:rPr>
            </w:pPr>
            <w:r>
              <w:rPr>
                <w:rFonts w:ascii="Arial" w:cs="Arial" w:eastAsia="Arial" w:hAnsi="Arial"/>
                <w:sz w:val="18"/>
                <w:szCs w:val="18"/>
                <w:color w:val="auto"/>
              </w:rPr>
              <w:t>95</w:t>
            </w:r>
          </w:p>
        </w:tc>
        <w:tc>
          <w:tcPr>
            <w:tcW w:w="48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740" w:type="dxa"/>
            <w:vAlign w:val="bottom"/>
            <w:shd w:val="clear" w:color="auto" w:fill="E5E5E5"/>
          </w:tcPr>
          <w:p>
            <w:pPr>
              <w:spacing w:after="0"/>
              <w:rPr>
                <w:sz w:val="20"/>
                <w:szCs w:val="20"/>
                <w:color w:val="auto"/>
              </w:rPr>
            </w:pPr>
            <w:r>
              <w:rPr>
                <w:rFonts w:ascii="Arial" w:cs="Arial" w:eastAsia="Arial" w:hAnsi="Arial"/>
                <w:sz w:val="18"/>
                <w:szCs w:val="18"/>
                <w:color w:val="auto"/>
              </w:rPr>
              <w:t>Filmed Entertainment</w:t>
            </w:r>
          </w:p>
        </w:tc>
        <w:tc>
          <w:tcPr>
            <w:tcW w:w="8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12"/>
              <w:spacing w:after="0"/>
              <w:rPr>
                <w:sz w:val="20"/>
                <w:szCs w:val="20"/>
                <w:color w:val="auto"/>
              </w:rPr>
            </w:pPr>
            <w:r>
              <w:rPr>
                <w:rFonts w:ascii="Arial" w:cs="Arial" w:eastAsia="Arial" w:hAnsi="Arial"/>
                <w:sz w:val="18"/>
                <w:szCs w:val="18"/>
                <w:color w:val="auto"/>
                <w:w w:val="97"/>
              </w:rPr>
              <w:t>1,351</w:t>
            </w:r>
          </w:p>
        </w:tc>
        <w:tc>
          <w:tcPr>
            <w:tcW w:w="500" w:type="dxa"/>
            <w:vAlign w:val="bottom"/>
            <w:shd w:val="clear" w:color="auto" w:fill="E5E5E5"/>
          </w:tcPr>
          <w:p>
            <w:pPr>
              <w:spacing w:after="0"/>
              <w:rPr>
                <w:sz w:val="18"/>
                <w:szCs w:val="18"/>
                <w:color w:val="auto"/>
              </w:rPr>
            </w:pPr>
          </w:p>
        </w:tc>
        <w:tc>
          <w:tcPr>
            <w:tcW w:w="1600" w:type="dxa"/>
            <w:vAlign w:val="bottom"/>
            <w:shd w:val="clear" w:color="auto" w:fill="E5E5E5"/>
          </w:tcPr>
          <w:p>
            <w:pPr>
              <w:jc w:val="right"/>
              <w:ind w:right="317"/>
              <w:spacing w:after="0"/>
              <w:rPr>
                <w:sz w:val="20"/>
                <w:szCs w:val="20"/>
                <w:color w:val="auto"/>
              </w:rPr>
            </w:pPr>
            <w:r>
              <w:rPr>
                <w:rFonts w:ascii="Arial" w:cs="Arial" w:eastAsia="Arial" w:hAnsi="Arial"/>
                <w:sz w:val="18"/>
                <w:szCs w:val="18"/>
                <w:color w:val="auto"/>
              </w:rPr>
              <w:t>288</w:t>
            </w:r>
          </w:p>
        </w:tc>
        <w:tc>
          <w:tcPr>
            <w:tcW w:w="52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435"/>
              <w:spacing w:after="0"/>
              <w:rPr>
                <w:sz w:val="20"/>
                <w:szCs w:val="20"/>
                <w:color w:val="auto"/>
              </w:rPr>
            </w:pPr>
            <w:r>
              <w:rPr>
                <w:rFonts w:ascii="Arial" w:cs="Arial" w:eastAsia="Arial" w:hAnsi="Arial"/>
                <w:sz w:val="18"/>
                <w:szCs w:val="18"/>
                <w:color w:val="auto"/>
              </w:rPr>
              <w:t>5</w:t>
            </w:r>
          </w:p>
        </w:tc>
        <w:tc>
          <w:tcPr>
            <w:tcW w:w="3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15"/>
              <w:spacing w:after="0"/>
              <w:rPr>
                <w:sz w:val="20"/>
                <w:szCs w:val="20"/>
                <w:color w:val="auto"/>
              </w:rPr>
            </w:pPr>
            <w:r>
              <w:rPr>
                <w:rFonts w:ascii="Arial" w:cs="Arial" w:eastAsia="Arial" w:hAnsi="Arial"/>
                <w:sz w:val="18"/>
                <w:szCs w:val="18"/>
                <w:color w:val="auto"/>
              </w:rPr>
              <w:t>283</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Theme Parks</w:t>
            </w:r>
          </w:p>
        </w:tc>
        <w:tc>
          <w:tcPr>
            <w:tcW w:w="800" w:type="dxa"/>
            <w:vAlign w:val="bottom"/>
          </w:tcPr>
          <w:p>
            <w:pPr>
              <w:spacing w:after="0"/>
              <w:rPr>
                <w:sz w:val="18"/>
                <w:szCs w:val="18"/>
                <w:color w:val="auto"/>
              </w:rPr>
            </w:pPr>
          </w:p>
        </w:tc>
        <w:tc>
          <w:tcPr>
            <w:tcW w:w="860" w:type="dxa"/>
            <w:vAlign w:val="bottom"/>
          </w:tcPr>
          <w:p>
            <w:pPr>
              <w:jc w:val="right"/>
              <w:ind w:right="312"/>
              <w:spacing w:after="0"/>
              <w:rPr>
                <w:sz w:val="20"/>
                <w:szCs w:val="20"/>
                <w:color w:val="auto"/>
              </w:rPr>
            </w:pPr>
            <w:r>
              <w:rPr>
                <w:rFonts w:ascii="Arial" w:cs="Arial" w:eastAsia="Arial" w:hAnsi="Arial"/>
                <w:sz w:val="18"/>
                <w:szCs w:val="18"/>
                <w:color w:val="auto"/>
              </w:rPr>
              <w:t>487</w:t>
            </w:r>
          </w:p>
        </w:tc>
        <w:tc>
          <w:tcPr>
            <w:tcW w:w="500" w:type="dxa"/>
            <w:vAlign w:val="bottom"/>
          </w:tcPr>
          <w:p>
            <w:pPr>
              <w:spacing w:after="0"/>
              <w:rPr>
                <w:sz w:val="18"/>
                <w:szCs w:val="18"/>
                <w:color w:val="auto"/>
              </w:rPr>
            </w:pPr>
          </w:p>
        </w:tc>
        <w:tc>
          <w:tcPr>
            <w:tcW w:w="1600" w:type="dxa"/>
            <w:vAlign w:val="bottom"/>
          </w:tcPr>
          <w:p>
            <w:pPr>
              <w:jc w:val="right"/>
              <w:ind w:right="317"/>
              <w:spacing w:after="0"/>
              <w:rPr>
                <w:sz w:val="20"/>
                <w:szCs w:val="20"/>
                <w:color w:val="auto"/>
              </w:rPr>
            </w:pPr>
            <w:r>
              <w:rPr>
                <w:rFonts w:ascii="Arial" w:cs="Arial" w:eastAsia="Arial" w:hAnsi="Arial"/>
                <w:sz w:val="18"/>
                <w:szCs w:val="18"/>
                <w:color w:val="auto"/>
              </w:rPr>
              <w:t>170</w:t>
            </w:r>
          </w:p>
        </w:tc>
        <w:tc>
          <w:tcPr>
            <w:tcW w:w="520" w:type="dxa"/>
            <w:vAlign w:val="bottom"/>
          </w:tcPr>
          <w:p>
            <w:pPr>
              <w:spacing w:after="0"/>
              <w:rPr>
                <w:sz w:val="18"/>
                <w:szCs w:val="18"/>
                <w:color w:val="auto"/>
              </w:rPr>
            </w:pPr>
          </w:p>
        </w:tc>
        <w:tc>
          <w:tcPr>
            <w:tcW w:w="1080" w:type="dxa"/>
            <w:vAlign w:val="bottom"/>
          </w:tcPr>
          <w:p>
            <w:pPr>
              <w:jc w:val="right"/>
              <w:ind w:right="435"/>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18"/>
                <w:szCs w:val="18"/>
                <w:color w:val="auto"/>
              </w:rPr>
            </w:pPr>
          </w:p>
        </w:tc>
        <w:tc>
          <w:tcPr>
            <w:tcW w:w="860" w:type="dxa"/>
            <w:vAlign w:val="bottom"/>
          </w:tcPr>
          <w:p>
            <w:pPr>
              <w:jc w:val="right"/>
              <w:ind w:right="315"/>
              <w:spacing w:after="0"/>
              <w:rPr>
                <w:sz w:val="20"/>
                <w:szCs w:val="20"/>
                <w:color w:val="auto"/>
              </w:rPr>
            </w:pPr>
            <w:r>
              <w:rPr>
                <w:rFonts w:ascii="Arial" w:cs="Arial" w:eastAsia="Arial" w:hAnsi="Arial"/>
                <w:sz w:val="18"/>
                <w:szCs w:val="18"/>
                <w:color w:val="auto"/>
              </w:rPr>
              <w:t>101</w:t>
            </w:r>
          </w:p>
        </w:tc>
        <w:tc>
          <w:tcPr>
            <w:tcW w:w="48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3740" w:type="dxa"/>
            <w:vAlign w:val="bottom"/>
            <w:shd w:val="clear" w:color="auto" w:fill="E5E5E5"/>
          </w:tcPr>
          <w:p>
            <w:pPr>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(a)</w:t>
            </w:r>
          </w:p>
        </w:tc>
        <w:tc>
          <w:tcPr>
            <w:tcW w:w="8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12"/>
              <w:spacing w:after="0"/>
              <w:rPr>
                <w:sz w:val="20"/>
                <w:szCs w:val="20"/>
                <w:color w:val="auto"/>
              </w:rPr>
            </w:pPr>
            <w:r>
              <w:rPr>
                <w:rFonts w:ascii="Arial" w:cs="Arial" w:eastAsia="Arial" w:hAnsi="Arial"/>
                <w:sz w:val="18"/>
                <w:szCs w:val="18"/>
                <w:color w:val="auto"/>
              </w:rPr>
              <w:t>2</w:t>
            </w:r>
          </w:p>
        </w:tc>
        <w:tc>
          <w:tcPr>
            <w:tcW w:w="500" w:type="dxa"/>
            <w:vAlign w:val="bottom"/>
            <w:shd w:val="clear" w:color="auto" w:fill="E5E5E5"/>
          </w:tcPr>
          <w:p>
            <w:pPr>
              <w:spacing w:after="0"/>
              <w:rPr>
                <w:sz w:val="18"/>
                <w:szCs w:val="18"/>
                <w:color w:val="auto"/>
              </w:rPr>
            </w:pPr>
          </w:p>
        </w:tc>
        <w:tc>
          <w:tcPr>
            <w:tcW w:w="1600" w:type="dxa"/>
            <w:vAlign w:val="bottom"/>
            <w:shd w:val="clear" w:color="auto" w:fill="E5E5E5"/>
          </w:tcPr>
          <w:p>
            <w:pPr>
              <w:jc w:val="right"/>
              <w:ind w:right="257"/>
              <w:spacing w:after="0"/>
              <w:rPr>
                <w:sz w:val="20"/>
                <w:szCs w:val="20"/>
                <w:color w:val="auto"/>
              </w:rPr>
            </w:pPr>
            <w:r>
              <w:rPr>
                <w:rFonts w:ascii="Arial" w:cs="Arial" w:eastAsia="Arial" w:hAnsi="Arial"/>
                <w:sz w:val="18"/>
                <w:szCs w:val="18"/>
                <w:color w:val="auto"/>
              </w:rPr>
              <w:t>(163)</w:t>
            </w:r>
          </w:p>
        </w:tc>
        <w:tc>
          <w:tcPr>
            <w:tcW w:w="52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435"/>
              <w:spacing w:after="0"/>
              <w:rPr>
                <w:sz w:val="20"/>
                <w:szCs w:val="20"/>
                <w:color w:val="auto"/>
              </w:rPr>
            </w:pPr>
            <w:r>
              <w:rPr>
                <w:rFonts w:ascii="Arial" w:cs="Arial" w:eastAsia="Arial" w:hAnsi="Arial"/>
                <w:sz w:val="18"/>
                <w:szCs w:val="18"/>
                <w:color w:val="auto"/>
              </w:rPr>
              <w:t>75</w:t>
            </w:r>
          </w:p>
        </w:tc>
        <w:tc>
          <w:tcPr>
            <w:tcW w:w="3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(238)</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(b)</w:t>
            </w:r>
          </w:p>
        </w:tc>
        <w:tc>
          <w:tcPr>
            <w:tcW w:w="8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(90)</w:t>
            </w:r>
          </w:p>
        </w:tc>
        <w:tc>
          <w:tcPr>
            <w:tcW w:w="5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rPr>
              <w:t>(1)</w:t>
            </w: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(1)</w:t>
            </w: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7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tcBorders>
              <w:bottom w:val="single" w:sz="8" w:color="auto"/>
            </w:tcBorders>
            <w:shd w:val="clear" w:color="auto" w:fill="E5E5E5"/>
          </w:tcPr>
          <w:p>
            <w:pPr>
              <w:ind w:left="64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E5E5E5"/>
          </w:tcPr>
          <w:p>
            <w:pPr>
              <w:jc w:val="right"/>
              <w:ind w:right="312"/>
              <w:spacing w:after="0"/>
              <w:rPr>
                <w:sz w:val="20"/>
                <w:szCs w:val="20"/>
                <w:color w:val="auto"/>
              </w:rPr>
            </w:pPr>
            <w:r>
              <w:rPr>
                <w:rFonts w:ascii="Arial" w:cs="Arial" w:eastAsia="Arial" w:hAnsi="Arial"/>
                <w:sz w:val="18"/>
                <w:szCs w:val="18"/>
                <w:b w:val="1"/>
                <w:bCs w:val="1"/>
                <w:color w:val="auto"/>
                <w:w w:val="97"/>
              </w:rPr>
              <w:t>6,876</w:t>
            </w:r>
          </w:p>
        </w:tc>
        <w:tc>
          <w:tcPr>
            <w:tcW w:w="500" w:type="dxa"/>
            <w:vAlign w:val="bottom"/>
            <w:tcBorders>
              <w:bottom w:val="single" w:sz="8" w:color="auto"/>
            </w:tcBorders>
            <w:shd w:val="clear" w:color="auto" w:fill="E5E5E5"/>
          </w:tcPr>
          <w:p>
            <w:pPr>
              <w:ind w:left="340"/>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auto"/>
            </w:tcBorders>
            <w:shd w:val="clear" w:color="auto" w:fill="E5E5E5"/>
          </w:tcPr>
          <w:p>
            <w:pPr>
              <w:jc w:val="right"/>
              <w:ind w:right="317"/>
              <w:spacing w:after="0"/>
              <w:rPr>
                <w:sz w:val="20"/>
                <w:szCs w:val="20"/>
                <w:color w:val="auto"/>
              </w:rPr>
            </w:pPr>
            <w:r>
              <w:rPr>
                <w:rFonts w:ascii="Arial" w:cs="Arial" w:eastAsia="Arial" w:hAnsi="Arial"/>
                <w:sz w:val="18"/>
                <w:szCs w:val="18"/>
                <w:b w:val="1"/>
                <w:bCs w:val="1"/>
                <w:color w:val="auto"/>
              </w:rPr>
              <w:t>1,311</w:t>
            </w:r>
          </w:p>
        </w:tc>
        <w:tc>
          <w:tcPr>
            <w:tcW w:w="520" w:type="dxa"/>
            <w:vAlign w:val="bottom"/>
            <w:tcBorders>
              <w:bottom w:val="single" w:sz="8" w:color="auto"/>
            </w:tcBorders>
            <w:shd w:val="clear" w:color="auto" w:fill="E5E5E5"/>
          </w:tcPr>
          <w:p>
            <w:pPr>
              <w:ind w:left="34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E5E5E5"/>
          </w:tcPr>
          <w:p>
            <w:pPr>
              <w:jc w:val="right"/>
              <w:ind w:right="435"/>
              <w:spacing w:after="0"/>
              <w:rPr>
                <w:sz w:val="20"/>
                <w:szCs w:val="20"/>
                <w:color w:val="auto"/>
              </w:rPr>
            </w:pPr>
            <w:r>
              <w:rPr>
                <w:rFonts w:ascii="Arial" w:cs="Arial" w:eastAsia="Arial" w:hAnsi="Arial"/>
                <w:sz w:val="18"/>
                <w:szCs w:val="18"/>
                <w:b w:val="1"/>
                <w:bCs w:val="1"/>
                <w:color w:val="auto"/>
              </w:rPr>
              <w:t>365</w:t>
            </w:r>
          </w:p>
        </w:tc>
        <w:tc>
          <w:tcPr>
            <w:tcW w:w="30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shd w:val="clear" w:color="auto" w:fill="E5E5E5"/>
          </w:tcPr>
          <w:p>
            <w:pPr>
              <w:jc w:val="right"/>
              <w:ind w:right="315"/>
              <w:spacing w:after="0"/>
              <w:rPr>
                <w:sz w:val="20"/>
                <w:szCs w:val="20"/>
                <w:color w:val="auto"/>
              </w:rPr>
            </w:pPr>
            <w:r>
              <w:rPr>
                <w:rFonts w:ascii="Arial" w:cs="Arial" w:eastAsia="Arial" w:hAnsi="Arial"/>
                <w:sz w:val="18"/>
                <w:szCs w:val="18"/>
                <w:b w:val="1"/>
                <w:bCs w:val="1"/>
                <w:color w:val="auto"/>
              </w:rPr>
              <w:t>946</w:t>
            </w:r>
          </w:p>
        </w:tc>
        <w:tc>
          <w:tcPr>
            <w:tcW w:w="480" w:type="dxa"/>
            <w:vAlign w:val="bottom"/>
            <w:tcBorders>
              <w:bottom w:val="single" w:sz="8" w:color="auto"/>
            </w:tcBorders>
            <w:shd w:val="clear" w:color="auto" w:fill="E5E5E5"/>
          </w:tcPr>
          <w:p>
            <w:pPr>
              <w:ind w:left="34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291</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Headquarters and Other activities include costs associated with overhead, personnel costs and headquarter initiatives.</w:t>
      </w:r>
    </w:p>
    <w:p>
      <w:pPr>
        <w:spacing w:after="0" w:line="55"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which consist primarily of the licensing of film and television content from our Filmed Entertainment and Broadcast Television segments to our Cable Networks segment.</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No single customer accounted for a significant amount of revenue in any period.</w:t>
      </w:r>
    </w:p>
    <w:p>
      <w:pPr>
        <w:spacing w:after="0" w:line="55" w:lineRule="exact"/>
        <w:rPr>
          <w:rFonts w:ascii="Arial" w:cs="Arial" w:eastAsia="Arial" w:hAnsi="Arial"/>
          <w:sz w:val="14"/>
          <w:szCs w:val="14"/>
          <w:color w:val="auto"/>
        </w:rPr>
      </w:pPr>
    </w:p>
    <w:p>
      <w:pPr>
        <w:jc w:val="both"/>
        <w:ind w:left="340" w:hanging="332"/>
        <w:spacing w:after="0" w:line="268" w:lineRule="auto"/>
        <w:tabs>
          <w:tab w:leader="none" w:pos="3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We use operating income (loss) before depreciation and amortization, excluding impairment charges related to fixed and intangible assets and gains or losses on the sale of assets, if any, as the measure of profit or loss for our operating segments. This measure eliminates the significant level of noncash amortization expense that results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This measure should not be considered a substitute for operating income (loss), net income (loss) attributable to NBCUniversal, net cash provided by operating activities, or other measures of performance or liquidity we have reported in accordance with GAAP.</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44"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May 4, 2015</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25"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Michael J. Angelakis, certify that:</w:t>
      </w:r>
    </w:p>
    <w:p>
      <w:pPr>
        <w:spacing w:after="0" w:line="77"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May 4, 2015</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28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7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NBCUniversal Media, LLC;</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Date: May 4, 2015</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Principal Executive Officer</w:t>
      </w:r>
    </w:p>
    <w:p>
      <w:pPr>
        <w:sectPr>
          <w:pgSz w:w="11900" w:h="16838" w:orient="portrait"/>
          <w:cols w:equalWidth="0" w:num="1">
            <w:col w:w="11420"/>
          </w:cols>
          <w:pgMar w:left="240" w:top="125" w:right="239" w:bottom="1440" w:gutter="0" w:footer="0" w:header="0"/>
        </w:sectPr>
      </w:pPr>
    </w:p>
    <w:bookmarkStart w:id="55" w:name="page56"/>
    <w:bookmarkEnd w:id="55"/>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Michael J. Angelakis, certify that:</w:t>
      </w:r>
    </w:p>
    <w:p>
      <w:pPr>
        <w:spacing w:after="0" w:line="77"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NBCUniversal Media, LLC;</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Date: May 4, 2015</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Principal Financial Officer</w:t>
      </w:r>
    </w:p>
    <w:p>
      <w:pPr>
        <w:sectPr>
          <w:pgSz w:w="11900" w:h="16838" w:orient="portrait"/>
          <w:cols w:equalWidth="0" w:num="1">
            <w:col w:w="11420"/>
          </w:cols>
          <w:pgMar w:left="240" w:top="28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36" w:lineRule="exact"/>
        <w:rPr>
          <w:sz w:val="20"/>
          <w:szCs w:val="20"/>
          <w:color w:val="auto"/>
        </w:rPr>
      </w:pPr>
    </w:p>
    <w:p>
      <w:pPr>
        <w:ind w:left="10520"/>
        <w:spacing w:after="0"/>
        <w:rPr>
          <w:sz w:val="20"/>
          <w:szCs w:val="20"/>
          <w:color w:val="auto"/>
        </w:rPr>
      </w:pPr>
      <w:r>
        <w:rPr>
          <w:rFonts w:ascii="Arial" w:cs="Arial" w:eastAsia="Arial" w:hAnsi="Arial"/>
          <w:sz w:val="16"/>
          <w:szCs w:val="16"/>
          <w:color w:val="auto"/>
        </w:rPr>
        <w:t>May 4, 2015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Brian L. Roberts, the Chief Executive Officer, and Michael J. Angelakis, the Chief Financial Officer, of Comcast Corporation, each certifies that, to the best of his knowledge:</w:t>
      </w:r>
    </w:p>
    <w:p>
      <w:pPr>
        <w:spacing w:after="0" w:line="37"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Comcast Corporation.</w:t>
      </w:r>
    </w:p>
    <w:p>
      <w:pPr>
        <w:spacing w:after="0" w:line="3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Executive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125"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36" w:lineRule="exact"/>
        <w:rPr>
          <w:sz w:val="20"/>
          <w:szCs w:val="20"/>
          <w:color w:val="auto"/>
        </w:rPr>
      </w:pPr>
    </w:p>
    <w:p>
      <w:pPr>
        <w:ind w:left="10520"/>
        <w:spacing w:after="0"/>
        <w:rPr>
          <w:sz w:val="20"/>
          <w:szCs w:val="20"/>
          <w:color w:val="auto"/>
        </w:rPr>
      </w:pPr>
      <w:r>
        <w:rPr>
          <w:rFonts w:ascii="Arial" w:cs="Arial" w:eastAsia="Arial" w:hAnsi="Arial"/>
          <w:sz w:val="16"/>
          <w:szCs w:val="16"/>
          <w:color w:val="auto"/>
        </w:rPr>
        <w:t>May 4, 2015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NBCUniversal Media, LLC (the “Report”) for the purpose of complying with Rule 13a-14(b) or Rule 15d-14(b) of the Securities Exchange Act of 1934 (the “Exchange Act”) and Section 1350 of Chapter 63 of Title 18 of the United States Code.</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Brian L. Roberts, the Principal Executive Officer, and Michael J. Angelakis, the Principal Financial Officer, of NBCUniversal Media, LLC, each certifies that, to the best of his knowledge:</w:t>
      </w:r>
    </w:p>
    <w:p>
      <w:pPr>
        <w:spacing w:after="0" w:line="105"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NBCUniversal Media, LLC.</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Principal Executive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lowerLetter"/>
      <w:start w:val="1"/>
    </w:lvl>
  </w:abstractNum>
  <w:abstractNum w:abstractNumId="6">
    <w:nsid w:val="3352255A"/>
    <w:multiLevelType w:val="hybridMultilevel"/>
    <w:lvl w:ilvl="0">
      <w:lvlJc w:val="left"/>
      <w:lvlText w:val="(%1)"/>
      <w:numFmt w:val="lowerLetter"/>
      <w:start w:val="2"/>
    </w:lvl>
    <w:lvl w:ilvl="1">
      <w:lvlJc w:val="left"/>
      <w:lvlText w:val="•"/>
      <w:numFmt w:val="bullet"/>
      <w:start w:val="1"/>
    </w:lvl>
  </w:abstractNum>
  <w:abstractNum w:abstractNumId="7">
    <w:nsid w:val="109CF92E"/>
    <w:multiLevelType w:val="hybridMultilevel"/>
    <w:lvl w:ilvl="0">
      <w:lvlJc w:val="left"/>
      <w:lvlText w:val="(%1)"/>
      <w:numFmt w:val="lowerLetter"/>
      <w:start w:val="1"/>
    </w:lvl>
  </w:abstractNum>
  <w:abstractNum w:abstractNumId="8">
    <w:nsid w:val="DED7263"/>
    <w:multiLevelType w:val="hybridMultilevel"/>
    <w:lvl w:ilvl="0">
      <w:lvlJc w:val="left"/>
      <w:lvlText w:val="%1"/>
      <w:numFmt w:val="decimal"/>
      <w:start w:val="101"/>
    </w:lvl>
  </w:abstractNum>
  <w:abstractNum w:abstractNumId="9">
    <w:nsid w:val="7FDCC233"/>
    <w:multiLevelType w:val="hybridMultilevel"/>
    <w:lvl w:ilvl="0">
      <w:lvlJc w:val="left"/>
      <w:lvlText w:val="%1"/>
      <w:numFmt w:val="decimal"/>
      <w:start w:val="10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decimal"/>
      <w:start w:val="1"/>
    </w:lvl>
    <w:lvl w:ilvl="1">
      <w:lvlJc w:val="left"/>
      <w:lvlText w:val="%2)"/>
      <w:numFmt w:val="lowerLetter"/>
      <w:start w:val="1"/>
    </w:lvl>
  </w:abstractNum>
  <w:abstractNum w:abstractNumId="14">
    <w:nsid w:val="25E45D32"/>
    <w:multiLevelType w:val="hybridMultilevel"/>
    <w:lvl w:ilvl="0">
      <w:lvlJc w:val="left"/>
      <w:lvlText w:val="%1."/>
      <w:numFmt w:val="decimal"/>
      <w:start w:val="1"/>
    </w:lvl>
    <w:lvl w:ilvl="1">
      <w:lvlJc w:val="left"/>
      <w:lvlText w:val="%2)"/>
      <w:numFmt w:val="lowerLetter"/>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2019-12-29T17:48:29Z</dcterms:created>
  <dcterms:modified xsi:type="dcterms:W3CDTF">2019-12-29T17:48:29Z</dcterms:modified>
</cp:coreProperties>
</file>