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213995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620" w:type="dxa"/>
        <w:tblCellMar>
          <w:top w:w="0" w:type="dxa"/>
          <w:left w:w="0" w:type="dxa"/>
          <w:bottom w:w="0" w:type="dxa"/>
          <w:right w:w="0" w:type="dxa"/>
        </w:tblCellMar>
      </w:tblPr>
      <w:tr>
        <w:trPr>
          <w:trHeight w:val="421"/>
        </w:trPr>
        <w:tc>
          <w:tcPr>
            <w:tcW w:w="2720" w:type="dxa"/>
            <w:vAlign w:val="bottom"/>
          </w:tcPr>
          <w:p>
            <w:pPr>
              <w:spacing w:after="0"/>
              <w:rPr>
                <w:sz w:val="24"/>
                <w:szCs w:val="24"/>
                <w:color w:val="auto"/>
              </w:rPr>
            </w:pPr>
          </w:p>
        </w:tc>
        <w:tc>
          <w:tcPr>
            <w:tcW w:w="7520" w:type="dxa"/>
            <w:vAlign w:val="bottom"/>
          </w:tcPr>
          <w:p>
            <w:pPr>
              <w:jc w:val="center"/>
              <w:ind w:right="2654"/>
              <w:spacing w:after="0"/>
              <w:rPr>
                <w:sz w:val="20"/>
                <w:szCs w:val="20"/>
                <w:color w:val="auto"/>
              </w:rPr>
            </w:pPr>
            <w:r>
              <w:rPr>
                <w:rFonts w:ascii="Arial" w:cs="Arial" w:eastAsia="Arial" w:hAnsi="Arial"/>
                <w:sz w:val="32"/>
                <w:szCs w:val="32"/>
                <w:b w:val="1"/>
                <w:bCs w:val="1"/>
                <w:color w:val="auto"/>
              </w:rPr>
              <w:t>FORM 8-K</w:t>
            </w:r>
          </w:p>
        </w:tc>
      </w:tr>
      <w:tr>
        <w:trPr>
          <w:trHeight w:val="601"/>
        </w:trPr>
        <w:tc>
          <w:tcPr>
            <w:tcW w:w="2720" w:type="dxa"/>
            <w:vAlign w:val="bottom"/>
          </w:tcPr>
          <w:p>
            <w:pPr>
              <w:spacing w:after="0"/>
              <w:rPr>
                <w:sz w:val="24"/>
                <w:szCs w:val="24"/>
                <w:color w:val="auto"/>
              </w:rPr>
            </w:pPr>
          </w:p>
        </w:tc>
        <w:tc>
          <w:tcPr>
            <w:tcW w:w="7520" w:type="dxa"/>
            <w:vAlign w:val="bottom"/>
          </w:tcPr>
          <w:p>
            <w:pPr>
              <w:jc w:val="center"/>
              <w:ind w:right="2654"/>
              <w:spacing w:after="0"/>
              <w:rPr>
                <w:sz w:val="20"/>
                <w:szCs w:val="20"/>
                <w:color w:val="auto"/>
              </w:rPr>
            </w:pPr>
            <w:r>
              <w:rPr>
                <w:rFonts w:ascii="Arial" w:cs="Arial" w:eastAsia="Arial" w:hAnsi="Arial"/>
                <w:sz w:val="29"/>
                <w:szCs w:val="29"/>
                <w:b w:val="1"/>
                <w:bCs w:val="1"/>
                <w:color w:val="auto"/>
                <w:w w:val="99"/>
              </w:rPr>
              <w:t>CURRENT REPORT</w:t>
            </w:r>
          </w:p>
        </w:tc>
      </w:tr>
      <w:tr>
        <w:trPr>
          <w:trHeight w:val="351"/>
        </w:trPr>
        <w:tc>
          <w:tcPr>
            <w:tcW w:w="2720" w:type="dxa"/>
            <w:vAlign w:val="bottom"/>
          </w:tcPr>
          <w:p>
            <w:pPr>
              <w:spacing w:after="0"/>
              <w:rPr>
                <w:sz w:val="24"/>
                <w:szCs w:val="24"/>
                <w:color w:val="auto"/>
              </w:rPr>
            </w:pPr>
          </w:p>
        </w:tc>
        <w:tc>
          <w:tcPr>
            <w:tcW w:w="7520" w:type="dxa"/>
            <w:vAlign w:val="bottom"/>
          </w:tcPr>
          <w:p>
            <w:pPr>
              <w:jc w:val="center"/>
              <w:ind w:right="2654"/>
              <w:spacing w:after="0"/>
              <w:rPr>
                <w:sz w:val="20"/>
                <w:szCs w:val="20"/>
                <w:color w:val="auto"/>
              </w:rPr>
            </w:pPr>
            <w:r>
              <w:rPr>
                <w:rFonts w:ascii="Arial" w:cs="Arial" w:eastAsia="Arial" w:hAnsi="Arial"/>
                <w:sz w:val="29"/>
                <w:szCs w:val="29"/>
                <w:b w:val="1"/>
                <w:bCs w:val="1"/>
                <w:color w:val="auto"/>
                <w:w w:val="89"/>
              </w:rPr>
              <w:t>Pursuant to Section 13 or 15(d) of the</w:t>
            </w:r>
          </w:p>
        </w:tc>
      </w:tr>
      <w:tr>
        <w:trPr>
          <w:trHeight w:val="375"/>
        </w:trPr>
        <w:tc>
          <w:tcPr>
            <w:tcW w:w="2720" w:type="dxa"/>
            <w:vAlign w:val="bottom"/>
          </w:tcPr>
          <w:p>
            <w:pPr>
              <w:spacing w:after="0"/>
              <w:rPr>
                <w:sz w:val="24"/>
                <w:szCs w:val="24"/>
                <w:color w:val="auto"/>
              </w:rPr>
            </w:pPr>
          </w:p>
        </w:tc>
        <w:tc>
          <w:tcPr>
            <w:tcW w:w="7520" w:type="dxa"/>
            <w:vAlign w:val="bottom"/>
          </w:tcPr>
          <w:p>
            <w:pPr>
              <w:jc w:val="center"/>
              <w:ind w:right="2674"/>
              <w:spacing w:after="0"/>
              <w:rPr>
                <w:sz w:val="20"/>
                <w:szCs w:val="20"/>
                <w:color w:val="auto"/>
              </w:rPr>
            </w:pPr>
            <w:r>
              <w:rPr>
                <w:rFonts w:ascii="Arial" w:cs="Arial" w:eastAsia="Arial" w:hAnsi="Arial"/>
                <w:sz w:val="29"/>
                <w:szCs w:val="29"/>
                <w:b w:val="1"/>
                <w:bCs w:val="1"/>
                <w:color w:val="auto"/>
                <w:w w:val="88"/>
              </w:rPr>
              <w:t>Securities Exchange Act of 1934</w:t>
            </w:r>
          </w:p>
        </w:tc>
      </w:tr>
      <w:tr>
        <w:trPr>
          <w:trHeight w:val="481"/>
        </w:trPr>
        <w:tc>
          <w:tcPr>
            <w:tcW w:w="2720" w:type="dxa"/>
            <w:vAlign w:val="bottom"/>
          </w:tcPr>
          <w:p>
            <w:pPr>
              <w:spacing w:after="0"/>
              <w:rPr>
                <w:sz w:val="24"/>
                <w:szCs w:val="24"/>
                <w:color w:val="auto"/>
              </w:rPr>
            </w:pPr>
          </w:p>
        </w:tc>
        <w:tc>
          <w:tcPr>
            <w:tcW w:w="7520" w:type="dxa"/>
            <w:vAlign w:val="bottom"/>
          </w:tcPr>
          <w:p>
            <w:pPr>
              <w:jc w:val="center"/>
              <w:ind w:right="2674"/>
              <w:spacing w:after="0"/>
              <w:rPr>
                <w:sz w:val="20"/>
                <w:szCs w:val="20"/>
                <w:color w:val="auto"/>
              </w:rPr>
            </w:pPr>
            <w:r>
              <w:rPr>
                <w:rFonts w:ascii="Arial" w:cs="Arial" w:eastAsia="Arial" w:hAnsi="Arial"/>
                <w:sz w:val="18"/>
                <w:szCs w:val="18"/>
                <w:color w:val="auto"/>
                <w:w w:val="92"/>
              </w:rPr>
              <w:t>Date of report (Date of earliest event reported): April 24, 2015</w:t>
            </w:r>
          </w:p>
        </w:tc>
      </w:tr>
      <w:tr>
        <w:trPr>
          <w:trHeight w:val="557"/>
        </w:trPr>
        <w:tc>
          <w:tcPr>
            <w:tcW w:w="2720" w:type="dxa"/>
            <w:vAlign w:val="bottom"/>
          </w:tcPr>
          <w:p>
            <w:pPr>
              <w:spacing w:after="0"/>
              <w:rPr>
                <w:sz w:val="24"/>
                <w:szCs w:val="24"/>
                <w:color w:val="auto"/>
              </w:rPr>
            </w:pPr>
          </w:p>
        </w:tc>
        <w:tc>
          <w:tcPr>
            <w:tcW w:w="7520" w:type="dxa"/>
            <w:vAlign w:val="bottom"/>
          </w:tcPr>
          <w:p>
            <w:pPr>
              <w:jc w:val="center"/>
              <w:ind w:right="2654"/>
              <w:spacing w:after="0"/>
              <w:rPr>
                <w:sz w:val="20"/>
                <w:szCs w:val="20"/>
                <w:color w:val="auto"/>
              </w:rPr>
            </w:pPr>
            <w:r>
              <w:rPr>
                <w:rFonts w:ascii="Arial" w:cs="Arial" w:eastAsia="Arial" w:hAnsi="Arial"/>
                <w:sz w:val="29"/>
                <w:szCs w:val="29"/>
                <w:b w:val="1"/>
                <w:bCs w:val="1"/>
                <w:color w:val="auto"/>
                <w:w w:val="90"/>
              </w:rPr>
              <w:t>Comcast Corporation</w:t>
            </w:r>
          </w:p>
        </w:tc>
      </w:tr>
      <w:tr>
        <w:trPr>
          <w:trHeight w:val="203"/>
        </w:trPr>
        <w:tc>
          <w:tcPr>
            <w:tcW w:w="2720" w:type="dxa"/>
            <w:vAlign w:val="bottom"/>
          </w:tcPr>
          <w:p>
            <w:pPr>
              <w:spacing w:after="0"/>
              <w:rPr>
                <w:sz w:val="17"/>
                <w:szCs w:val="17"/>
                <w:color w:val="auto"/>
              </w:rPr>
            </w:pPr>
          </w:p>
        </w:tc>
        <w:tc>
          <w:tcPr>
            <w:tcW w:w="7520" w:type="dxa"/>
            <w:vAlign w:val="bottom"/>
          </w:tcPr>
          <w:p>
            <w:pPr>
              <w:jc w:val="center"/>
              <w:ind w:right="2674"/>
              <w:spacing w:after="0"/>
              <w:rPr>
                <w:sz w:val="20"/>
                <w:szCs w:val="20"/>
                <w:color w:val="auto"/>
              </w:rPr>
            </w:pPr>
            <w:r>
              <w:rPr>
                <w:rFonts w:ascii="Arial" w:cs="Arial" w:eastAsia="Arial" w:hAnsi="Arial"/>
                <w:sz w:val="16"/>
                <w:szCs w:val="16"/>
                <w:color w:val="auto"/>
                <w:w w:val="92"/>
              </w:rPr>
              <w:t>(Exact Name of Registrant</w:t>
            </w:r>
          </w:p>
        </w:tc>
      </w:tr>
      <w:tr>
        <w:trPr>
          <w:trHeight w:val="206"/>
        </w:trPr>
        <w:tc>
          <w:tcPr>
            <w:tcW w:w="2720" w:type="dxa"/>
            <w:vAlign w:val="bottom"/>
          </w:tcPr>
          <w:p>
            <w:pPr>
              <w:spacing w:after="0"/>
              <w:rPr>
                <w:sz w:val="17"/>
                <w:szCs w:val="17"/>
                <w:color w:val="auto"/>
              </w:rPr>
            </w:pPr>
          </w:p>
        </w:tc>
        <w:tc>
          <w:tcPr>
            <w:tcW w:w="7520" w:type="dxa"/>
            <w:vAlign w:val="bottom"/>
          </w:tcPr>
          <w:p>
            <w:pPr>
              <w:jc w:val="center"/>
              <w:ind w:right="2674"/>
              <w:spacing w:after="0"/>
              <w:rPr>
                <w:sz w:val="20"/>
                <w:szCs w:val="20"/>
                <w:color w:val="auto"/>
              </w:rPr>
            </w:pPr>
            <w:r>
              <w:rPr>
                <w:rFonts w:ascii="Arial" w:cs="Arial" w:eastAsia="Arial" w:hAnsi="Arial"/>
                <w:sz w:val="16"/>
                <w:szCs w:val="16"/>
                <w:color w:val="auto"/>
                <w:w w:val="92"/>
              </w:rPr>
              <w:t>as Specified in Charter)</w:t>
            </w:r>
          </w:p>
        </w:tc>
      </w:tr>
      <w:tr>
        <w:trPr>
          <w:trHeight w:val="428"/>
        </w:trPr>
        <w:tc>
          <w:tcPr>
            <w:tcW w:w="2720" w:type="dxa"/>
            <w:vAlign w:val="bottom"/>
          </w:tcPr>
          <w:p>
            <w:pPr>
              <w:spacing w:after="0"/>
              <w:rPr>
                <w:sz w:val="24"/>
                <w:szCs w:val="24"/>
                <w:color w:val="auto"/>
              </w:rPr>
            </w:pPr>
          </w:p>
        </w:tc>
        <w:tc>
          <w:tcPr>
            <w:tcW w:w="7520" w:type="dxa"/>
            <w:vAlign w:val="bottom"/>
          </w:tcPr>
          <w:p>
            <w:pPr>
              <w:jc w:val="center"/>
              <w:ind w:right="2194"/>
              <w:spacing w:after="0"/>
              <w:rPr>
                <w:sz w:val="20"/>
                <w:szCs w:val="20"/>
                <w:color w:val="auto"/>
              </w:rPr>
            </w:pPr>
            <w:r>
              <w:rPr>
                <w:rFonts w:ascii="Arial" w:cs="Arial" w:eastAsia="Arial" w:hAnsi="Arial"/>
                <w:sz w:val="18"/>
                <w:szCs w:val="18"/>
                <w:b w:val="1"/>
                <w:bCs w:val="1"/>
                <w:color w:val="auto"/>
                <w:w w:val="88"/>
              </w:rPr>
              <w:t>Pennsylvania</w:t>
            </w:r>
          </w:p>
        </w:tc>
      </w:tr>
      <w:tr>
        <w:trPr>
          <w:trHeight w:val="206"/>
        </w:trPr>
        <w:tc>
          <w:tcPr>
            <w:tcW w:w="2720" w:type="dxa"/>
            <w:vAlign w:val="bottom"/>
          </w:tcPr>
          <w:p>
            <w:pPr>
              <w:spacing w:after="0"/>
              <w:rPr>
                <w:sz w:val="17"/>
                <w:szCs w:val="17"/>
                <w:color w:val="auto"/>
              </w:rPr>
            </w:pPr>
          </w:p>
        </w:tc>
        <w:tc>
          <w:tcPr>
            <w:tcW w:w="7520" w:type="dxa"/>
            <w:vAlign w:val="bottom"/>
          </w:tcPr>
          <w:p>
            <w:pPr>
              <w:jc w:val="center"/>
              <w:ind w:right="2174"/>
              <w:spacing w:after="0"/>
              <w:rPr>
                <w:sz w:val="20"/>
                <w:szCs w:val="20"/>
                <w:color w:val="auto"/>
              </w:rPr>
            </w:pPr>
            <w:r>
              <w:rPr>
                <w:rFonts w:ascii="Arial" w:cs="Arial" w:eastAsia="Arial" w:hAnsi="Arial"/>
                <w:sz w:val="16"/>
                <w:szCs w:val="16"/>
                <w:color w:val="auto"/>
                <w:w w:val="93"/>
              </w:rPr>
              <w:t>(State or Other Jurisdiction of Incorporation)</w:t>
            </w:r>
          </w:p>
        </w:tc>
      </w:tr>
      <w:tr>
        <w:trPr>
          <w:trHeight w:val="442"/>
        </w:trPr>
        <w:tc>
          <w:tcPr>
            <w:tcW w:w="2720" w:type="dxa"/>
            <w:vAlign w:val="bottom"/>
          </w:tcPr>
          <w:p>
            <w:pPr>
              <w:jc w:val="center"/>
              <w:ind w:right="14"/>
              <w:spacing w:after="0"/>
              <w:rPr>
                <w:sz w:val="20"/>
                <w:szCs w:val="20"/>
                <w:color w:val="auto"/>
              </w:rPr>
            </w:pPr>
            <w:r>
              <w:rPr>
                <w:rFonts w:ascii="Arial" w:cs="Arial" w:eastAsia="Arial" w:hAnsi="Arial"/>
                <w:sz w:val="18"/>
                <w:szCs w:val="18"/>
                <w:b w:val="1"/>
                <w:bCs w:val="1"/>
                <w:color w:val="auto"/>
                <w:w w:val="90"/>
              </w:rPr>
              <w:t>001-32871</w:t>
            </w:r>
          </w:p>
        </w:tc>
        <w:tc>
          <w:tcPr>
            <w:tcW w:w="7520" w:type="dxa"/>
            <w:vAlign w:val="bottom"/>
          </w:tcPr>
          <w:p>
            <w:pPr>
              <w:jc w:val="center"/>
              <w:ind w:left="5174"/>
              <w:spacing w:after="0"/>
              <w:rPr>
                <w:sz w:val="20"/>
                <w:szCs w:val="20"/>
                <w:color w:val="auto"/>
              </w:rPr>
            </w:pPr>
            <w:r>
              <w:rPr>
                <w:rFonts w:ascii="Arial" w:cs="Arial" w:eastAsia="Arial" w:hAnsi="Arial"/>
                <w:sz w:val="18"/>
                <w:szCs w:val="18"/>
                <w:b w:val="1"/>
                <w:bCs w:val="1"/>
                <w:color w:val="auto"/>
                <w:w w:val="91"/>
              </w:rPr>
              <w:t>27-0000798</w:t>
            </w:r>
          </w:p>
        </w:tc>
      </w:tr>
      <w:tr>
        <w:trPr>
          <w:trHeight w:val="206"/>
        </w:trPr>
        <w:tc>
          <w:tcPr>
            <w:tcW w:w="2720" w:type="dxa"/>
            <w:vAlign w:val="bottom"/>
          </w:tcPr>
          <w:p>
            <w:pPr>
              <w:jc w:val="center"/>
              <w:ind w:right="14"/>
              <w:spacing w:after="0"/>
              <w:rPr>
                <w:sz w:val="20"/>
                <w:szCs w:val="20"/>
                <w:color w:val="auto"/>
              </w:rPr>
            </w:pPr>
            <w:r>
              <w:rPr>
                <w:rFonts w:ascii="Arial" w:cs="Arial" w:eastAsia="Arial" w:hAnsi="Arial"/>
                <w:sz w:val="16"/>
                <w:szCs w:val="16"/>
                <w:color w:val="auto"/>
                <w:w w:val="93"/>
              </w:rPr>
              <w:t>(Commission File Number)</w:t>
            </w:r>
          </w:p>
        </w:tc>
        <w:tc>
          <w:tcPr>
            <w:tcW w:w="7520" w:type="dxa"/>
            <w:vAlign w:val="bottom"/>
          </w:tcPr>
          <w:p>
            <w:pPr>
              <w:jc w:val="center"/>
              <w:ind w:left="5174"/>
              <w:spacing w:after="0"/>
              <w:rPr>
                <w:sz w:val="20"/>
                <w:szCs w:val="20"/>
                <w:color w:val="auto"/>
              </w:rPr>
            </w:pPr>
            <w:r>
              <w:rPr>
                <w:rFonts w:ascii="Arial" w:cs="Arial" w:eastAsia="Arial" w:hAnsi="Arial"/>
                <w:sz w:val="16"/>
                <w:szCs w:val="16"/>
                <w:color w:val="auto"/>
                <w:w w:val="96"/>
              </w:rPr>
              <w:t>(IRS Employer Identification No.)</w:t>
            </w:r>
          </w:p>
        </w:tc>
      </w:tr>
      <w:tr>
        <w:trPr>
          <w:trHeight w:val="433"/>
        </w:trPr>
        <w:tc>
          <w:tcPr>
            <w:tcW w:w="2720" w:type="dxa"/>
            <w:vAlign w:val="bottom"/>
          </w:tcPr>
          <w:p>
            <w:pPr>
              <w:jc w:val="center"/>
              <w:ind w:right="14"/>
              <w:spacing w:after="0"/>
              <w:rPr>
                <w:sz w:val="20"/>
                <w:szCs w:val="20"/>
                <w:color w:val="auto"/>
              </w:rPr>
            </w:pPr>
            <w:r>
              <w:rPr>
                <w:rFonts w:ascii="Arial" w:cs="Arial" w:eastAsia="Arial" w:hAnsi="Arial"/>
                <w:sz w:val="18"/>
                <w:szCs w:val="18"/>
                <w:b w:val="1"/>
                <w:bCs w:val="1"/>
                <w:color w:val="auto"/>
                <w:w w:val="90"/>
              </w:rPr>
              <w:t>One Comcast Center</w:t>
            </w:r>
          </w:p>
        </w:tc>
        <w:tc>
          <w:tcPr>
            <w:tcW w:w="7520" w:type="dxa"/>
            <w:vAlign w:val="bottom"/>
          </w:tcPr>
          <w:p>
            <w:pPr>
              <w:spacing w:after="0"/>
              <w:rPr>
                <w:sz w:val="24"/>
                <w:szCs w:val="24"/>
                <w:color w:val="auto"/>
              </w:rPr>
            </w:pPr>
          </w:p>
        </w:tc>
      </w:tr>
      <w:tr>
        <w:trPr>
          <w:trHeight w:val="225"/>
        </w:trPr>
        <w:tc>
          <w:tcPr>
            <w:tcW w:w="2720" w:type="dxa"/>
            <w:vAlign w:val="bottom"/>
          </w:tcPr>
          <w:p>
            <w:pPr>
              <w:jc w:val="center"/>
              <w:ind w:right="14"/>
              <w:spacing w:after="0"/>
              <w:rPr>
                <w:sz w:val="20"/>
                <w:szCs w:val="20"/>
                <w:color w:val="auto"/>
              </w:rPr>
            </w:pPr>
            <w:r>
              <w:rPr>
                <w:rFonts w:ascii="Arial" w:cs="Arial" w:eastAsia="Arial" w:hAnsi="Arial"/>
                <w:sz w:val="18"/>
                <w:szCs w:val="18"/>
                <w:b w:val="1"/>
                <w:bCs w:val="1"/>
                <w:color w:val="auto"/>
                <w:w w:val="92"/>
              </w:rPr>
              <w:t>Philadelphia, PA</w:t>
            </w:r>
          </w:p>
        </w:tc>
        <w:tc>
          <w:tcPr>
            <w:tcW w:w="7520" w:type="dxa"/>
            <w:vAlign w:val="bottom"/>
          </w:tcPr>
          <w:p>
            <w:pPr>
              <w:jc w:val="center"/>
              <w:ind w:left="5174"/>
              <w:spacing w:after="0"/>
              <w:rPr>
                <w:sz w:val="20"/>
                <w:szCs w:val="20"/>
                <w:color w:val="auto"/>
              </w:rPr>
            </w:pPr>
            <w:r>
              <w:rPr>
                <w:rFonts w:ascii="Arial" w:cs="Arial" w:eastAsia="Arial" w:hAnsi="Arial"/>
                <w:sz w:val="18"/>
                <w:szCs w:val="18"/>
                <w:b w:val="1"/>
                <w:bCs w:val="1"/>
                <w:color w:val="auto"/>
                <w:w w:val="91"/>
              </w:rPr>
              <w:t>19103-2838</w:t>
            </w:r>
          </w:p>
        </w:tc>
      </w:tr>
      <w:tr>
        <w:trPr>
          <w:trHeight w:val="206"/>
        </w:trPr>
        <w:tc>
          <w:tcPr>
            <w:tcW w:w="272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7520" w:type="dxa"/>
            <w:vAlign w:val="bottom"/>
          </w:tcPr>
          <w:p>
            <w:pPr>
              <w:jc w:val="center"/>
              <w:ind w:left="5174"/>
              <w:spacing w:after="0"/>
              <w:rPr>
                <w:sz w:val="20"/>
                <w:szCs w:val="20"/>
                <w:color w:val="auto"/>
              </w:rPr>
            </w:pPr>
            <w:r>
              <w:rPr>
                <w:rFonts w:ascii="Arial" w:cs="Arial" w:eastAsia="Arial" w:hAnsi="Arial"/>
                <w:sz w:val="16"/>
                <w:szCs w:val="16"/>
                <w:color w:val="auto"/>
                <w:w w:val="95"/>
              </w:rPr>
              <w:t>(Zip Code)</w:t>
            </w:r>
          </w:p>
        </w:tc>
      </w:tr>
      <w:tr>
        <w:trPr>
          <w:trHeight w:val="668"/>
        </w:trPr>
        <w:tc>
          <w:tcPr>
            <w:tcW w:w="2720" w:type="dxa"/>
            <w:vAlign w:val="bottom"/>
          </w:tcPr>
          <w:p>
            <w:pPr>
              <w:spacing w:after="0"/>
              <w:rPr>
                <w:sz w:val="24"/>
                <w:szCs w:val="24"/>
                <w:color w:val="auto"/>
              </w:rPr>
            </w:pPr>
          </w:p>
        </w:tc>
        <w:tc>
          <w:tcPr>
            <w:tcW w:w="7520" w:type="dxa"/>
            <w:vAlign w:val="bottom"/>
          </w:tcPr>
          <w:p>
            <w:pPr>
              <w:jc w:val="center"/>
              <w:ind w:right="2674"/>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8"/>
                <w:szCs w:val="18"/>
                <w:b w:val="1"/>
                <w:bCs w:val="1"/>
                <w:color w:val="auto"/>
                <w:w w:val="91"/>
              </w:rPr>
              <w:t>(215) 286-1700</w:t>
            </w:r>
          </w:p>
        </w:tc>
      </w:tr>
    </w:tbl>
    <w:p>
      <w:pPr>
        <w:spacing w:after="0" w:line="200" w:lineRule="exact"/>
        <w:rPr>
          <w:sz w:val="24"/>
          <w:szCs w:val="24"/>
          <w:color w:val="auto"/>
        </w:rPr>
      </w:pPr>
    </w:p>
    <w:p>
      <w:pPr>
        <w:spacing w:after="0" w:line="222"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57"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29" w:right="77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1.02 is incorporated by reference herein.</w:t>
      </w: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February 12, 2014, Comcast Corporation (“Comcast”) entered into an Agreement and Plan of Merger (the “Merger Agreement”) among Time Warner Cable Inc. (“TWC”), Comcast and Tango Acquisition Sub, Inc. (“Merger Subsidiary”), a wholly owned subsidiary of Comcast, which contemplated that Merger Subsidiary would merge with and into TWC, with TWC surviving as a wholly owned subsidiary of Comcast. On April 24, 2015, Comcast and TWC entered into a Termination Agreement (the “Termination Agreement”) wherein the parties agreed to terminate the Merger Agreement.</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25, 2014, Comcast entered into a binding definitive agreement (the “Transactions Agreement”) with Charter Communications, Inc. (“Charter”), which contemplated three transactions: (1) a contribution and spin-off transaction, (2) an asset exchange and (3) a purchase of assets. Pursuant to the terms of the Transactions Agreement, the Transactions Agreement became terminable upon termination of the Merger Agreement. On April 24, 2015, Comcast delivered a notice of termination of the Transactions Agreement to Charter (the “Termination Notice”).</w:t>
      </w:r>
    </w:p>
    <w:p>
      <w:pPr>
        <w:spacing w:after="0" w:line="2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foregoing descriptions of the Merger Agreement, the Termination Agreement, the Transactions Agreement and the Termination Notice do not purport to be complete and are qualified in their entirety by reference to the full text of the Merger Agreement, which was filed as an exhibit to Comcast’s Current Report on Form 8-K filed on February 13, 2014, the Termination Agreement, which is filed herewith as Exhibit 10.1, the Transactions Agreement, which was filed as an exhibit to Comcast’s Current Report on Form 8-K filed on April 28, 2014, and the Termination Notice, which is filed herewith as Exhibit 10.2, each of which is incorporated herein by reference.</w:t>
      </w:r>
    </w:p>
    <w:p>
      <w:pPr>
        <w:spacing w:after="0" w:line="2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24, 2015, Comcast issued a statement announcing the termination of the Merger Agreement and the termination of the Transactions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statement is attached hereto as Exhibit 99.1 and incorporated herein by reference.</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Termination Agreement, dated as of April 24, 2015, among Comcast Corporation and Time Warner Cable Inc.</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Notice of Termination of the Transactions Agreement, dated as of April 24, 2015.</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Statement dated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5900" w:type="dxa"/>
            <w:vAlign w:val="bottom"/>
            <w:gridSpan w:val="3"/>
          </w:tcPr>
          <w:p>
            <w:pPr>
              <w:ind w:left="2040"/>
              <w:spacing w:after="0"/>
              <w:rPr>
                <w:sz w:val="20"/>
                <w:szCs w:val="20"/>
                <w:color w:val="auto"/>
              </w:rPr>
            </w:pPr>
            <w:r>
              <w:rPr>
                <w:rFonts w:ascii="Arial" w:cs="Arial" w:eastAsia="Arial" w:hAnsi="Arial"/>
                <w:sz w:val="18"/>
                <w:szCs w:val="18"/>
                <w:b w:val="1"/>
                <w:bCs w:val="1"/>
                <w:color w:val="auto"/>
              </w:rPr>
              <w:t>COMCAST CORPORATION</w:t>
            </w:r>
          </w:p>
        </w:tc>
        <w:tc>
          <w:tcPr>
            <w:tcW w:w="19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April 24, 2015</w:t>
            </w:r>
          </w:p>
        </w:tc>
        <w:tc>
          <w:tcPr>
            <w:tcW w:w="5900" w:type="dxa"/>
            <w:vAlign w:val="bottom"/>
            <w:gridSpan w:val="3"/>
          </w:tcPr>
          <w:p>
            <w:pPr>
              <w:ind w:left="2040"/>
              <w:spacing w:after="0"/>
              <w:rPr>
                <w:sz w:val="20"/>
                <w:szCs w:val="20"/>
                <w:color w:val="auto"/>
              </w:rPr>
            </w:pPr>
            <w:r>
              <w:rPr>
                <w:rFonts w:ascii="Arial" w:cs="Arial" w:eastAsia="Arial" w:hAnsi="Arial"/>
                <w:sz w:val="18"/>
                <w:szCs w:val="18"/>
                <w:color w:val="auto"/>
              </w:rPr>
              <w:t>By:  /s/ Arthur R. Block</w:t>
            </w:r>
          </w:p>
        </w:tc>
        <w:tc>
          <w:tcPr>
            <w:tcW w:w="19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8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c>
          <w:tcPr>
            <w:tcW w:w="19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20" w:type="dxa"/>
            <w:vAlign w:val="bottom"/>
          </w:tcPr>
          <w:p>
            <w:pPr>
              <w:ind w:left="100"/>
              <w:spacing w:after="0"/>
              <w:rPr>
                <w:sz w:val="20"/>
                <w:szCs w:val="20"/>
                <w:color w:val="auto"/>
              </w:rPr>
            </w:pPr>
            <w:r>
              <w:rPr>
                <w:rFonts w:ascii="Arial" w:cs="Arial" w:eastAsia="Arial" w:hAnsi="Arial"/>
                <w:sz w:val="18"/>
                <w:szCs w:val="18"/>
                <w:color w:val="auto"/>
                <w:w w:val="98"/>
              </w:rPr>
              <w:t>Executive Vice President, General</w:t>
            </w:r>
          </w:p>
        </w:tc>
        <w:tc>
          <w:tcPr>
            <w:tcW w:w="19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Counsel and Secretary</w:t>
            </w:r>
          </w:p>
        </w:tc>
        <w:tc>
          <w:tcPr>
            <w:tcW w:w="1940" w:type="dxa"/>
            <w:vAlign w:val="bottom"/>
          </w:tcPr>
          <w:p>
            <w:pPr>
              <w:spacing w:after="0"/>
              <w:rPr>
                <w:sz w:val="20"/>
                <w:szCs w:val="20"/>
                <w:color w:val="auto"/>
              </w:rPr>
            </w:pPr>
          </w:p>
        </w:tc>
      </w:tr>
      <w:tr>
        <w:trPr>
          <w:trHeight w:val="659"/>
        </w:trPr>
        <w:tc>
          <w:tcPr>
            <w:tcW w:w="35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32"/>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Termination Agreement, dated as of April 24, 2015, among Comcast Corporation and Time Warner Cable Inc.</w:t>
            </w:r>
          </w:p>
        </w:tc>
        <w:tc>
          <w:tcPr>
            <w:tcW w:w="2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Notice of Termination of the Transactions Agreement, dated as of April 24, 2015.</w:t>
            </w:r>
          </w:p>
        </w:tc>
        <w:tc>
          <w:tcPr>
            <w:tcW w:w="2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dated April 24, 2015.</w:t>
            </w:r>
          </w:p>
        </w:tc>
        <w:tc>
          <w:tcPr>
            <w:tcW w:w="20" w:type="dxa"/>
            <w:vAlign w:val="bottom"/>
          </w:tcPr>
          <w:p>
            <w:pPr>
              <w:spacing w:after="0"/>
              <w:rPr>
                <w:sz w:val="24"/>
                <w:szCs w:val="24"/>
                <w:color w:val="auto"/>
              </w:rPr>
            </w:pPr>
          </w:p>
        </w:tc>
      </w:tr>
      <w:tr>
        <w:trPr>
          <w:trHeight w:val="875"/>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79"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April 24, 2015, among Comcast Corporation, a Pennsylvania corporation (“</w:t>
      </w:r>
      <w:r>
        <w:rPr>
          <w:rFonts w:ascii="Arial" w:cs="Arial" w:eastAsia="Arial" w:hAnsi="Arial"/>
          <w:sz w:val="18"/>
          <w:szCs w:val="18"/>
          <w:b w:val="1"/>
          <w:bCs w:val="1"/>
          <w:color w:val="auto"/>
        </w:rPr>
        <w:t>Comcast</w:t>
      </w:r>
      <w:r>
        <w:rPr>
          <w:rFonts w:ascii="Arial" w:cs="Arial" w:eastAsia="Arial" w:hAnsi="Arial"/>
          <w:sz w:val="18"/>
          <w:szCs w:val="18"/>
          <w:color w:val="auto"/>
        </w:rPr>
        <w:t>”), and Time Warner Cable Inc., a Delaware corporation (“</w:t>
      </w:r>
      <w:r>
        <w:rPr>
          <w:rFonts w:ascii="Arial" w:cs="Arial" w:eastAsia="Arial" w:hAnsi="Arial"/>
          <w:sz w:val="18"/>
          <w:szCs w:val="18"/>
          <w:b w:val="1"/>
          <w:bCs w:val="1"/>
          <w:color w:val="auto"/>
        </w:rPr>
        <w:t>TWC</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w:t>
      </w:r>
    </w:p>
    <w:p>
      <w:pPr>
        <w:spacing w:after="0" w:line="279"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WHEREAS, Comcast, TWC and Tango Acquisition Sub, Inc., a Delaware corporation and a wholly owned subsidiary of Comcast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w:t>
      </w:r>
      <w:r>
        <w:rPr>
          <w:rFonts w:ascii="Arial" w:cs="Arial" w:eastAsia="Arial" w:hAnsi="Arial"/>
          <w:sz w:val="18"/>
          <w:szCs w:val="18"/>
          <w:color w:val="auto"/>
        </w:rPr>
        <w:t>”), are parties to the Agreement and Plan of Merger, dated as of February 12, 2014 (as amended, modified or supplemented prior to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w:t>
      </w:r>
      <w:r>
        <w:rPr>
          <w:rFonts w:ascii="Arial" w:cs="Arial" w:eastAsia="Arial" w:hAnsi="Arial"/>
          <w:sz w:val="18"/>
          <w:szCs w:val="18"/>
          <w:b w:val="1"/>
          <w:bCs w:val="1"/>
          <w:color w:val="auto"/>
        </w:rPr>
        <w:t>Merger Agreement</w:t>
      </w:r>
      <w:r>
        <w:rPr>
          <w:rFonts w:ascii="Arial" w:cs="Arial" w:eastAsia="Arial" w:hAnsi="Arial"/>
          <w:sz w:val="18"/>
          <w:szCs w:val="18"/>
          <w:color w:val="auto"/>
        </w:rPr>
        <w:t>”), pursuant to which, among other things, Comcast would acquire TWC by means of a merger of Merger Subsidiary with and into TWC on the terms and subject to the conditions set forth in the Merger Agreement;</w:t>
      </w:r>
    </w:p>
    <w:p>
      <w:pPr>
        <w:spacing w:after="0" w:line="23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Section 10.01(a) of the Merger Agreement provides that the Merger Agreement may be terminated by mutual written agreement of Comcast and TWC;</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Comcast and TWC have mutually agreed to terminate the Merger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foregoing and the covenants and agreements contained herein, the parties hereto agree as follows: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83" w:lineRule="exact"/>
        <w:rPr>
          <w:sz w:val="20"/>
          <w:szCs w:val="20"/>
          <w:color w:val="auto"/>
        </w:rPr>
      </w:pPr>
    </w:p>
    <w:p>
      <w:pPr>
        <w:ind w:right="440" w:firstLine="656"/>
        <w:spacing w:after="0" w:line="264" w:lineRule="auto"/>
        <w:tabs>
          <w:tab w:leader="none" w:pos="127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Effect of Termination. </w:t>
      </w:r>
      <w:r>
        <w:rPr>
          <w:rFonts w:ascii="Arial" w:cs="Arial" w:eastAsia="Arial" w:hAnsi="Arial"/>
          <w:sz w:val="18"/>
          <w:szCs w:val="18"/>
          <w:color w:val="auto"/>
        </w:rPr>
        <w:t>Comcast and TWC hereby mutually agree to terminate the Merger Agreement pursuant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10.01(a) of the Merger Agreement. Upon the effectiveness of this Agreement in accordance with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below, the Merger Agreement shall be terminated in accordance with its terms.</w:t>
      </w:r>
    </w:p>
    <w:p>
      <w:pPr>
        <w:spacing w:after="0" w:line="235" w:lineRule="exact"/>
        <w:rPr>
          <w:rFonts w:ascii="Arial" w:cs="Arial" w:eastAsia="Arial" w:hAnsi="Arial"/>
          <w:sz w:val="18"/>
          <w:szCs w:val="18"/>
          <w:color w:val="auto"/>
        </w:rPr>
      </w:pPr>
    </w:p>
    <w:p>
      <w:pPr>
        <w:ind w:right="380" w:firstLine="656"/>
        <w:spacing w:after="0" w:line="277" w:lineRule="auto"/>
        <w:tabs>
          <w:tab w:leader="none" w:pos="127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Voting Agreement</w:t>
      </w:r>
      <w:r>
        <w:rPr>
          <w:rFonts w:ascii="Arial" w:cs="Arial" w:eastAsia="Arial" w:hAnsi="Arial"/>
          <w:sz w:val="18"/>
          <w:szCs w:val="18"/>
          <w:color w:val="auto"/>
        </w:rPr>
        <w:t>. TWC acknowledges that, upon the effectiveness of this Agreement in accordance with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without any further action, shall terminate in accordance with its terms.</w:t>
      </w:r>
    </w:p>
    <w:p>
      <w:pPr>
        <w:spacing w:after="0" w:line="224" w:lineRule="exact"/>
        <w:rPr>
          <w:rFonts w:ascii="Arial" w:cs="Arial" w:eastAsia="Arial" w:hAnsi="Arial"/>
          <w:sz w:val="18"/>
          <w:szCs w:val="18"/>
          <w:color w:val="auto"/>
        </w:rPr>
      </w:pPr>
    </w:p>
    <w:p>
      <w:pPr>
        <w:ind w:right="220" w:firstLine="656"/>
        <w:spacing w:after="0" w:line="279" w:lineRule="auto"/>
        <w:tabs>
          <w:tab w:leader="none" w:pos="127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Confidentiality Agreement. </w:t>
      </w:r>
      <w:r>
        <w:rPr>
          <w:rFonts w:ascii="Arial" w:cs="Arial" w:eastAsia="Arial" w:hAnsi="Arial"/>
          <w:sz w:val="17"/>
          <w:szCs w:val="17"/>
          <w:color w:val="auto"/>
        </w:rPr>
        <w:t>Notwithstanding anything in this Agreement to the contrary, the provisions of the Confidentiality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dated as of February 8, 2014, between Comcast and TWC (as amended, modified or supplemented from time to time,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xml:space="preserve">”) shall survive and remain in full force and effect in accordance with their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consent requirement and other obligations set forth in paragraph 1(b) of the Confidentiality Agreement are hereby waived, void and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80" w:firstLine="656"/>
        <w:spacing w:after="0" w:line="342" w:lineRule="auto"/>
        <w:tabs>
          <w:tab w:leader="none" w:pos="127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Letter Agreement</w:t>
      </w:r>
      <w:r>
        <w:rPr>
          <w:rFonts w:ascii="Arial" w:cs="Arial" w:eastAsia="Arial" w:hAnsi="Arial"/>
          <w:sz w:val="16"/>
          <w:szCs w:val="16"/>
          <w:color w:val="auto"/>
        </w:rPr>
        <w:t>. Notwithstanding anything in this Agreement to the contrary, the provisions of that certain letter agreement regarding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Identification of Key Executives/Senior Managers, dated April 25, 2014, shall survive and remain in full force and effect in accordance with their terms.</w:t>
      </w:r>
    </w:p>
    <w:p>
      <w:pPr>
        <w:spacing w:after="0" w:line="177" w:lineRule="exact"/>
        <w:rPr>
          <w:rFonts w:ascii="Arial" w:cs="Arial" w:eastAsia="Arial" w:hAnsi="Arial"/>
          <w:sz w:val="16"/>
          <w:szCs w:val="16"/>
          <w:color w:val="auto"/>
        </w:rPr>
      </w:pPr>
    </w:p>
    <w:p>
      <w:pPr>
        <w:ind w:firstLine="656"/>
        <w:spacing w:after="0" w:line="255" w:lineRule="auto"/>
        <w:tabs>
          <w:tab w:leader="none" w:pos="127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Each of Comcast and TWC hereby represents and warrants to the other that (a) the execution, delivery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by such party of this Agreement and the consummation by such party of the transactions contemplated hereby are within such party’s corporate powers and have been duly authorized by all necessary corporate action on the part of such party and (b) this Agreement, assuming due authorization, execution and delivery by the other party, constitutes a valid and binding agreement of such party enforceable against such party in accordance with its terms (subject to applicable bankruptcy, insolvency, fraudulent transfer, reorganization, moratorium and other laws affecting creditors’ rights generally and general principles of equity).</w:t>
      </w:r>
    </w:p>
    <w:p>
      <w:pPr>
        <w:spacing w:after="0" w:line="247" w:lineRule="exact"/>
        <w:rPr>
          <w:rFonts w:ascii="Arial" w:cs="Arial" w:eastAsia="Arial" w:hAnsi="Arial"/>
          <w:sz w:val="18"/>
          <w:szCs w:val="18"/>
          <w:color w:val="auto"/>
        </w:rPr>
      </w:pPr>
    </w:p>
    <w:p>
      <w:pPr>
        <w:ind w:left="1280" w:hanging="624"/>
        <w:spacing w:after="0"/>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requests and other communications to any party hereunder shall be in writing (including facsimile transmission)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given,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Comcast, to:</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Arthur R. Block</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Facsimile No.: (215) 286-7794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 Caplan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William J. Chudd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Facsimile No.: (212) 450-3800</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if to TWC, to:</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Facsimile No.: (212) 364-8459</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1140"/>
        <w:spacing w:after="0"/>
        <w:tabs>
          <w:tab w:leader="none" w:pos="2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B. Schumer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Ariel J. Deckelbaum</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Ross A. Fieldston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Facsimile No.: (212) 757-3990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party hereto.</w:t>
      </w:r>
    </w:p>
    <w:p>
      <w:pPr>
        <w:spacing w:after="0" w:line="279" w:lineRule="exact"/>
        <w:rPr>
          <w:sz w:val="20"/>
          <w:szCs w:val="20"/>
          <w:color w:val="auto"/>
        </w:rPr>
      </w:pPr>
    </w:p>
    <w:p>
      <w:pPr>
        <w:jc w:val="both"/>
        <w:ind w:firstLine="656"/>
        <w:spacing w:after="0" w:line="264" w:lineRule="auto"/>
        <w:tabs>
          <w:tab w:leader="none" w:pos="1323"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Amendments and Waivers. </w:t>
      </w:r>
      <w:r>
        <w:rPr>
          <w:rFonts w:ascii="Arial" w:cs="Arial" w:eastAsia="Arial" w:hAnsi="Arial"/>
          <w:sz w:val="18"/>
          <w:szCs w:val="18"/>
          <w:color w:val="auto"/>
        </w:rPr>
        <w:t>(a) Any provision of this Agreement may be amended or waived if, but only if, such amendment or waiver is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and is signed, in the case of an amendment, by each party to this Agreement or, in the case of a waiver, by each party against whom the waiver is to be effective.</w:t>
      </w:r>
    </w:p>
    <w:p>
      <w:pPr>
        <w:spacing w:after="0" w:line="235" w:lineRule="exact"/>
        <w:rPr>
          <w:rFonts w:ascii="Arial" w:cs="Arial" w:eastAsia="Arial" w:hAnsi="Arial"/>
          <w:sz w:val="18"/>
          <w:szCs w:val="18"/>
          <w:color w:val="auto"/>
        </w:rPr>
      </w:pPr>
    </w:p>
    <w:p>
      <w:pPr>
        <w:ind w:right="220" w:firstLine="1305"/>
        <w:spacing w:after="0" w:line="286" w:lineRule="auto"/>
        <w:tabs>
          <w:tab w:leader="none" w:pos="2001" w:val="left"/>
        </w:tabs>
        <w:numPr>
          <w:ilvl w:val="1"/>
          <w:numId w:val="5"/>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219" w:lineRule="exact"/>
        <w:rPr>
          <w:rFonts w:ascii="Arial" w:cs="Arial" w:eastAsia="Arial" w:hAnsi="Arial"/>
          <w:sz w:val="17"/>
          <w:szCs w:val="17"/>
          <w:color w:val="auto"/>
        </w:rPr>
      </w:pPr>
    </w:p>
    <w:p>
      <w:pPr>
        <w:ind w:right="680" w:firstLine="656"/>
        <w:spacing w:after="0" w:line="277" w:lineRule="auto"/>
        <w:tabs>
          <w:tab w:leader="none" w:pos="127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All costs and expenses incurred in connection with this Agreement and the Merger Agreement shall be paid by the party</w:t>
      </w:r>
      <w:r>
        <w:rPr>
          <w:rFonts w:ascii="Arial" w:cs="Arial" w:eastAsia="Arial" w:hAnsi="Arial"/>
          <w:sz w:val="18"/>
          <w:szCs w:val="18"/>
          <w:i w:val="1"/>
          <w:iCs w:val="1"/>
          <w:color w:val="auto"/>
        </w:rPr>
        <w:t xml:space="preserve"> </w:t>
      </w:r>
      <w:r>
        <w:rPr>
          <w:rFonts w:ascii="Arial" w:cs="Arial" w:eastAsia="Arial" w:hAnsi="Arial"/>
          <w:sz w:val="18"/>
          <w:szCs w:val="18"/>
          <w:color w:val="auto"/>
        </w:rPr>
        <w:t>incurring such cost or expense.</w:t>
      </w:r>
    </w:p>
    <w:p>
      <w:pPr>
        <w:spacing w:after="0" w:line="224" w:lineRule="exact"/>
        <w:rPr>
          <w:rFonts w:ascii="Arial" w:cs="Arial" w:eastAsia="Arial" w:hAnsi="Arial"/>
          <w:sz w:val="18"/>
          <w:szCs w:val="18"/>
          <w:color w:val="auto"/>
        </w:rPr>
      </w:pPr>
    </w:p>
    <w:p>
      <w:pPr>
        <w:ind w:right="20" w:firstLine="656"/>
        <w:spacing w:after="0" w:line="264" w:lineRule="auto"/>
        <w:tabs>
          <w:tab w:leader="none" w:pos="127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Binding Effect; Benefit; Assignment. </w:t>
      </w:r>
      <w:r>
        <w:rPr>
          <w:rFonts w:ascii="Arial" w:cs="Arial" w:eastAsia="Arial" w:hAnsi="Arial"/>
          <w:sz w:val="18"/>
          <w:szCs w:val="18"/>
          <w:color w:val="auto"/>
        </w:rPr>
        <w:t>(a) The provisions of this Agreement shall be binding upon and shall inure to the benefit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hereto and their respective successors and assigns. This Agreement is not intended to confer upon any person other than the parties hereto any rights or remedies, other than as specifically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w:t>
      </w:r>
    </w:p>
    <w:p>
      <w:pPr>
        <w:spacing w:after="0" w:line="235" w:lineRule="exact"/>
        <w:rPr>
          <w:rFonts w:ascii="Arial" w:cs="Arial" w:eastAsia="Arial" w:hAnsi="Arial"/>
          <w:sz w:val="18"/>
          <w:szCs w:val="18"/>
          <w:color w:val="auto"/>
        </w:rPr>
      </w:pPr>
    </w:p>
    <w:p>
      <w:pPr>
        <w:ind w:left="2000" w:hanging="695"/>
        <w:spacing w:after="0"/>
        <w:tabs>
          <w:tab w:leader="none" w:pos="2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No party may assign, delegate or otherwise transfer any of its rights or obligations under this Agreement without the consent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other party hereto.</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left="-20" w:right="80" w:firstLine="656"/>
        <w:spacing w:after="0" w:line="277" w:lineRule="auto"/>
        <w:tabs>
          <w:tab w:leader="none" w:pos="130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the State of Delaware, without regard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conflicts of law rules of such state.</w:t>
      </w:r>
    </w:p>
    <w:p>
      <w:pPr>
        <w:spacing w:after="0" w:line="224" w:lineRule="exact"/>
        <w:rPr>
          <w:rFonts w:ascii="Arial" w:cs="Arial" w:eastAsia="Arial" w:hAnsi="Arial"/>
          <w:sz w:val="18"/>
          <w:szCs w:val="18"/>
          <w:color w:val="auto"/>
        </w:rPr>
      </w:pPr>
    </w:p>
    <w:p>
      <w:pPr>
        <w:ind w:left="-20" w:firstLine="656"/>
        <w:spacing w:after="0" w:line="270" w:lineRule="auto"/>
        <w:tabs>
          <w:tab w:leader="none" w:pos="1297"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Jurisdiction. </w:t>
      </w:r>
      <w:r>
        <w:rPr>
          <w:rFonts w:ascii="Arial" w:cs="Arial" w:eastAsia="Arial" w:hAnsi="Arial"/>
          <w:sz w:val="17"/>
          <w:szCs w:val="17"/>
          <w:color w:val="auto"/>
        </w:rPr>
        <w:t>The parties hereto agree that any suit, action or proceeding seeking to enforce any provision of, or based on any matter arising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above shall be deemed effective service of process on such party.</w:t>
      </w:r>
    </w:p>
    <w:p>
      <w:pPr>
        <w:spacing w:after="0" w:line="235" w:lineRule="exact"/>
        <w:rPr>
          <w:rFonts w:ascii="Arial" w:cs="Arial" w:eastAsia="Arial" w:hAnsi="Arial"/>
          <w:sz w:val="17"/>
          <w:szCs w:val="17"/>
          <w:color w:val="auto"/>
        </w:rPr>
      </w:pPr>
    </w:p>
    <w:p>
      <w:pPr>
        <w:ind w:left="-20" w:right="420" w:firstLine="656"/>
        <w:spacing w:after="0" w:line="264" w:lineRule="auto"/>
        <w:tabs>
          <w:tab w:leader="none" w:pos="130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IRREVOCABLY WAIVES ANY AND ALL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TRIAL BY JURY IN ANY LEGAL PROCEEDING ARISING OUT OF OR RELATED TO THIS AGREEMENT OR THE TRANSACTIONS CONTEMPLATED HEREBY.</w:t>
      </w:r>
    </w:p>
    <w:p>
      <w:pPr>
        <w:spacing w:after="0" w:line="235" w:lineRule="exact"/>
        <w:rPr>
          <w:rFonts w:ascii="Arial" w:cs="Arial" w:eastAsia="Arial" w:hAnsi="Arial"/>
          <w:sz w:val="18"/>
          <w:szCs w:val="18"/>
          <w:color w:val="auto"/>
        </w:rPr>
      </w:pPr>
    </w:p>
    <w:p>
      <w:pPr>
        <w:ind w:left="-20" w:right="60" w:firstLine="656"/>
        <w:spacing w:after="0" w:line="276" w:lineRule="auto"/>
        <w:tabs>
          <w:tab w:leader="none" w:pos="130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Effectiveness. </w:t>
      </w:r>
      <w:r>
        <w:rPr>
          <w:rFonts w:ascii="Arial" w:cs="Arial" w:eastAsia="Arial" w:hAnsi="Arial"/>
          <w:sz w:val="17"/>
          <w:szCs w:val="17"/>
          <w:color w:val="auto"/>
        </w:rPr>
        <w:t>This Agreement may be signed in any number of counterparts, each of which shall be an original,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226" w:lineRule="exact"/>
        <w:rPr>
          <w:rFonts w:ascii="Arial" w:cs="Arial" w:eastAsia="Arial" w:hAnsi="Arial"/>
          <w:sz w:val="17"/>
          <w:szCs w:val="17"/>
          <w:color w:val="auto"/>
        </w:rPr>
      </w:pPr>
    </w:p>
    <w:p>
      <w:pPr>
        <w:ind w:left="-20" w:right="20" w:firstLine="656"/>
        <w:spacing w:after="0" w:line="277" w:lineRule="auto"/>
        <w:tabs>
          <w:tab w:leader="none" w:pos="130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constitutes the entire agreement between the parties with respect to its subject matter and supersedes all</w:t>
      </w:r>
      <w:r>
        <w:rPr>
          <w:rFonts w:ascii="Arial" w:cs="Arial" w:eastAsia="Arial" w:hAnsi="Arial"/>
          <w:sz w:val="18"/>
          <w:szCs w:val="18"/>
          <w:i w:val="1"/>
          <w:iCs w:val="1"/>
          <w:color w:val="auto"/>
        </w:rPr>
        <w:t xml:space="preserve"> </w:t>
      </w:r>
      <w:r>
        <w:rPr>
          <w:rFonts w:ascii="Arial" w:cs="Arial" w:eastAsia="Arial" w:hAnsi="Arial"/>
          <w:sz w:val="18"/>
          <w:szCs w:val="18"/>
          <w:color w:val="auto"/>
        </w:rPr>
        <w:t>prior agreements and understandings, both oral and written, between the parties with respect to that subject matter.</w:t>
      </w:r>
    </w:p>
    <w:p>
      <w:pPr>
        <w:spacing w:after="0" w:line="224" w:lineRule="exact"/>
        <w:rPr>
          <w:rFonts w:ascii="Arial" w:cs="Arial" w:eastAsia="Arial" w:hAnsi="Arial"/>
          <w:sz w:val="18"/>
          <w:szCs w:val="18"/>
          <w:color w:val="auto"/>
        </w:rPr>
      </w:pPr>
    </w:p>
    <w:p>
      <w:pPr>
        <w:ind w:left="-20" w:right="20" w:firstLine="656"/>
        <w:spacing w:after="0" w:line="273" w:lineRule="auto"/>
        <w:tabs>
          <w:tab w:leader="none" w:pos="130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Severability. </w:t>
      </w:r>
      <w:r>
        <w:rPr>
          <w:rFonts w:ascii="Arial" w:cs="Arial" w:eastAsia="Arial" w:hAnsi="Arial"/>
          <w:sz w:val="17"/>
          <w:szCs w:val="17"/>
          <w:color w:val="auto"/>
        </w:rPr>
        <w:t>If any term, provision, covenant or restriction of this Agreement is held by a court of competent jurisdiction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71" w:right="259" w:bottom="1440" w:gutter="0" w:footer="0" w:header="0"/>
        </w:sectPr>
      </w:pPr>
    </w:p>
    <w:bookmarkStart w:id="8" w:name="page9"/>
    <w:bookmarkEnd w:id="8"/>
    <w:p>
      <w:pPr>
        <w:ind w:left="-20" w:firstLine="656"/>
        <w:spacing w:after="0" w:line="254"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Specific Performance. </w:t>
      </w:r>
      <w:r>
        <w:rPr>
          <w:rFonts w:ascii="Arial" w:cs="Arial" w:eastAsia="Arial" w:hAnsi="Arial"/>
          <w:sz w:val="18"/>
          <w:szCs w:val="18"/>
          <w:color w:val="auto"/>
        </w:rPr>
        <w:t>The parties hereto acknowledge and agree that irreparable damage would occur if any provision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not performed in accordance with its specific terms or were otherwise 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has been intentionally left blank; the next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page is the signature page.]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71" w:right="259" w:bottom="1440" w:gutter="0" w:footer="0" w:header="0"/>
        </w:sectPr>
      </w:pPr>
    </w:p>
    <w:bookmarkStart w:id="9" w:name="page10"/>
    <w:bookmarkEnd w:id="9"/>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date set forth on the cover page of this Agreement.</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Lawrence-Apfelbaum</w:t>
      </w:r>
    </w:p>
    <w:p>
      <w:pPr>
        <w:spacing w:after="0" w:line="36"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Marc Lawrence-Apfelbaum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2032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Title:</w:t>
        <w:tab/>
        <w:t>Executive Vice President, General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33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36"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2032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Termination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80"/>
          </w:cols>
          <w:pgMar w:left="240" w:top="571" w:right="4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ONE COMCAST CENTER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PHILADELPHIA, PENNSYLVANIA 19103</w:t>
      </w:r>
    </w:p>
    <w:p>
      <w:pPr>
        <w:spacing w:after="0" w:line="200" w:lineRule="exact"/>
        <w:rPr>
          <w:sz w:val="20"/>
          <w:szCs w:val="20"/>
          <w:color w:val="auto"/>
        </w:rPr>
      </w:pPr>
    </w:p>
    <w:p>
      <w:pPr>
        <w:spacing w:after="0" w:line="3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April 24, 2015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201" w:lineRule="auto"/>
        <w:rPr>
          <w:sz w:val="20"/>
          <w:szCs w:val="20"/>
          <w:color w:val="auto"/>
        </w:rPr>
      </w:pPr>
      <w:r>
        <w:rPr>
          <w:rFonts w:ascii="Arial" w:cs="Arial" w:eastAsia="Arial" w:hAnsi="Arial"/>
          <w:sz w:val="18"/>
          <w:szCs w:val="18"/>
          <w:color w:val="auto"/>
        </w:rPr>
        <w:t>400 Atlantic Street,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Stamford, Connecticut 06901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Rick Dykhouse (General Counsel)</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Termination of Comcast-Charter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Reference is made to the Transactions Agreement (the “</w:t>
      </w:r>
      <w:r>
        <w:rPr>
          <w:rFonts w:ascii="Arial" w:cs="Arial" w:eastAsia="Arial" w:hAnsi="Arial"/>
          <w:sz w:val="18"/>
          <w:szCs w:val="18"/>
          <w:b w:val="1"/>
          <w:bCs w:val="1"/>
          <w:color w:val="auto"/>
        </w:rPr>
        <w:t>Transactions Agreement</w:t>
      </w:r>
      <w:r>
        <w:rPr>
          <w:rFonts w:ascii="Arial" w:cs="Arial" w:eastAsia="Arial" w:hAnsi="Arial"/>
          <w:sz w:val="18"/>
          <w:szCs w:val="18"/>
          <w:color w:val="auto"/>
        </w:rPr>
        <w:t>”), dated as of April 25, 2014, between Comcast Corporation, a Pennsylvania corporation, and Charter Communications, Inc., a Delaware corporation. Capitalized terms used and not defined herein have the meanings assigned to such terms in the Transactions Agreement.</w:t>
      </w:r>
    </w:p>
    <w:p>
      <w:pPr>
        <w:spacing w:after="0" w:line="23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Please be advised that the Comcast-TWC Transaction has been terminated, effective as of April 24, 2015. Pursuant to the “Termination” section of the Transactions Agreement, the Transactions Agreement became terminable upon termination of the Comcast-TWC Transaction. Accordingly, this letter is to notify you that the Transactions Agreement is hereby terminated.</w:t>
      </w: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36"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2032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00" w:val="left"/>
        </w:tabs>
        <w:rPr>
          <w:sz w:val="20"/>
          <w:szCs w:val="20"/>
          <w:color w:val="auto"/>
        </w:rPr>
      </w:pPr>
      <w:r>
        <w:rPr>
          <w:rFonts w:ascii="Arial" w:cs="Arial" w:eastAsia="Arial" w:hAnsi="Arial"/>
          <w:sz w:val="18"/>
          <w:szCs w:val="18"/>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362585</wp:posOffset>
            </wp:positionV>
            <wp:extent cx="2555875" cy="969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587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Comcast/Time Warner Cable/Charter Transactions Terminated</w:t>
      </w:r>
    </w:p>
    <w:p>
      <w:pPr>
        <w:spacing w:after="0" w:line="225"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color w:val="auto"/>
        </w:rPr>
        <w:t xml:space="preserve">Philadelphia, PA — April 24, 2015 — </w:t>
      </w:r>
      <w:r>
        <w:rPr>
          <w:rFonts w:ascii="Arial" w:cs="Arial" w:eastAsia="Arial" w:hAnsi="Arial"/>
          <w:sz w:val="18"/>
          <w:szCs w:val="18"/>
          <w:color w:val="auto"/>
        </w:rPr>
        <w:t>Comcast Corporation announced this morning that its merger agreement with Time Warner Cable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transactions agreement with Charter Communications, Inc. have been terminated. The following is a statement from Comcast Chairman and CEO Brian L. Roberts:</w:t>
      </w:r>
    </w:p>
    <w:p>
      <w:pPr>
        <w:spacing w:after="0" w:line="190"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“Today, we move on. Of course, we would have liked to bring our great products to new cities, but we structured this deal so that if the government didn’t agree, we could walk away.</w:t>
      </w:r>
    </w:p>
    <w:p>
      <w:pPr>
        <w:spacing w:after="0" w:line="196"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Comcast NBCUniversal is a unique company with strong momentum. Throughout this entire process, our employees have kept their eye on the ball and we have had fantastic operating results. I want to thank them and the employees of Time Warner Cable for their tireless efforts.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couldn’t be more proud of this company and I am truly excited for what’s next.”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4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John Demming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215-286-8011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John_Demming@comcast.com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7"/>
    </w:lvl>
    <w:lvl w:ilvl="1">
      <w:lvlJc w:val="left"/>
      <w:lvlText w:val="(%2)"/>
      <w:numFmt w:val="lowerLetter"/>
      <w:start w:val="2"/>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2019-12-07T23:54:54Z</dcterms:created>
  <dcterms:modified xsi:type="dcterms:W3CDTF">2019-12-07T23:54:54Z</dcterms:modified>
</cp:coreProperties>
</file>