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92629d8k.htm"/>
      <w:bookmarkStart w:id="1" w:name="ksd79262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May 5,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Comcast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Pennsylvania</w:t>
      </w:r>
    </w:p>
    <w:p>
      <w:pPr>
        <w:pStyle w:val="TextBody"/>
        <w:bidi w:val="0"/>
        <w:spacing w:before="0" w:after="0"/>
        <w:jc w:val="center"/>
        <w:rPr>
          <w:rFonts w:ascii="Times New Roman" w:hAnsi="Times New Roman"/>
          <w:b/>
          <w:sz w:val="16"/>
        </w:rPr>
      </w:pPr>
      <w:r>
        <w:rPr>
          <w:rFonts w:ascii="Times New Roman" w:hAnsi="Times New Roman"/>
          <w:b/>
          <w:sz w:val="16"/>
        </w:rPr>
        <w:t>(State or Other Jurisdiction</w:t>
      </w:r>
    </w:p>
    <w:p>
      <w:pPr>
        <w:pStyle w:val="TextBody"/>
        <w:bidi w:val="0"/>
        <w:spacing w:before="0" w:after="0"/>
        <w:jc w:val="center"/>
        <w:rPr>
          <w:rFonts w:ascii="Times New Roman" w:hAnsi="Times New Roman"/>
          <w:b/>
          <w:sz w:val="16"/>
        </w:rPr>
      </w:pPr>
      <w:r>
        <w:rPr>
          <w:rFonts w:ascii="Times New Roman" w:hAnsi="Times New Roman"/>
          <w:b/>
          <w:sz w:val="16"/>
        </w:rPr>
        <w:t>of Incorporation)</w:t>
      </w:r>
    </w:p>
    <w:p>
      <w:pPr>
        <w:pStyle w:val="TextBody"/>
        <w:bidi w:val="0"/>
        <w:spacing w:before="0" w:after="0"/>
        <w:jc w:val="left"/>
        <w:rPr/>
      </w:pPr>
      <w:r>
        <w:rPr/>
        <w:t> </w:t>
      </w:r>
    </w:p>
    <w:tbl>
      <w:tblPr>
        <w:tblW w:w="6010" w:type="dxa"/>
        <w:jc w:val="left"/>
        <w:tblInd w:w="0" w:type="dxa"/>
        <w:tblLayout w:type="fixed"/>
        <w:tblCellMar>
          <w:top w:w="0" w:type="dxa"/>
          <w:left w:w="0" w:type="dxa"/>
          <w:bottom w:w="0" w:type="dxa"/>
          <w:right w:w="0" w:type="dxa"/>
        </w:tblCellMar>
      </w:tblPr>
      <w:tblGrid>
        <w:gridCol w:w="4070"/>
        <w:gridCol w:w="60"/>
        <w:gridCol w:w="188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001-32871</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27-0000798</w:t>
            </w:r>
          </w:p>
        </w:tc>
      </w:tr>
      <w:tr>
        <w:trPr/>
        <w:tc>
          <w:tcPr>
            <w:tcW w:w="40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One Comcast Center</w:t>
            </w:r>
          </w:p>
          <w:p>
            <w:pPr>
              <w:pStyle w:val="TableContents"/>
              <w:bidi w:val="0"/>
              <w:spacing w:before="0" w:after="20"/>
              <w:jc w:val="center"/>
              <w:rPr>
                <w:rFonts w:ascii="Times New Roman" w:hAnsi="Times New Roman"/>
                <w:b/>
                <w:sz w:val="20"/>
              </w:rPr>
            </w:pPr>
            <w:r>
              <w:rPr>
                <w:rFonts w:ascii="Times New Roman" w:hAnsi="Times New Roman"/>
                <w:b/>
                <w:sz w:val="20"/>
              </w:rPr>
              <w:t>Philadelphia, PA</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19103-2838</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(215) 286-1700</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615" w:type="dxa"/>
        <w:jc w:val="left"/>
        <w:tblInd w:w="0" w:type="dxa"/>
        <w:tblLayout w:type="fixed"/>
        <w:tblCellMar>
          <w:top w:w="0" w:type="dxa"/>
          <w:left w:w="0" w:type="dxa"/>
          <w:bottom w:w="0" w:type="dxa"/>
          <w:right w:w="0" w:type="dxa"/>
        </w:tblCellMar>
      </w:tblPr>
      <w:tblGrid>
        <w:gridCol w:w="5330"/>
        <w:gridCol w:w="60"/>
        <w:gridCol w:w="1115"/>
        <w:gridCol w:w="60"/>
        <w:gridCol w:w="3050"/>
      </w:tblGrid>
      <w:tr>
        <w:trPr/>
        <w:tc>
          <w:tcPr>
            <w:tcW w:w="5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53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330" w:type="dxa"/>
            <w:tcBorders/>
            <w:vAlign w:val="center"/>
          </w:tcPr>
          <w:p>
            <w:pPr>
              <w:pStyle w:val="TableContents"/>
              <w:bidi w:val="0"/>
              <w:spacing w:before="0" w:after="283"/>
              <w:jc w:val="center"/>
              <w:rPr/>
            </w:pPr>
            <w:r>
              <w:rPr/>
              <w:t>Class A Common Stock, $0.01 par value</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CMCSA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330" w:type="dxa"/>
            <w:tcBorders/>
            <w:vAlign w:val="center"/>
          </w:tcPr>
          <w:p>
            <w:pPr>
              <w:pStyle w:val="TableContents"/>
              <w:bidi w:val="0"/>
              <w:spacing w:before="0" w:after="283"/>
              <w:jc w:val="center"/>
              <w:rPr/>
            </w:pPr>
            <w:r>
              <w:rPr/>
              <w:t>0.000% Notes due 2026</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CMCS26</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330" w:type="dxa"/>
            <w:tcBorders/>
            <w:vAlign w:val="center"/>
          </w:tcPr>
          <w:p>
            <w:pPr>
              <w:pStyle w:val="TableContents"/>
              <w:bidi w:val="0"/>
              <w:spacing w:before="0" w:after="283"/>
              <w:jc w:val="center"/>
              <w:rPr/>
            </w:pPr>
            <w:r>
              <w:rPr/>
              <w:t>0.250% Notes due 2027</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CMCS27</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330" w:type="dxa"/>
            <w:tcBorders/>
            <w:vAlign w:val="center"/>
          </w:tcPr>
          <w:p>
            <w:pPr>
              <w:pStyle w:val="TableContents"/>
              <w:bidi w:val="0"/>
              <w:spacing w:before="0" w:after="283"/>
              <w:jc w:val="center"/>
              <w:rPr/>
            </w:pPr>
            <w:r>
              <w:rPr/>
              <w:t>1.500% Notes due 2029</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CMCS29</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330" w:type="dxa"/>
            <w:tcBorders/>
            <w:vAlign w:val="center"/>
          </w:tcPr>
          <w:p>
            <w:pPr>
              <w:pStyle w:val="TableContents"/>
              <w:bidi w:val="0"/>
              <w:spacing w:before="0" w:after="283"/>
              <w:jc w:val="center"/>
              <w:rPr/>
            </w:pPr>
            <w:r>
              <w:rPr/>
              <w:t>0.250% Notes due 2029</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CMCS29A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330" w:type="dxa"/>
            <w:tcBorders/>
            <w:vAlign w:val="center"/>
          </w:tcPr>
          <w:p>
            <w:pPr>
              <w:pStyle w:val="TableContents"/>
              <w:bidi w:val="0"/>
              <w:spacing w:before="0" w:after="283"/>
              <w:jc w:val="center"/>
              <w:rPr/>
            </w:pPr>
            <w:r>
              <w:rPr/>
              <w:t>0.750% Notes due 2032</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CMCS32</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330" w:type="dxa"/>
            <w:tcBorders/>
            <w:vAlign w:val="center"/>
          </w:tcPr>
          <w:p>
            <w:pPr>
              <w:pStyle w:val="TableContents"/>
              <w:bidi w:val="0"/>
              <w:spacing w:before="0" w:after="283"/>
              <w:jc w:val="center"/>
              <w:rPr/>
            </w:pPr>
            <w:r>
              <w:rPr/>
              <w:t>3.250% Notes due 2032</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CMCS32A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330" w:type="dxa"/>
            <w:tcBorders/>
            <w:vAlign w:val="center"/>
          </w:tcPr>
          <w:p>
            <w:pPr>
              <w:pStyle w:val="TableContents"/>
              <w:bidi w:val="0"/>
              <w:spacing w:before="0" w:after="283"/>
              <w:jc w:val="center"/>
              <w:rPr/>
            </w:pPr>
            <w:r>
              <w:rPr/>
              <w:t>1.875% Notes due 2036</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CMCS36</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330" w:type="dxa"/>
            <w:tcBorders/>
            <w:vAlign w:val="center"/>
          </w:tcPr>
          <w:p>
            <w:pPr>
              <w:pStyle w:val="TableContents"/>
              <w:bidi w:val="0"/>
              <w:spacing w:before="0" w:after="283"/>
              <w:jc w:val="center"/>
              <w:rPr/>
            </w:pPr>
            <w:r>
              <w:rPr/>
              <w:t>3.550% Notes due 2036</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CMCS36A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330" w:type="dxa"/>
            <w:tcBorders/>
            <w:vAlign w:val="center"/>
          </w:tcPr>
          <w:p>
            <w:pPr>
              <w:pStyle w:val="TableContents"/>
              <w:bidi w:val="0"/>
              <w:spacing w:before="0" w:after="283"/>
              <w:jc w:val="center"/>
              <w:rPr/>
            </w:pPr>
            <w:r>
              <w:rPr/>
              <w:t>1.250% Notes due 2040</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CMCS40</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330" w:type="dxa"/>
            <w:tcBorders/>
            <w:vAlign w:val="center"/>
          </w:tcPr>
          <w:p>
            <w:pPr>
              <w:pStyle w:val="TableContents"/>
              <w:bidi w:val="0"/>
              <w:spacing w:before="0" w:after="283"/>
              <w:jc w:val="center"/>
              <w:rPr/>
            </w:pPr>
            <w:r>
              <w:rPr/>
              <w:t>5.250% Notes due 2040</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CMCS40A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330" w:type="dxa"/>
            <w:tcBorders/>
            <w:vAlign w:val="center"/>
          </w:tcPr>
          <w:p>
            <w:pPr>
              <w:pStyle w:val="TableContents"/>
              <w:bidi w:val="0"/>
              <w:spacing w:before="0" w:after="283"/>
              <w:jc w:val="center"/>
              <w:rPr/>
            </w:pPr>
            <w:r>
              <w:rPr/>
              <w:t>5.50% Notes due 2029</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CCGBP29</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New York Stock Exchange</w:t>
            </w:r>
          </w:p>
        </w:tc>
      </w:tr>
      <w:tr>
        <w:trPr/>
        <w:tc>
          <w:tcPr>
            <w:tcW w:w="5330" w:type="dxa"/>
            <w:tcBorders/>
            <w:vAlign w:val="center"/>
          </w:tcPr>
          <w:p>
            <w:pPr>
              <w:pStyle w:val="TableContents"/>
              <w:bidi w:val="0"/>
              <w:spacing w:before="0" w:after="283"/>
              <w:jc w:val="center"/>
              <w:rPr/>
            </w:pPr>
            <w:r>
              <w:rPr/>
              <w:t>2.0% Exchangeable Subordinated Debentures due 2029</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CCZ</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On May 5, 2025, Comcast Corporation notified The Bank of New York Mellon, as trustee, that it will redeem all outstanding amounts of its $1,500,000,000 aggregate principal amount of 3.375% Notes due August 15, 2025 (the “</w:t>
      </w:r>
      <w:r>
        <w:rPr>
          <w:rFonts w:ascii="Times New Roman" w:hAnsi="Times New Roman"/>
          <w:sz w:val="20"/>
          <w:u w:val="single"/>
        </w:rPr>
        <w:t>Notes</w:t>
      </w:r>
      <w:r>
        <w:rPr>
          <w:rFonts w:ascii="Times New Roman" w:hAnsi="Times New Roman"/>
          <w:sz w:val="20"/>
        </w:rPr>
        <w:t xml:space="preserve">”) in full at the redemption price calculated in accordance with the indenture governing such Notes, plus accrued and unpaid interest. The redemption date for the Notes will be June 5, 2025.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is not a notice of redemption for the Notes.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46"/>
        <w:gridCol w:w="60"/>
        <w:gridCol w:w="23"/>
        <w:gridCol w:w="60"/>
        <w:gridCol w:w="361"/>
        <w:gridCol w:w="60"/>
        <w:gridCol w:w="646"/>
        <w:gridCol w:w="120"/>
        <w:gridCol w:w="7129"/>
      </w:tblGrid>
      <w:tr>
        <w:trPr/>
        <w:tc>
          <w:tcPr>
            <w:tcW w:w="17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29"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16" w:type="dxa"/>
            <w:gridSpan w:val="5"/>
            <w:tcBorders/>
            <w:vAlign w:val="center"/>
          </w:tcPr>
          <w:p>
            <w:pPr>
              <w:pStyle w:val="TableContents"/>
              <w:bidi w:val="0"/>
              <w:spacing w:before="0" w:after="283"/>
              <w:jc w:val="left"/>
              <w:rPr>
                <w:b/>
              </w:rPr>
            </w:pPr>
            <w:r>
              <w:rPr>
                <w:b/>
              </w:rPr>
              <w:t>COMCAST CORPORATION</w:t>
            </w:r>
          </w:p>
        </w:tc>
      </w:tr>
      <w:tr>
        <w:trPr/>
        <w:tc>
          <w:tcPr>
            <w:tcW w:w="1746"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1" w:type="dxa"/>
            <w:gridSpan w:val="2"/>
            <w:tcBorders/>
            <w:vAlign w:val="center"/>
          </w:tcPr>
          <w:p>
            <w:pPr>
              <w:pStyle w:val="TableContents"/>
              <w:bidi w:val="0"/>
              <w:spacing w:before="0" w:after="283"/>
              <w:jc w:val="left"/>
              <w:rPr>
                <w:sz w:val="4"/>
                <w:szCs w:val="4"/>
              </w:rPr>
            </w:pPr>
            <w:r>
              <w:rPr>
                <w:sz w:val="4"/>
                <w:szCs w:val="4"/>
              </w:rPr>
            </w:r>
          </w:p>
        </w:tc>
        <w:tc>
          <w:tcPr>
            <w:tcW w:w="7955" w:type="dxa"/>
            <w:gridSpan w:val="4"/>
            <w:tcBorders/>
            <w:vAlign w:val="center"/>
          </w:tcPr>
          <w:p>
            <w:pPr>
              <w:pStyle w:val="TableContents"/>
              <w:bidi w:val="0"/>
              <w:spacing w:before="0" w:after="283"/>
              <w:jc w:val="left"/>
              <w:rPr>
                <w:sz w:val="4"/>
                <w:szCs w:val="4"/>
              </w:rPr>
            </w:pPr>
            <w:r>
              <w:rPr>
                <w:sz w:val="4"/>
                <w:szCs w:val="4"/>
              </w:rPr>
            </w:r>
          </w:p>
        </w:tc>
      </w:tr>
      <w:tr>
        <w:trPr/>
        <w:tc>
          <w:tcPr>
            <w:tcW w:w="1746" w:type="dxa"/>
            <w:tcBorders/>
            <w:vAlign w:val="center"/>
          </w:tcPr>
          <w:p>
            <w:pPr>
              <w:pStyle w:val="TableContents"/>
              <w:bidi w:val="0"/>
              <w:spacing w:before="0" w:after="283"/>
              <w:jc w:val="left"/>
              <w:rPr/>
            </w:pPr>
            <w:r>
              <w:rPr/>
              <w:t>Date: May 5,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7895" w:type="dxa"/>
            <w:gridSpan w:val="3"/>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Elizabeth Wideman</w:t>
            </w:r>
          </w:p>
        </w:tc>
      </w:tr>
      <w:tr>
        <w:trPr/>
        <w:tc>
          <w:tcPr>
            <w:tcW w:w="17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Name:</w:t>
            </w:r>
          </w:p>
        </w:tc>
        <w:tc>
          <w:tcPr>
            <w:tcW w:w="120" w:type="dxa"/>
            <w:tcBorders/>
            <w:vAlign w:val="center"/>
          </w:tcPr>
          <w:p>
            <w:pPr>
              <w:pStyle w:val="TableContents"/>
              <w:bidi w:val="0"/>
              <w:spacing w:before="0" w:after="283"/>
              <w:jc w:val="left"/>
              <w:rPr/>
            </w:pPr>
            <w:r>
              <w:rPr/>
              <w:t>  </w:t>
            </w:r>
          </w:p>
        </w:tc>
        <w:tc>
          <w:tcPr>
            <w:tcW w:w="7129" w:type="dxa"/>
            <w:tcBorders/>
            <w:vAlign w:val="center"/>
          </w:tcPr>
          <w:p>
            <w:pPr>
              <w:pStyle w:val="TableContents"/>
              <w:bidi w:val="0"/>
              <w:spacing w:before="0" w:after="283"/>
              <w:jc w:val="left"/>
              <w:rPr/>
            </w:pPr>
            <w:r>
              <w:rPr/>
              <w:t>Elizabeth Wideman</w:t>
            </w:r>
          </w:p>
        </w:tc>
      </w:tr>
      <w:tr>
        <w:trPr/>
        <w:tc>
          <w:tcPr>
            <w:tcW w:w="17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Title:</w:t>
            </w:r>
          </w:p>
        </w:tc>
        <w:tc>
          <w:tcPr>
            <w:tcW w:w="120" w:type="dxa"/>
            <w:tcBorders/>
            <w:vAlign w:val="center"/>
          </w:tcPr>
          <w:p>
            <w:pPr>
              <w:pStyle w:val="TableContents"/>
              <w:bidi w:val="0"/>
              <w:spacing w:before="0" w:after="283"/>
              <w:jc w:val="left"/>
              <w:rPr/>
            </w:pPr>
            <w:r>
              <w:rPr/>
              <w:t>  </w:t>
            </w:r>
          </w:p>
        </w:tc>
        <w:tc>
          <w:tcPr>
            <w:tcW w:w="7129" w:type="dxa"/>
            <w:tcBorders/>
            <w:vAlign w:val="center"/>
          </w:tcPr>
          <w:p>
            <w:pPr>
              <w:pStyle w:val="TableContents"/>
              <w:bidi w:val="0"/>
              <w:spacing w:before="0" w:after="283"/>
              <w:jc w:val="left"/>
              <w:rPr/>
            </w:pPr>
            <w:r>
              <w:rPr/>
              <w:t>Senior Vice President, Senior Deputy General Counsel and Assistant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562</Words>
  <Characters>3002</Characters>
  <CharactersWithSpaces>3544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