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483235</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448945</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8" w:lineRule="exact"/>
        <w:rPr>
          <w:sz w:val="24"/>
          <w:szCs w:val="24"/>
          <w:color w:val="auto"/>
        </w:rPr>
      </w:pPr>
    </w:p>
    <w:p>
      <w:pPr>
        <w:ind w:left="980" w:hanging="810"/>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4"/>
          <w:szCs w:val="24"/>
          <w:color w:val="auto"/>
        </w:rPr>
      </w:pPr>
    </w:p>
    <w:p>
      <w:pPr>
        <w:ind w:left="940" w:hanging="770"/>
        <w:spacing w:after="0"/>
        <w:tabs>
          <w:tab w:leader="none" w:pos="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720"/>
        <w:spacing w:after="0"/>
        <w:tabs>
          <w:tab w:leader="none" w:pos="70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180080" cy="523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008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9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color w:val="auto"/>
                <w:w w:val="99"/>
              </w:rPr>
              <w:t>Exact Name of Registrant; State of</w:t>
            </w: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4160" w:type="dxa"/>
            <w:vAlign w:val="bottom"/>
          </w:tcPr>
          <w:p>
            <w:pPr>
              <w:spacing w:after="0"/>
              <w:rPr>
                <w:sz w:val="15"/>
                <w:szCs w:val="15"/>
                <w:color w:val="auto"/>
              </w:rPr>
            </w:pPr>
          </w:p>
        </w:tc>
        <w:tc>
          <w:tcPr>
            <w:tcW w:w="2940" w:type="dxa"/>
            <w:vAlign w:val="bottom"/>
            <w:gridSpan w:val="6"/>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9"/>
              </w:rPr>
              <w:t>Incorporation; Address and Telephone</w:t>
            </w:r>
          </w:p>
        </w:tc>
        <w:tc>
          <w:tcPr>
            <w:tcW w:w="4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160" w:type="dxa"/>
            <w:vAlign w:val="bottom"/>
            <w:tcBorders>
              <w:bottom w:val="single" w:sz="8" w:color="auto"/>
            </w:tcBorders>
          </w:tcPr>
          <w:p>
            <w:pPr>
              <w:jc w:val="center"/>
              <w:ind w:right="9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4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8"/>
                <w:szCs w:val="18"/>
                <w:color w:val="auto"/>
              </w:rPr>
              <w:t>Number of Principal Executive Offices</w:t>
            </w:r>
          </w:p>
        </w:tc>
        <w:tc>
          <w:tcPr>
            <w:tcW w:w="408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20" w:type="dxa"/>
            <w:vAlign w:val="bottom"/>
          </w:tcPr>
          <w:p>
            <w:pPr>
              <w:spacing w:after="0"/>
              <w:rPr>
                <w:sz w:val="21"/>
                <w:szCs w:val="21"/>
                <w:color w:val="auto"/>
              </w:rPr>
            </w:pPr>
          </w:p>
        </w:tc>
      </w:tr>
      <w:tr>
        <w:trPr>
          <w:trHeight w:val="232"/>
        </w:trPr>
        <w:tc>
          <w:tcPr>
            <w:tcW w:w="4160" w:type="dxa"/>
            <w:vAlign w:val="bottom"/>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001-32871</w:t>
            </w:r>
          </w:p>
        </w:tc>
        <w:tc>
          <w:tcPr>
            <w:tcW w:w="220" w:type="dxa"/>
            <w:vAlign w:val="bottom"/>
          </w:tcPr>
          <w:p>
            <w:pPr>
              <w:spacing w:after="0"/>
              <w:rPr>
                <w:sz w:val="20"/>
                <w:szCs w:val="20"/>
                <w:color w:val="auto"/>
              </w:rPr>
            </w:pPr>
          </w:p>
        </w:tc>
        <w:tc>
          <w:tcPr>
            <w:tcW w:w="27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COMCAST CORPORATION</w:t>
            </w:r>
          </w:p>
        </w:tc>
        <w:tc>
          <w:tcPr>
            <w:tcW w:w="408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27-0000798</w:t>
            </w:r>
          </w:p>
        </w:tc>
        <w:tc>
          <w:tcPr>
            <w:tcW w:w="20" w:type="dxa"/>
            <w:vAlign w:val="bottom"/>
          </w:tcPr>
          <w:p>
            <w:pPr>
              <w:spacing w:after="0"/>
              <w:rPr>
                <w:sz w:val="20"/>
                <w:szCs w:val="20"/>
                <w:color w:val="auto"/>
              </w:rPr>
            </w:pPr>
          </w:p>
        </w:tc>
      </w:tr>
      <w:tr>
        <w:trPr>
          <w:trHeight w:val="266"/>
        </w:trPr>
        <w:tc>
          <w:tcPr>
            <w:tcW w:w="4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40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Philadelphia, PA 19103-2838</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(215) 286-1700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20" w:type="dxa"/>
            <w:vAlign w:val="bottom"/>
          </w:tcPr>
          <w:p>
            <w:pPr>
              <w:spacing w:after="0"/>
              <w:rPr>
                <w:sz w:val="24"/>
                <w:szCs w:val="24"/>
                <w:color w:val="auto"/>
              </w:rPr>
            </w:pPr>
          </w:p>
        </w:tc>
      </w:tr>
      <w:tr>
        <w:trPr>
          <w:trHeight w:val="218"/>
        </w:trPr>
        <w:tc>
          <w:tcPr>
            <w:tcW w:w="4160" w:type="dxa"/>
            <w:vAlign w:val="bottom"/>
            <w:tcBorders>
              <w:top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CMCSA</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Borders>
              <w:top w:val="single" w:sz="8" w:color="auto"/>
            </w:tcBorders>
          </w:tcPr>
          <w:p>
            <w:pPr>
              <w:spacing w:after="0"/>
              <w:rPr>
                <w:sz w:val="18"/>
                <w:szCs w:val="18"/>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CMCS26</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CMCS27</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CMCS29</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CMCS29A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CMCS32</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CMCS36</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CMCS40</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CCGBP29</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20" w:type="dxa"/>
            <w:vAlign w:val="bottom"/>
          </w:tcPr>
          <w:p>
            <w:pPr>
              <w:spacing w:after="0"/>
              <w:rPr>
                <w:sz w:val="19"/>
                <w:szCs w:val="19"/>
                <w:color w:val="auto"/>
              </w:rPr>
            </w:pPr>
          </w:p>
        </w:tc>
      </w:tr>
      <w:tr>
        <w:trPr>
          <w:trHeight w:val="234"/>
        </w:trPr>
        <w:tc>
          <w:tcPr>
            <w:tcW w:w="4380" w:type="dxa"/>
            <w:vAlign w:val="bottom"/>
            <w:tcBorders>
              <w:bottom w:val="single" w:sz="8" w:color="auto"/>
            </w:tcBorders>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CCZ</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20" w:type="dxa"/>
            <w:vAlign w:val="bottom"/>
            <w:tcBorders>
              <w:bottom w:val="single" w:sz="8" w:color="auto"/>
            </w:tcBorders>
          </w:tcPr>
          <w:p>
            <w:pPr>
              <w:spacing w:after="0"/>
              <w:rPr>
                <w:sz w:val="20"/>
                <w:szCs w:val="20"/>
                <w:color w:val="auto"/>
              </w:rPr>
            </w:pPr>
          </w:p>
        </w:tc>
      </w:tr>
    </w:tbl>
    <w:p>
      <w:pPr>
        <w:spacing w:after="0" w:line="194"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7"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w:t>
            </w:r>
          </w:p>
        </w:tc>
        <w:tc>
          <w:tcPr>
            <w:tcW w:w="5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Accelerated filer</w:t>
            </w:r>
          </w:p>
        </w:tc>
        <w:tc>
          <w:tcPr>
            <w:tcW w:w="36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1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Non-accelerated filer</w:t>
            </w:r>
          </w:p>
        </w:tc>
        <w:tc>
          <w:tcPr>
            <w:tcW w:w="420" w:type="dxa"/>
            <w:vAlign w:val="bottom"/>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1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Smaller reporting</w:t>
            </w:r>
          </w:p>
        </w:tc>
        <w:tc>
          <w:tcPr>
            <w:tcW w:w="6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Emerging growth</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filer</w:t>
            </w:r>
          </w:p>
        </w:tc>
        <w:tc>
          <w:tcPr>
            <w:tcW w:w="5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company</w:t>
            </w:r>
          </w:p>
        </w:tc>
        <w:tc>
          <w:tcPr>
            <w:tcW w:w="600" w:type="dxa"/>
            <w:vAlign w:val="bottom"/>
          </w:tcPr>
          <w:p>
            <w:pPr>
              <w:spacing w:after="0"/>
              <w:rPr>
                <w:sz w:val="19"/>
                <w:szCs w:val="19"/>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company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1"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April 15, 2024, there were 3,914,181,673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203200</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168910</wp:posOffset>
            </wp:positionV>
            <wp:extent cx="7012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tcBorders>
              <w:bottom w:val="single" w:sz="8" w:color="0000FF"/>
            </w:tcBorders>
            <w:gridSpan w:val="11"/>
          </w:tcPr>
          <w:p>
            <w:pPr>
              <w:spacing w:after="0" w:line="188" w:lineRule="exact"/>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4780" w:type="dxa"/>
            <w:vAlign w:val="bottom"/>
            <w:gridSpan w:val="16"/>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(Unaudited)</w:t>
            </w:r>
          </w:p>
        </w:tc>
        <w:tc>
          <w:tcPr>
            <w:tcW w:w="2140" w:type="dxa"/>
            <w:vAlign w:val="bottom"/>
            <w:gridSpan w:val="7"/>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(Unaudited)</w:t>
            </w:r>
          </w:p>
        </w:tc>
        <w:tc>
          <w:tcPr>
            <w:tcW w:w="9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760" w:type="dxa"/>
            <w:vAlign w:val="bottom"/>
            <w:tcBorders>
              <w:top w:val="single" w:sz="8" w:color="0000FF"/>
            </w:tcBorders>
            <w:gridSpan w:val="5"/>
          </w:tcPr>
          <w:p>
            <w:pPr>
              <w:spacing w:after="0"/>
              <w:rPr>
                <w:sz w:val="18"/>
                <w:szCs w:val="18"/>
                <w:color w:val="auto"/>
              </w:rPr>
            </w:pPr>
          </w:p>
        </w:tc>
        <w:tc>
          <w:tcPr>
            <w:tcW w:w="1840" w:type="dxa"/>
            <w:vAlign w:val="bottom"/>
            <w:gridSpan w:val="4"/>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(Unaudited)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0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360" w:type="dxa"/>
            <w:vAlign w:val="bottom"/>
            <w:gridSpan w:val="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394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Note 1: Condensed Consolidated Financial Statements</w:t>
            </w:r>
          </w:p>
        </w:tc>
        <w:tc>
          <w:tcPr>
            <w:tcW w:w="540" w:type="dxa"/>
            <w:vAlign w:val="bottom"/>
            <w:tcBorders>
              <w:top w:val="single" w:sz="8" w:color="0000FF"/>
            </w:tcBorders>
            <w:gridSpan w:val="2"/>
          </w:tcPr>
          <w:p>
            <w:pPr>
              <w:spacing w:after="0"/>
              <w:rPr>
                <w:sz w:val="18"/>
                <w:szCs w:val="18"/>
                <w:color w:val="auto"/>
              </w:rPr>
            </w:pPr>
          </w:p>
        </w:tc>
        <w:tc>
          <w:tcPr>
            <w:tcW w:w="1560" w:type="dxa"/>
            <w:vAlign w:val="bottom"/>
            <w:gridSpan w:val="3"/>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2: Segment Information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Note 3: Revenue</w:t>
            </w:r>
          </w:p>
        </w:tc>
        <w:tc>
          <w:tcPr>
            <w:tcW w:w="900" w:type="dxa"/>
            <w:vAlign w:val="bottom"/>
            <w:tcBorders>
              <w:top w:val="single" w:sz="8" w:color="0000FF"/>
            </w:tcBorders>
            <w:gridSpan w:val="3"/>
          </w:tcPr>
          <w:p>
            <w:pPr>
              <w:spacing w:after="0"/>
              <w:rPr>
                <w:sz w:val="18"/>
                <w:szCs w:val="18"/>
                <w:color w:val="auto"/>
              </w:rPr>
            </w:pPr>
          </w:p>
        </w:tc>
        <w:tc>
          <w:tcPr>
            <w:tcW w:w="3920" w:type="dxa"/>
            <w:vAlign w:val="bottom"/>
            <w:gridSpan w:val="14"/>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4: Programming and Production Costs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Note 5: Debt</w:t>
            </w:r>
          </w:p>
        </w:tc>
        <w:tc>
          <w:tcPr>
            <w:tcW w:w="2220" w:type="dxa"/>
            <w:vAlign w:val="bottom"/>
            <w:tcBorders>
              <w:top w:val="single" w:sz="8" w:color="0000FF"/>
            </w:tcBorders>
            <w:gridSpan w:val="8"/>
          </w:tcPr>
          <w:p>
            <w:pPr>
              <w:spacing w:after="0"/>
              <w:rPr>
                <w:sz w:val="18"/>
                <w:szCs w:val="18"/>
                <w:color w:val="auto"/>
              </w:rPr>
            </w:pPr>
          </w:p>
        </w:tc>
        <w:tc>
          <w:tcPr>
            <w:tcW w:w="2880" w:type="dxa"/>
            <w:vAlign w:val="bottom"/>
            <w:gridSpan w:val="1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6: Investments and Variable Interest Entities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2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 7: Equity and Share-Based Compensation</w:t>
            </w:r>
          </w:p>
        </w:tc>
        <w:tc>
          <w:tcPr>
            <w:tcW w:w="160" w:type="dxa"/>
            <w:vAlign w:val="bottom"/>
            <w:tcBorders>
              <w:top w:val="single" w:sz="8" w:color="0000FF"/>
            </w:tcBorders>
            <w:gridSpan w:val="2"/>
          </w:tcPr>
          <w:p>
            <w:pPr>
              <w:spacing w:after="0"/>
              <w:rPr>
                <w:sz w:val="18"/>
                <w:szCs w:val="18"/>
                <w:color w:val="auto"/>
              </w:rPr>
            </w:pPr>
          </w:p>
        </w:tc>
        <w:tc>
          <w:tcPr>
            <w:tcW w:w="2460" w:type="dxa"/>
            <w:vAlign w:val="bottom"/>
            <w:gridSpan w:val="8"/>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 8: Supplemental Financial Information</w:t>
            </w:r>
          </w:p>
        </w:tc>
        <w:tc>
          <w:tcPr>
            <w:tcW w:w="2840" w:type="dxa"/>
            <w:vAlign w:val="bottom"/>
            <w:gridSpan w:val="11"/>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20" w:type="dxa"/>
            <w:vAlign w:val="bottom"/>
          </w:tcPr>
          <w:p>
            <w:pPr>
              <w:spacing w:after="0"/>
              <w:rPr>
                <w:sz w:val="18"/>
                <w:szCs w:val="18"/>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9: Commitments and Contingencies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5"/>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5080" w:type="dxa"/>
            <w:vAlign w:val="bottom"/>
            <w:gridSpan w:val="19"/>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120" w:type="dxa"/>
            <w:vAlign w:val="bottom"/>
            <w:gridSpan w:val="21"/>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6"/>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3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2120" w:type="dxa"/>
            <w:vAlign w:val="bottom"/>
            <w:gridSpan w:val="6"/>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for the three months ended March 31, 2024.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 Unless indicated otherwise, throughout this Quarterly Report on Form 10-Q, we refer to Comcast and its consolidated subsidiaries as “Comcast,” “we,” “us” and “our.”</w:t>
      </w:r>
    </w:p>
    <w:p>
      <w:pPr>
        <w:spacing w:after="0" w:line="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the words “believe,” “project,” “expect,” “anticipate,” “estimate,” “intend,” “potential,” “strategy,” “future,” “opportunity,” “commit,” “plan,” “goal,” “may,” “should,” “could,” “will,” “would,” “will be,” “will continue,” “will likely result” and similar expressions. In evaluating forward-looking statements, you should consider various factors, including the risks and uncertainties we describe in the “Risk Factors” sections of our Forms 10-K and 10-Q and in other reports we file with the SEC.</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factors could cause our actual results to differ materially from those expressed or implied by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63" w:lineRule="exact"/>
        <w:rPr>
          <w:sz w:val="20"/>
          <w:szCs w:val="20"/>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operate in highly competitive and dynamic industries, and our businesses and results of operations could be adversely affected if we do not compete effectively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continue to adversely affect our businesses and challenge existing business models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consumer acceptance of our content, and our businesses may be adversely affected if our content fails to achieve sufficient consumer acceptance</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on a per subscriber basis, which could adversely affect our video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agreements, or the renewal of these agreements on less favorable terms, could adversely affect our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63" w:lineRule="exact"/>
        <w:rPr>
          <w:rFonts w:ascii="Times New Roman" w:cs="Times New Roman" w:eastAsia="Times New Roman" w:hAnsi="Times New Roman"/>
          <w:sz w:val="18"/>
          <w:szCs w:val="18"/>
          <w:color w:val="auto"/>
        </w:rPr>
      </w:pPr>
    </w:p>
    <w:p>
      <w:pPr>
        <w:jc w:val="both"/>
        <w:ind w:left="660" w:right="9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initiatives present many risks, and we may not realize the financial and strategic goals that we had contemplated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and other uncontrollable events could adversely affect our business, reputation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impose additional costs and restrictions on our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779145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8"/>
          </w:cols>
          <w:pgMar w:left="652" w:top="1417" w:right="1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40" w:type="dxa"/>
            <w:vAlign w:val="bottom"/>
          </w:tcPr>
          <w:p>
            <w:pPr>
              <w:spacing w:after="0"/>
              <w:rPr>
                <w:sz w:val="13"/>
                <w:szCs w:val="13"/>
                <w:color w:val="auto"/>
              </w:rPr>
            </w:pPr>
          </w:p>
        </w:tc>
      </w:tr>
      <w:tr>
        <w:trPr>
          <w:trHeight w:val="192"/>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840" w:type="dxa"/>
            <w:vAlign w:val="bottom"/>
            <w:tcBorders>
              <w:bottom w:val="single" w:sz="8" w:color="auto"/>
            </w:tcBorders>
          </w:tcPr>
          <w:p>
            <w:pPr>
              <w:spacing w:after="0"/>
              <w:rPr>
                <w:sz w:val="16"/>
                <w:szCs w:val="16"/>
                <w:color w:val="auto"/>
              </w:rPr>
            </w:pPr>
          </w:p>
        </w:tc>
      </w:tr>
      <w:tr>
        <w:trPr>
          <w:trHeight w:val="196"/>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w w:val="99"/>
              </w:rPr>
              <w:t>2023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30,058</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29,691</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8,823</w:t>
            </w: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and promotion</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2,018</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9,857</w:t>
            </w: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2,175</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r>
      <w:tr>
        <w:trPr>
          <w:trHeight w:val="229"/>
        </w:trPr>
        <w:tc>
          <w:tcPr>
            <w:tcW w:w="8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1,376</w:t>
            </w:r>
          </w:p>
        </w:tc>
        <w:tc>
          <w:tcPr>
            <w:tcW w:w="6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23"/>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24,248</w:t>
            </w: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5,810</w:t>
            </w: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(1,002)</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298</w:t>
            </w:r>
          </w:p>
        </w:tc>
        <w:tc>
          <w:tcPr>
            <w:tcW w:w="6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5,105</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r>
      <w:tr>
        <w:trPr>
          <w:trHeight w:val="229"/>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(1,328)</w:t>
            </w:r>
          </w:p>
        </w:tc>
        <w:tc>
          <w:tcPr>
            <w:tcW w:w="6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3,777</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c>
          <w:tcPr>
            <w:tcW w:w="6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3,857</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 Corporation shareholders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0.97</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0.91</w:t>
            </w:r>
          </w:p>
        </w:tc>
      </w:tr>
      <w:tr>
        <w:trPr>
          <w:trHeight w:val="236"/>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 Corporation shareholders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0.97</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0.91</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6"/>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3,777</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 (expense) benefit: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$(21) and $(2)</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gains (losses), net of deferred taxes of $(1) and $9</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Realized (gains) losses reclassified to net income, net of deferred taxes of $(1) and $8</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 obligations and other, net of deferred taxes of $5 and $1</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(440)</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3,337</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Comcast Corporation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3,429</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4,547</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6"/>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3,777</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3,551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373</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 (income),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643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Film and television costs,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124</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7,848</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7,228</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(679)</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 of Universal Beijing Resort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businesses and investments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274</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35</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(3,511)</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(repayments of) short-term borrowings,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and repayments of debt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(2,664)</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97</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(4,023)</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currency on cash, cash equivalents and restricted cash</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6,282</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6,586</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5,577</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380" w:type="dxa"/>
            <w:vAlign w:val="bottom"/>
          </w:tcPr>
          <w:p>
            <w:pPr>
              <w:spacing w:after="0"/>
              <w:rPr>
                <w:sz w:val="13"/>
                <w:szCs w:val="13"/>
                <w:color w:val="auto"/>
              </w:rPr>
            </w:pPr>
          </w:p>
        </w:tc>
        <w:tc>
          <w:tcPr>
            <w:tcW w:w="1260" w:type="dxa"/>
            <w:vAlign w:val="bottom"/>
          </w:tcPr>
          <w:p>
            <w:pPr>
              <w:jc w:val="right"/>
              <w:ind w:right="431"/>
              <w:spacing w:after="0"/>
              <w:rPr>
                <w:sz w:val="20"/>
                <w:szCs w:val="20"/>
                <w:color w:val="auto"/>
              </w:rPr>
            </w:pPr>
            <w:r>
              <w:rPr>
                <w:rFonts w:ascii="Times New Roman" w:cs="Times New Roman" w:eastAsia="Times New Roman" w:hAnsi="Times New Roman"/>
                <w:sz w:val="14"/>
                <w:szCs w:val="14"/>
                <w:color w:val="auto"/>
              </w:rPr>
              <w:t>March 31,</w:t>
            </w:r>
          </w:p>
        </w:tc>
        <w:tc>
          <w:tcPr>
            <w:tcW w:w="320" w:type="dxa"/>
            <w:vAlign w:val="bottom"/>
          </w:tcPr>
          <w:p>
            <w:pPr>
              <w:spacing w:after="0"/>
              <w:rPr>
                <w:sz w:val="13"/>
                <w:szCs w:val="13"/>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6,515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13,144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4,319</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23,978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12,757</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9,548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$59,163 and $58,701</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59,918</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59,686</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58,668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59,365</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59,365</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$31,023 and $30,290</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27,063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12,304</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263,601</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264,811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11,792</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participations and residuals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1,583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3,446</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11,834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debt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2,502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Advance on sale of investment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9,167</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40,324</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40,198</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94,071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25,978</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19,935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stock—authorized, 20,000,000 shares; issued, zero</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value—authorized, 7,500,000,000 shares; issued, 4,798,654,750 and</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4,842,108,959; outstanding, 3,925,863,722 and 3,969,317,931</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$0.01 par value—authorized, 75,000,000 shares; issued and outstanding, 9,444,375</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38,274</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38,533</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53,425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872,791,028 Class A common shares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(7,517)</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(1,680)</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Comcast Corporation shareholders’ equity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82,549</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82,703</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83,049</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263,601</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264,811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Pr>
          <w:p>
            <w:pPr>
              <w:spacing w:after="0"/>
              <w:rPr>
                <w:sz w:val="13"/>
                <w:szCs w:val="13"/>
                <w:color w:val="auto"/>
              </w:rPr>
            </w:pPr>
          </w:p>
        </w:tc>
      </w:tr>
      <w:tr>
        <w:trPr>
          <w:trHeight w:val="196"/>
        </w:trPr>
        <w:tc>
          <w:tcPr>
            <w:tcW w:w="8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880" w:type="dxa"/>
            <w:vAlign w:val="bottom"/>
            <w:tcBorders>
              <w:bottom w:val="single" w:sz="8" w:color="auto"/>
            </w:tcBorders>
          </w:tcPr>
          <w:p>
            <w:pPr>
              <w:spacing w:after="0"/>
              <w:rPr>
                <w:sz w:val="17"/>
                <w:szCs w:val="17"/>
                <w:color w:val="auto"/>
              </w:rPr>
            </w:pPr>
          </w:p>
        </w:tc>
      </w:tr>
      <w:tr>
        <w:trPr>
          <w:trHeight w:val="196"/>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241</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1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243</w:t>
            </w:r>
          </w:p>
        </w:tc>
        <w:tc>
          <w:tcPr>
            <w:tcW w:w="6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r>
      <w:tr>
        <w:trPr>
          <w:trHeight w:val="41"/>
        </w:trPr>
        <w:tc>
          <w:tcPr>
            <w:tcW w:w="8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48</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8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8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48</w:t>
            </w:r>
          </w:p>
        </w:tc>
        <w:tc>
          <w:tcPr>
            <w:tcW w:w="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30"/>
        </w:trPr>
        <w:tc>
          <w:tcPr>
            <w:tcW w:w="81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38,533</w:t>
            </w:r>
          </w:p>
        </w:tc>
        <w:tc>
          <w:tcPr>
            <w:tcW w:w="6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39,412</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323</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(645)</w:t>
            </w: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Issuances of common stock under employee plans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62</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8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2"/>
        </w:trPr>
        <w:tc>
          <w:tcPr>
            <w:tcW w:w="8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38,274</w:t>
            </w:r>
          </w:p>
        </w:tc>
        <w:tc>
          <w:tcPr>
            <w:tcW w:w="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39,262</w:t>
            </w:r>
          </w:p>
        </w:tc>
      </w:tr>
      <w:tr>
        <w:trPr>
          <w:trHeight w:val="229"/>
        </w:trPr>
        <w:tc>
          <w:tcPr>
            <w:tcW w:w="81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52,892</w:t>
            </w:r>
          </w:p>
        </w:tc>
        <w:tc>
          <w:tcPr>
            <w:tcW w:w="6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51,609</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(2,082)</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declared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(1,243)</w:t>
            </w: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30"/>
        </w:trPr>
        <w:tc>
          <w:tcPr>
            <w:tcW w:w="8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3,857</w:t>
            </w: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r>
      <w:tr>
        <w:trPr>
          <w:trHeight w:val="223"/>
        </w:trPr>
        <w:tc>
          <w:tcPr>
            <w:tcW w:w="8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53,425</w:t>
            </w:r>
          </w:p>
        </w:tc>
        <w:tc>
          <w:tcPr>
            <w:tcW w:w="6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52,524</w:t>
            </w:r>
          </w:p>
        </w:tc>
      </w:tr>
      <w:tr>
        <w:trPr>
          <w:trHeight w:val="34"/>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 at Cost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beginning and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(7,517)</w:t>
            </w:r>
          </w:p>
        </w:tc>
        <w:tc>
          <w:tcPr>
            <w:tcW w:w="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r>
      <w:tr>
        <w:trPr>
          <w:trHeight w:val="75"/>
        </w:trPr>
        <w:tc>
          <w:tcPr>
            <w:tcW w:w="81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(1,253)</w:t>
            </w:r>
          </w:p>
        </w:tc>
        <w:tc>
          <w:tcPr>
            <w:tcW w:w="6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30"/>
        </w:trPr>
        <w:tc>
          <w:tcPr>
            <w:tcW w:w="8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(427)</w:t>
            </w: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23"/>
        </w:trPr>
        <w:tc>
          <w:tcPr>
            <w:tcW w:w="8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(1,680)</w:t>
            </w:r>
          </w:p>
        </w:tc>
        <w:tc>
          <w:tcPr>
            <w:tcW w:w="6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(1,898)</w:t>
            </w:r>
          </w:p>
        </w:tc>
      </w:tr>
      <w:tr>
        <w:trPr>
          <w:trHeight w:val="34"/>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523</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81</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(91)</w:t>
            </w: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8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500</w:t>
            </w:r>
          </w:p>
        </w:tc>
        <w:tc>
          <w:tcPr>
            <w:tcW w:w="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r>
      <w:tr>
        <w:trPr>
          <w:trHeight w:val="216"/>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83,049</w:t>
            </w:r>
          </w:p>
        </w:tc>
        <w:tc>
          <w:tcPr>
            <w:tcW w:w="6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83,033</w:t>
            </w:r>
          </w:p>
        </w:tc>
      </w:tr>
      <w:tr>
        <w:trPr>
          <w:trHeight w:val="237"/>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dividends declared per common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0.31</w:t>
            </w:r>
          </w:p>
        </w:tc>
        <w:tc>
          <w:tcPr>
            <w:tcW w:w="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0.29</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200"/>
        <w:spacing w:after="0" w:line="285"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2023 Annual Report on Form 10-K.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Disclosures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updated accounting guidance related to annual and interim segment disclosures. The updated accounting guidance, among other things, requires disclosure of certain significant segment expenses. We will adopt the updated accounting guidance in our Annual Report on Form 10-K for the year ended December 31, 2024.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Disclosures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updated accounting guidance related to income tax disclosures. The updated accounting guidance, among other things, requires additional disclosure primarily related to the income tax rate reconciliation and income taxes paid. We will adopt the updated accounting guidance in our Annual Report on Form 10-K for the year ended December 31, 2025.</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media and technology company with two primary businesses: Connectivity &amp; Platforms and Content &amp; Experiences. We present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(1) our Connectivity &amp; Platforms business in two segments: Residential Connectivity &amp; Platforms and Business Services Connectivity;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our Content &amp; Experiences business in three segments: Media, Studios and Theme Parks.</w:t>
      </w:r>
    </w:p>
    <w:p>
      <w:pPr>
        <w:spacing w:after="0" w:line="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data by segment is presented in the tables below. We do not present asset information for our segments as this information is not used to allocate resources and capital.</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right"/>
              <w:ind w:right="553"/>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9"/>
                <w:szCs w:val="19"/>
                <w:color w:val="auto"/>
              </w:rPr>
            </w:pPr>
          </w:p>
        </w:tc>
        <w:tc>
          <w:tcPr>
            <w:tcW w:w="128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18"/>
                <w:szCs w:val="18"/>
                <w:color w:val="auto"/>
                <w:vertAlign w:val="superscript"/>
              </w:rPr>
              <w:t>(a)</w:t>
            </w:r>
          </w:p>
        </w:tc>
        <w:tc>
          <w:tcPr>
            <w:tcW w:w="160" w:type="dxa"/>
            <w:vAlign w:val="bottom"/>
          </w:tcPr>
          <w:p>
            <w:pPr>
              <w:spacing w:after="0"/>
              <w:rPr>
                <w:sz w:val="19"/>
                <w:szCs w:val="19"/>
                <w:color w:val="auto"/>
              </w:rPr>
            </w:pPr>
          </w:p>
        </w:tc>
        <w:tc>
          <w:tcPr>
            <w:tcW w:w="14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(b)</w:t>
            </w:r>
          </w:p>
        </w:tc>
        <w:tc>
          <w:tcPr>
            <w:tcW w:w="300" w:type="dxa"/>
            <w:vAlign w:val="bottom"/>
          </w:tcPr>
          <w:p>
            <w:pPr>
              <w:spacing w:after="0"/>
              <w:rPr>
                <w:sz w:val="19"/>
                <w:szCs w:val="19"/>
                <w:color w:val="auto"/>
              </w:rPr>
            </w:pPr>
          </w:p>
        </w:tc>
        <w:tc>
          <w:tcPr>
            <w:tcW w:w="126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18"/>
                <w:szCs w:val="18"/>
                <w:color w:val="auto"/>
                <w:vertAlign w:val="superscript"/>
              </w:rPr>
              <w:t>(a)</w:t>
            </w:r>
          </w:p>
        </w:tc>
        <w:tc>
          <w:tcPr>
            <w:tcW w:w="18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(b)</w:t>
            </w:r>
          </w:p>
        </w:tc>
      </w:tr>
      <w:tr>
        <w:trPr>
          <w:trHeight w:val="223"/>
        </w:trPr>
        <w:tc>
          <w:tcPr>
            <w:tcW w:w="40" w:type="dxa"/>
            <w:vAlign w:val="bottom"/>
          </w:tcPr>
          <w:p>
            <w:pPr>
              <w:spacing w:after="0"/>
              <w:rPr>
                <w:sz w:val="19"/>
                <w:szCs w:val="19"/>
                <w:color w:val="auto"/>
              </w:rPr>
            </w:pPr>
          </w:p>
        </w:tc>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Connectivity &amp; Platforms</w:t>
            </w:r>
          </w:p>
        </w:tc>
        <w:tc>
          <w:tcPr>
            <w:tcW w:w="3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Connectivity &amp; Platforms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&amp; Experiences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Media</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Studios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Theme Parks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Headquarters and Other</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900" w:type="dxa"/>
            <w:vAlign w:val="bottom"/>
            <w:tcBorders>
              <w:bottom w:val="single" w:sz="8" w:color="auto"/>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&amp; Experiences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9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Comcast Consolidated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30,058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9,355</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29,691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9,415</w:t>
            </w:r>
          </w:p>
        </w:tc>
        <w:tc>
          <w:tcPr>
            <w:tcW w:w="20" w:type="dxa"/>
            <w:vAlign w:val="bottom"/>
          </w:tcPr>
          <w:p>
            <w:pPr>
              <w:spacing w:after="0"/>
              <w:rPr>
                <w:sz w:val="20"/>
                <w:szCs w:val="20"/>
                <w:color w:val="auto"/>
              </w:rPr>
            </w:pPr>
          </w:p>
        </w:tc>
      </w:tr>
      <w:tr>
        <w:trPr>
          <w:trHeight w:val="796"/>
        </w:trPr>
        <w:tc>
          <w:tcPr>
            <w:tcW w:w="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0" w:type="dxa"/>
            <w:vAlign w:val="bottom"/>
            <w:tcBorders>
              <w:bottom w:val="single" w:sz="8" w:color="9A9A9A"/>
            </w:tcBorders>
          </w:tcPr>
          <w:p>
            <w:pPr>
              <w:spacing w:after="0"/>
              <w:rPr>
                <w:sz w:val="19"/>
                <w:szCs w:val="19"/>
                <w:color w:val="auto"/>
              </w:rPr>
            </w:pPr>
          </w:p>
        </w:tc>
        <w:tc>
          <w:tcPr>
            <w:tcW w:w="49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53" w:lineRule="exact"/>
        <w:rPr>
          <w:sz w:val="20"/>
          <w:szCs w:val="20"/>
          <w:color w:val="auto"/>
        </w:rPr>
      </w:pPr>
    </w:p>
    <w:p>
      <w:pPr>
        <w:ind w:left="340" w:hanging="332"/>
        <w:spacing w:after="0" w:line="282"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Eliminations are transactions that our segments enter into with one another. The most significant of these transactions include distribution revenue in Media related to fees from Residential Connectivity &amp; Platforms for the rights to distribute television programming and content licensing revenue in Studios for licenses of owned content to Media.</w:t>
      </w:r>
    </w:p>
    <w:p>
      <w:pPr>
        <w:spacing w:after="0" w:line="121"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summary of revenue for each of our segments resulting from transactions with other segments and eliminated in consolidation is presented in the table below.</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3"/>
          </w:tcPr>
          <w:p>
            <w:pPr>
              <w:jc w:val="right"/>
              <w:ind w:right="688"/>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2"/>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196"/>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2023</w:t>
            </w: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Connectivity &amp; Platforms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Residential Connectivity &amp; Platforms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w:t>
            </w:r>
          </w:p>
        </w:tc>
        <w:tc>
          <w:tcPr>
            <w:tcW w:w="4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Business Services Connectivity</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Content &amp; Experiences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1,149</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w:t>
            </w:r>
          </w:p>
        </w:tc>
      </w:tr>
      <w:tr>
        <w:trPr>
          <w:trHeight w:val="195"/>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Studios</w:t>
            </w:r>
          </w:p>
        </w:tc>
        <w:tc>
          <w:tcPr>
            <w:tcW w:w="3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838</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Headquarters and Other</w:t>
            </w:r>
          </w:p>
        </w:tc>
        <w:tc>
          <w:tcPr>
            <w:tcW w:w="3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3"/>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w:t>
            </w: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09"/>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intersegment revenue</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2,089</w:t>
            </w:r>
          </w:p>
        </w:tc>
        <w:tc>
          <w:tcPr>
            <w:tcW w:w="4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2,244</w:t>
            </w:r>
          </w:p>
        </w:tc>
      </w:tr>
    </w:tbl>
    <w:p>
      <w:pPr>
        <w:spacing w:after="0" w:line="139" w:lineRule="exact"/>
        <w:rPr>
          <w:sz w:val="20"/>
          <w:szCs w:val="20"/>
          <w:color w:val="auto"/>
        </w:rPr>
      </w:pPr>
    </w:p>
    <w:p>
      <w:pPr>
        <w:jc w:val="both"/>
        <w:ind w:left="340" w:hanging="332"/>
        <w:spacing w:after="0" w:line="281"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Adjusted EBITDA as the measure of profit or loss for our operating segments. From time to time we may report the impact of certain events, gains, losses or other charges related to our operating segments within Corporate and Other. Our reconciliation of the aggregate amount of Adjusted EBITDA for our segments to consolidated income before income taxes is presented in the table below.</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3"/>
          </w:tcPr>
          <w:p>
            <w:pPr>
              <w:jc w:val="right"/>
              <w:ind w:right="688"/>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2"/>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196"/>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2023</w:t>
            </w: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9,355</w:t>
            </w:r>
          </w:p>
        </w:tc>
        <w:tc>
          <w:tcPr>
            <w:tcW w:w="4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9,415</w:t>
            </w: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30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(2,175)</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(1,376)</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(1,002)</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r>
      <w:tr>
        <w:trPr>
          <w:trHeight w:val="196"/>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and other income (loss), net</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298</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r>
      <w:tr>
        <w:trPr>
          <w:trHeight w:val="210"/>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5,105</w:t>
            </w:r>
          </w:p>
        </w:tc>
        <w:tc>
          <w:tcPr>
            <w:tcW w:w="4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w:t>
            </w:r>
          </w:p>
        </w:tc>
      </w:tr>
    </w:tbl>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Adjustments represent the impact of certain events, gains, losses or other charges that are excluded from Adjusted EBITDA, including costs related to our investment portfolio.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88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broadband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6,591</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wireless</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972</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30"/>
        </w:trPr>
        <w:tc>
          <w:tcPr>
            <w:tcW w:w="8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1,116</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8,679</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6,876</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951</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9"/>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1,362</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 &amp; Platforms</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17,868</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17,869</w:t>
            </w:r>
          </w:p>
        </w:tc>
      </w:tr>
      <w:tr>
        <w:trPr>
          <w:trHeight w:val="108"/>
        </w:trPr>
        <w:tc>
          <w:tcPr>
            <w:tcW w:w="8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r>
      <w:tr>
        <w:trPr>
          <w:trHeight w:val="229"/>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Business Services Connectivity</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2,407</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Connectivity &amp; Platforms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20,275</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20,153</w:t>
            </w:r>
          </w:p>
        </w:tc>
      </w:tr>
      <w:tr>
        <w:trPr>
          <w:trHeight w:val="108"/>
        </w:trPr>
        <w:tc>
          <w:tcPr>
            <w:tcW w:w="8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advertising</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distribution</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2,906</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networks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1,021</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420</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Media</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6,371</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r>
      <w:tr>
        <w:trPr>
          <w:trHeight w:val="108"/>
        </w:trPr>
        <w:tc>
          <w:tcPr>
            <w:tcW w:w="8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licensing</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2,101</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330</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312</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Studios</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2,743</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r>
      <w:tr>
        <w:trPr>
          <w:trHeight w:val="108"/>
        </w:trPr>
        <w:tc>
          <w:tcPr>
            <w:tcW w:w="8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Theme Parks</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1,979</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108"/>
        </w:trPr>
        <w:tc>
          <w:tcPr>
            <w:tcW w:w="8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1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(731)</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Content &amp; Experiences</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10,374</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w:t>
            </w:r>
          </w:p>
        </w:tc>
      </w:tr>
      <w:tr>
        <w:trPr>
          <w:trHeight w:val="108"/>
        </w:trPr>
        <w:tc>
          <w:tcPr>
            <w:tcW w:w="8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767</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30"/>
        </w:trPr>
        <w:tc>
          <w:tcPr>
            <w:tcW w:w="81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(1,358)</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30,058</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29,691</w:t>
            </w:r>
          </w:p>
        </w:tc>
      </w:tr>
    </w:tbl>
    <w:p>
      <w:pPr>
        <w:spacing w:after="0" w:line="139"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Eliminations are transactions that our segments enter into with one another. See Note 2 for additional information on these transactions.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140" w:type="dxa"/>
            <w:vAlign w:val="bottom"/>
          </w:tcPr>
          <w:p>
            <w:pPr>
              <w:spacing w:after="0"/>
              <w:rPr>
                <w:sz w:val="13"/>
                <w:szCs w:val="13"/>
                <w:color w:val="auto"/>
              </w:rPr>
            </w:pPr>
          </w:p>
        </w:tc>
        <w:tc>
          <w:tcPr>
            <w:tcW w:w="1240" w:type="dxa"/>
            <w:vAlign w:val="bottom"/>
          </w:tcPr>
          <w:p>
            <w:pPr>
              <w:jc w:val="right"/>
              <w:ind w:right="417"/>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13"/>
                <w:szCs w:val="13"/>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300" w:type="dxa"/>
            <w:vAlign w:val="bottom"/>
            <w:tcBorders>
              <w:bottom w:val="single" w:sz="8" w:color="auto"/>
            </w:tcBorders>
            <w:vMerge w:val="continue"/>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gross</w:t>
            </w:r>
          </w:p>
        </w:tc>
        <w:tc>
          <w:tcPr>
            <w:tcW w:w="3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13,860</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716</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3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13,144</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other balances that are not separately presented in our condensed consolidated balance sheets that relate to the recognition of revenue and collection of the related cash.</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20" w:type="dxa"/>
            <w:vAlign w:val="bottom"/>
          </w:tcPr>
          <w:p>
            <w:pPr>
              <w:spacing w:after="0"/>
              <w:rPr>
                <w:sz w:val="13"/>
                <w:szCs w:val="13"/>
                <w:color w:val="auto"/>
              </w:rPr>
            </w:pPr>
          </w:p>
        </w:tc>
        <w:tc>
          <w:tcPr>
            <w:tcW w:w="1240" w:type="dxa"/>
            <w:vAlign w:val="bottom"/>
          </w:tcPr>
          <w:p>
            <w:pPr>
              <w:jc w:val="right"/>
              <w:ind w:right="419"/>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13"/>
                <w:szCs w:val="13"/>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66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1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1,899</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deferred revenue (included in other noncurrent liabilities)</w:t>
            </w:r>
          </w:p>
        </w:tc>
        <w:tc>
          <w:tcPr>
            <w:tcW w:w="1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622</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accounts receivables include amounts not yet billed related to equipment installment plans, as summarized in the table below.</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980" w:type="dxa"/>
            <w:vAlign w:val="bottom"/>
          </w:tcPr>
          <w:p>
            <w:pPr>
              <w:jc w:val="center"/>
              <w:ind w:left="3388"/>
              <w:spacing w:after="0"/>
              <w:rPr>
                <w:sz w:val="20"/>
                <w:szCs w:val="20"/>
                <w:color w:val="auto"/>
              </w:rPr>
            </w:pPr>
            <w:r>
              <w:rPr>
                <w:rFonts w:ascii="Times New Roman" w:cs="Times New Roman" w:eastAsia="Times New Roman" w:hAnsi="Times New Roman"/>
                <w:sz w:val="14"/>
                <w:szCs w:val="14"/>
                <w:color w:val="auto"/>
              </w:rPr>
              <w:t>March 31,</w:t>
            </w:r>
          </w:p>
        </w:tc>
        <w:tc>
          <w:tcPr>
            <w:tcW w:w="128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8"/>
        </w:trPr>
        <w:tc>
          <w:tcPr>
            <w:tcW w:w="4660" w:type="dxa"/>
            <w:vAlign w:val="bottom"/>
            <w:vMerge w:val="continue"/>
          </w:tcPr>
          <w:p>
            <w:pPr>
              <w:spacing w:after="0"/>
              <w:rPr>
                <w:sz w:val="16"/>
                <w:szCs w:val="16"/>
                <w:color w:val="auto"/>
              </w:rPr>
            </w:pPr>
          </w:p>
        </w:tc>
        <w:tc>
          <w:tcPr>
            <w:tcW w:w="49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2024</w:t>
            </w: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1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1,708</w:t>
            </w:r>
          </w:p>
        </w:tc>
        <w:tc>
          <w:tcPr>
            <w:tcW w:w="64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29"/>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2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1,201</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2,909</w:t>
            </w:r>
          </w:p>
        </w:tc>
        <w:tc>
          <w:tcPr>
            <w:tcW w:w="6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2,918</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Programming and Production Costs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Pr>
          <w:p>
            <w:pPr>
              <w:spacing w:after="0"/>
              <w:rPr>
                <w:sz w:val="13"/>
                <w:szCs w:val="13"/>
                <w:color w:val="auto"/>
              </w:rPr>
            </w:pPr>
          </w:p>
        </w:tc>
      </w:tr>
      <w:tr>
        <w:trPr>
          <w:trHeight w:val="192"/>
        </w:trPr>
        <w:tc>
          <w:tcPr>
            <w:tcW w:w="8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880" w:type="dxa"/>
            <w:vAlign w:val="bottom"/>
            <w:tcBorders>
              <w:bottom w:val="single" w:sz="8" w:color="auto"/>
            </w:tcBorders>
          </w:tcPr>
          <w:p>
            <w:pPr>
              <w:spacing w:after="0"/>
              <w:rPr>
                <w:sz w:val="16"/>
                <w:szCs w:val="16"/>
                <w:color w:val="auto"/>
              </w:rPr>
            </w:pPr>
          </w:p>
        </w:tc>
      </w:tr>
      <w:tr>
        <w:trPr>
          <w:trHeight w:val="196"/>
        </w:trPr>
        <w:tc>
          <w:tcPr>
            <w:tcW w:w="8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 distribution programming</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3,020</w:t>
            </w: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and television content: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1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Owned</w:t>
            </w:r>
            <w:r>
              <w:rPr>
                <w:rFonts w:ascii="Times New Roman" w:cs="Times New Roman" w:eastAsia="Times New Roman" w:hAnsi="Times New Roman"/>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2,562</w:t>
            </w: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r>
      <w:tr>
        <w:trPr>
          <w:trHeight w:val="229"/>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34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2,924</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r>
      <w:tr>
        <w:trPr>
          <w:trHeight w:val="230"/>
        </w:trPr>
        <w:tc>
          <w:tcPr>
            <w:tcW w:w="8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317</w:t>
            </w: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8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8,823</w:t>
            </w: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9,004</w:t>
            </w:r>
          </w:p>
        </w:tc>
      </w:tr>
    </w:tbl>
    <w:p>
      <w:pPr>
        <w:spacing w:after="0" w:line="180" w:lineRule="exact"/>
        <w:rPr>
          <w:sz w:val="20"/>
          <w:szCs w:val="20"/>
          <w:color w:val="auto"/>
        </w:rPr>
      </w:pPr>
    </w:p>
    <w:p>
      <w:pPr>
        <w:ind w:firstLine="8"/>
        <w:spacing w:after="0" w:line="261" w:lineRule="auto"/>
        <w:tabs>
          <w:tab w:leader="none" w:pos="20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amortization of owned content of $2.1 billion and $2.2 billion for the three months ended March 31, 2024 and 2023, respectively, as well as participations and residuals expenses.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Film and Television Costs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0" w:type="dxa"/>
            <w:vAlign w:val="bottom"/>
          </w:tcPr>
          <w:p>
            <w:pPr>
              <w:spacing w:after="0"/>
              <w:rPr>
                <w:sz w:val="13"/>
                <w:szCs w:val="13"/>
                <w:color w:val="auto"/>
              </w:rPr>
            </w:pPr>
          </w:p>
        </w:tc>
        <w:tc>
          <w:tcPr>
            <w:tcW w:w="124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44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0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3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2,821</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Completed, not released</w:t>
            </w:r>
          </w:p>
        </w:tc>
        <w:tc>
          <w:tcPr>
            <w:tcW w:w="3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383</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3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4,188</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7,392</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3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5,365</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Film and television costs</w:t>
            </w:r>
          </w:p>
        </w:tc>
        <w:tc>
          <w:tcPr>
            <w:tcW w:w="3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12,757</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12,920</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Debt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our debt had a carrying value of $96.6 billion and an estimated fair value of $89.5 billion. As of December 31, 2023, our debt had a carrying value of $97.1 billion and an estimated fair value of $92.2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 and Variable Interest Entities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2"/>
          </w:tcPr>
          <w:p>
            <w:pPr>
              <w:jc w:val="center"/>
              <w:ind w:left="458"/>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Pr>
          <w:p>
            <w:pPr>
              <w:spacing w:after="0"/>
              <w:rPr>
                <w:sz w:val="13"/>
                <w:szCs w:val="13"/>
                <w:color w:val="auto"/>
              </w:rPr>
            </w:pPr>
          </w:p>
        </w:tc>
      </w:tr>
      <w:tr>
        <w:trPr>
          <w:trHeight w:val="192"/>
        </w:trPr>
        <w:tc>
          <w:tcPr>
            <w:tcW w:w="8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left="478"/>
              <w:spacing w:after="0"/>
              <w:rPr>
                <w:sz w:val="20"/>
                <w:szCs w:val="20"/>
                <w:color w:val="auto"/>
              </w:rPr>
            </w:pPr>
            <w:r>
              <w:rPr>
                <w:rFonts w:ascii="Times New Roman" w:cs="Times New Roman" w:eastAsia="Times New Roman" w:hAnsi="Times New Roman"/>
                <w:sz w:val="14"/>
                <w:szCs w:val="14"/>
                <w:color w:val="auto"/>
              </w:rPr>
              <w:t>March 31,</w:t>
            </w:r>
          </w:p>
        </w:tc>
        <w:tc>
          <w:tcPr>
            <w:tcW w:w="880" w:type="dxa"/>
            <w:vAlign w:val="bottom"/>
            <w:tcBorders>
              <w:bottom w:val="single" w:sz="8" w:color="auto"/>
            </w:tcBorders>
          </w:tcPr>
          <w:p>
            <w:pPr>
              <w:spacing w:after="0"/>
              <w:rPr>
                <w:sz w:val="16"/>
                <w:szCs w:val="16"/>
                <w:color w:val="auto"/>
              </w:rPr>
            </w:pPr>
          </w:p>
        </w:tc>
      </w:tr>
      <w:tr>
        <w:trPr>
          <w:trHeight w:val="196"/>
        </w:trPr>
        <w:tc>
          <w:tcPr>
            <w:tcW w:w="8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w w:val="99"/>
              </w:rPr>
              <w:t>2023</w:t>
            </w:r>
          </w:p>
        </w:tc>
      </w:tr>
      <w:tr>
        <w:trPr>
          <w:trHeight w:val="229"/>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158</w:t>
            </w:r>
          </w:p>
        </w:tc>
        <w:tc>
          <w:tcPr>
            <w:tcW w:w="6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320" w:type="dxa"/>
            <w:vAlign w:val="bottom"/>
          </w:tcPr>
          <w:p>
            <w:pPr>
              <w:spacing w:after="0"/>
              <w:rPr>
                <w:sz w:val="19"/>
                <w:szCs w:val="19"/>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191</w:t>
            </w: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8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Investment and other income (loss), net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298</w:t>
            </w:r>
          </w:p>
        </w:tc>
        <w:tc>
          <w:tcPr>
            <w:tcW w:w="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unrealized gains (losses), net recognized in the three months ended March 31, 2024 and 2023 that related to marketable and nonmarketable equity securities still held as of the end of each reporting period was $(70) million and $(24) million,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160" w:type="dxa"/>
            <w:vAlign w:val="bottom"/>
          </w:tcPr>
          <w:p>
            <w:pPr>
              <w:spacing w:after="0"/>
              <w:rPr>
                <w:sz w:val="13"/>
                <w:szCs w:val="13"/>
                <w:color w:val="auto"/>
              </w:rPr>
            </w:pPr>
          </w:p>
        </w:tc>
        <w:tc>
          <w:tcPr>
            <w:tcW w:w="1240" w:type="dxa"/>
            <w:vAlign w:val="bottom"/>
          </w:tcPr>
          <w:p>
            <w:pPr>
              <w:jc w:val="right"/>
              <w:ind w:right="414"/>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13"/>
                <w:szCs w:val="13"/>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280" w:type="dxa"/>
            <w:vAlign w:val="bottom"/>
            <w:tcBorders>
              <w:bottom w:val="single" w:sz="8" w:color="auto"/>
            </w:tcBorders>
            <w:vMerge w:val="continue"/>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w:t>
            </w:r>
          </w:p>
        </w:tc>
        <w:tc>
          <w:tcPr>
            <w:tcW w:w="3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7,850</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16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3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1,410</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562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9,878</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investments</w:t>
            </w:r>
          </w:p>
        </w:tc>
        <w:tc>
          <w:tcPr>
            <w:tcW w:w="3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330</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investments</w:t>
            </w:r>
          </w:p>
        </w:tc>
        <w:tc>
          <w:tcPr>
            <w:tcW w:w="3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9,548</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9,385</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cash distributions received from equity method investments presented within operating activities in the condensed consolidated statements of cash flows in the three months ended March 31, 2024 and 2023 was $32 million and $20 million,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Atairos is a variable interest entity (“VIE”) that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three months ended March 31, 2024 and 2023, we made cash capital contributions to Atairos totaling $13 million and $14 million, respectively. As of March 31, 2024 and December 31, 2023, our investment in Atairos, inclusive of certain distributions retained by Atairos on our behalf and classified as advances within other investments, was $5.7 billion and $5.5 billion, respectively. As of March 31, 2024, our remaining unfunded capital commitment was $1.4 billion.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investments also includes investments in certain short-term instruments, which totaled $259 million and $254 million as of March 31, 2024 and December 31, 2023, respectively. The carrying amounts of these investments approximate their fair values, which are primarily based on Level 2 inputs that use interest rates for instruments with similar terms and remaining maturities. Proceeds from short-term instruments for the three months ended March 31, 2024 and 2023 were $255 million and $304 million, respectively. Purchases of short-term instruments for the three months ended March 31, 2024 were $257 million. There were no purchases of short-term instruments for the three months ended March 31, 2023.</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Variable Interest Entity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Universal Beijing Resort</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a 30% interest in a Universal theme park and resort in Beijing, China (“Universal Beijing Resort”). Universal Beijing Resort is a consolidated VIE with the remaining interest owned by a consortium of Chinese state-owned companies. The construction was funded through a combination of debt financing and equity contributions from the partners in accordance with their equity interests. As of March 31, 2024, Universal Beijing Resort had $3.5 billion of debt outstanding, including $3.1 billion principal amount of a term loan outstanding under the debt financing agreement. As of December 31, 2023, Universal Beijing Resort had $3.5 billion of debt outstanding, including $3.1 billion principal amount of a term loan outstanding under the debt financing agreement.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our condensed consolidated balance sheets included assets and liabilities of Universal Beijing Resort totaling $7.5 billion and $7.1 billion, respectively. As of December 31, 2023, our condensed consolidated balance sheets included assets and liabilities of Universal Beijing Resort totaling $7.8 billion and $7.2 billion, respectively. The assets and liabilities of Universal Beijing Resort primarily consist of property and equipment, operating lease assets and liabilities, and debt.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Equity and Share-Based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Weighted-Average Common Shares Outstanding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21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color w:val="auto"/>
              </w:rPr>
              <w:t>March 31,</w:t>
            </w:r>
          </w:p>
        </w:tc>
        <w:tc>
          <w:tcPr>
            <w:tcW w:w="88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180" w:type="dxa"/>
            <w:vAlign w:val="bottom"/>
            <w:tcBorders>
              <w:bottom w:val="single" w:sz="8" w:color="auto"/>
            </w:tcBorders>
          </w:tcPr>
          <w:p>
            <w:pPr>
              <w:jc w:val="right"/>
              <w:ind w:right="1238"/>
              <w:spacing w:after="0"/>
              <w:rPr>
                <w:sz w:val="20"/>
                <w:szCs w:val="20"/>
                <w:color w:val="auto"/>
              </w:rPr>
            </w:pPr>
            <w:r>
              <w:rPr>
                <w:rFonts w:ascii="Times New Roman" w:cs="Times New Roman" w:eastAsia="Times New Roman" w:hAnsi="Times New Roman"/>
                <w:sz w:val="14"/>
                <w:szCs w:val="14"/>
                <w:color w:val="auto"/>
              </w:rPr>
              <w:t>2024</w:t>
            </w:r>
          </w:p>
        </w:tc>
        <w:tc>
          <w:tcPr>
            <w:tcW w:w="8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218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3,959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18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rPr>
              <w:t>34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2180" w:type="dxa"/>
            <w:vAlign w:val="bottom"/>
            <w:tcBorders>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3,992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Antidilutive securities</w:t>
            </w:r>
          </w:p>
        </w:tc>
        <w:tc>
          <w:tcPr>
            <w:tcW w:w="218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rPr>
              <w:t>162</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Weighted-average common shares outstanding used in calculating diluted earnings per common share attributable to Comcast Corporation shareholders (“diluted EPS”) considers the impact of potentially dilutive securities using the treasury stock method. Antidilutive securities represent the number of potential common shares related to share-based compensation awards that were excluded from diluted EPS because their effect would have been antidilutive.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40" w:type="dxa"/>
            <w:vAlign w:val="bottom"/>
          </w:tcPr>
          <w:p>
            <w:pPr>
              <w:spacing w:after="0"/>
              <w:rPr>
                <w:sz w:val="13"/>
                <w:szCs w:val="13"/>
                <w:color w:val="auto"/>
              </w:rPr>
            </w:pPr>
          </w:p>
        </w:tc>
        <w:tc>
          <w:tcPr>
            <w:tcW w:w="126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rPr>
              <w:t>March 31,</w:t>
            </w:r>
          </w:p>
        </w:tc>
        <w:tc>
          <w:tcPr>
            <w:tcW w:w="320" w:type="dxa"/>
            <w:vAlign w:val="bottom"/>
          </w:tcPr>
          <w:p>
            <w:pPr>
              <w:spacing w:after="0"/>
              <w:rPr>
                <w:sz w:val="13"/>
                <w:szCs w:val="13"/>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gains (losses) on cash flow hedges</w:t>
            </w:r>
          </w:p>
        </w:tc>
        <w:tc>
          <w:tcPr>
            <w:tcW w:w="1640" w:type="dxa"/>
            <w:vAlign w:val="bottom"/>
          </w:tcPr>
          <w:p>
            <w:pPr>
              <w:spacing w:after="0"/>
              <w:rPr>
                <w:sz w:val="19"/>
                <w:szCs w:val="19"/>
                <w:color w:val="auto"/>
              </w:rPr>
            </w:pP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gains (losses) on employee benefit obligations and other</w:t>
            </w:r>
          </w:p>
        </w:tc>
        <w:tc>
          <w:tcPr>
            <w:tcW w:w="1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net of deferred taxes</w:t>
            </w:r>
          </w:p>
        </w:tc>
        <w:tc>
          <w:tcPr>
            <w:tcW w:w="1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(1,680)</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restricted share units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we granted 31 million RSUs and 3 million stock options related to our annual management awards. The weighted-average fair values associated with these grants were $42.62 per RSU and $9.49 per stock option. During the three months ended March 31, 2024 and 2023, share-based compensation expense recognized in our condensed consolidated statements of income was $303 million and $295 million, respectively. As of March 31, 2024, we had unrecognized pretax compensation expense of $2.8 billion related to nonvested RSUs and nonvested stock options.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Supplemental 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731</w:t>
            </w: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349</w:t>
            </w: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w:t>
      </w:r>
    </w:p>
    <w:p>
      <w:pPr>
        <w:spacing w:after="0" w:line="7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$2.0 billion of property and equipment and intangible assets that were accrued but unpaid</w:t>
      </w:r>
    </w:p>
    <w:p>
      <w:pPr>
        <w:spacing w:after="0" w:line="76" w:lineRule="exact"/>
        <w:rPr>
          <w:rFonts w:ascii="Times New Roman" w:cs="Times New Roman" w:eastAsia="Times New Roman" w:hAnsi="Times New Roman"/>
          <w:sz w:val="18"/>
          <w:szCs w:val="18"/>
          <w:color w:val="auto"/>
        </w:rPr>
      </w:pPr>
    </w:p>
    <w:p>
      <w:pPr>
        <w:ind w:right="2400" w:firstLine="332"/>
        <w:spacing w:after="0" w:line="328" w:lineRule="auto"/>
        <w:tabs>
          <w:tab w:leader="none" w:pos="6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$0.31 per common share paid in April 2024 During the three months ended March 31, 2023:</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$2.1 billion of property and equipment and intangible assets that were accrued but unpaid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$0.29 per common share paid in April 2023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condensed consolidated balance sheets to the total of the amounts reported in our condensed 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80" w:type="dxa"/>
            <w:vAlign w:val="bottom"/>
          </w:tcPr>
          <w:p>
            <w:pPr>
              <w:spacing w:after="0"/>
              <w:rPr>
                <w:sz w:val="13"/>
                <w:szCs w:val="13"/>
                <w:color w:val="auto"/>
              </w:rPr>
            </w:pPr>
          </w:p>
        </w:tc>
        <w:tc>
          <w:tcPr>
            <w:tcW w:w="1240" w:type="dxa"/>
            <w:vAlign w:val="bottom"/>
          </w:tcPr>
          <w:p>
            <w:pPr>
              <w:jc w:val="right"/>
              <w:ind w:right="417"/>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13"/>
                <w:szCs w:val="13"/>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696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6,515</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noncurrent assets, net</w:t>
            </w:r>
          </w:p>
        </w:tc>
        <w:tc>
          <w:tcPr>
            <w:tcW w:w="1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6,586</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6,282</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760"/>
        <w:spacing w:after="0" w:line="267"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condensed consolidated financial statements and related notes (“Notes”) included in this Quarterly Report on Form 10-Q and our 2023 Annual Report on Form 10-K.</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media and technology company with two primary businesses: Connectivity &amp; Platforms and Content &amp; Experiences. We present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(1) our Connectivity &amp; Platforms business in two segments: Residential Connectivity &amp; Platforms and Business Services Connectivity;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our Content &amp; Experiences business in three segments: Media, Studios and Theme Parks.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3"/>
          </w:tcPr>
          <w:p>
            <w:pPr>
              <w:jc w:val="right"/>
              <w:ind w:right="891"/>
              <w:spacing w:after="0"/>
              <w:rPr>
                <w:sz w:val="20"/>
                <w:szCs w:val="20"/>
                <w:color w:val="auto"/>
              </w:rPr>
            </w:pPr>
            <w:r>
              <w:rPr>
                <w:rFonts w:ascii="Times New Roman" w:cs="Times New Roman" w:eastAsia="Times New Roman" w:hAnsi="Times New Roman"/>
                <w:sz w:val="14"/>
                <w:szCs w:val="14"/>
                <w:color w:val="auto"/>
              </w:rPr>
              <w:t>Three Months Ended</w:t>
            </w:r>
          </w:p>
        </w:tc>
        <w:tc>
          <w:tcPr>
            <w:tcW w:w="124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March 31,</w:t>
            </w:r>
          </w:p>
        </w:tc>
        <w:tc>
          <w:tcPr>
            <w:tcW w:w="1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color w:val="auto"/>
              </w:rPr>
              <w:t>2024</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30,058</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29,691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8,823</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9,004</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and promotion</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2,018</w:t>
            </w:r>
          </w:p>
        </w:tc>
        <w:tc>
          <w:tcPr>
            <w:tcW w:w="42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1,963</w:t>
            </w: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9,857</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9,301</w:t>
            </w:r>
          </w:p>
        </w:tc>
        <w:tc>
          <w:tcPr>
            <w:tcW w:w="12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2,175</w:t>
            </w:r>
          </w:p>
        </w:tc>
        <w:tc>
          <w:tcPr>
            <w:tcW w:w="42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2,264</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1,376</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1,513</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24,248</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24,045</w:t>
            </w:r>
          </w:p>
        </w:tc>
        <w:tc>
          <w:tcPr>
            <w:tcW w:w="12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5,810</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5,646</w:t>
            </w:r>
          </w:p>
        </w:tc>
        <w:tc>
          <w:tcPr>
            <w:tcW w:w="12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420" w:type="dxa"/>
            <w:vAlign w:val="bottom"/>
          </w:tcPr>
          <w:p>
            <w:pPr>
              <w:spacing w:after="0"/>
              <w:rPr>
                <w:sz w:val="19"/>
                <w:szCs w:val="19"/>
                <w:color w:val="auto"/>
              </w:rPr>
            </w:pPr>
          </w:p>
        </w:tc>
        <w:tc>
          <w:tcPr>
            <w:tcW w:w="11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(1,010)</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298</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607</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5,105</w:t>
            </w:r>
          </w:p>
        </w:tc>
        <w:tc>
          <w:tcPr>
            <w:tcW w:w="42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5,243</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(1,476)</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3,777</w:t>
            </w:r>
          </w:p>
        </w:tc>
        <w:tc>
          <w:tcPr>
            <w:tcW w:w="42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3,767</w:t>
            </w: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(67)</w:t>
            </w: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3,857</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3,834</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 Corporation shareholders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0.97</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0.91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6.9 %</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 Corporation shareholders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0.97</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0.91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6.5 %</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3,959</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4,208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3,992</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4,227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88"/>
        </w:trPr>
        <w:tc>
          <w:tcPr>
            <w:tcW w:w="712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9,355</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9,415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60" w:hanging="252"/>
        <w:spacing w:after="0" w:line="302" w:lineRule="auto"/>
        <w:tabs>
          <w:tab w:leader="none" w:pos="25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the “Non-GAAP Financial Measures” section on page 22 for additional information, including our definition and our use of Adjusted EBITDA, and for a reconciliation from net income attributable to Comcast Corporation to Adjusted EBITDA.</w:t>
      </w:r>
    </w:p>
    <w:p>
      <w:pPr>
        <w:spacing w:after="0" w:line="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Consolidated revenue </w:t>
      </w:r>
      <w:r>
        <w:rPr>
          <w:rFonts w:ascii="Times New Roman" w:cs="Times New Roman" w:eastAsia="Times New Roman" w:hAnsi="Times New Roman"/>
          <w:sz w:val="18"/>
          <w:szCs w:val="18"/>
          <w:color w:val="auto"/>
        </w:rPr>
        <w:t>increased for the three months ended March 31, 2024 compared to the same period in 2023 primarily driven by an increase in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Content &amp; Experiences business and in Corporate and Other. Revenue for our segments and other businesses is discussed separately below under the heading “Segment Operating Results.”</w:t>
      </w:r>
    </w:p>
    <w:p>
      <w:pPr>
        <w:spacing w:after="0" w:line="6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Consolidated costs and expenses</w:t>
      </w:r>
      <w:r>
        <w:rPr>
          <w:rFonts w:ascii="Times New Roman" w:cs="Times New Roman" w:eastAsia="Times New Roman" w:hAnsi="Times New Roman"/>
          <w:sz w:val="18"/>
          <w:szCs w:val="18"/>
          <w:color w:val="auto"/>
        </w:rPr>
        <w:t>, excluding depreciation and amortization expense, increased for the three months ended March 31, 2024 primarily</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driven by increases in the Content &amp; Experiences business and in Corporate and Other. Costs and expenses for our segments and our corporate operations and other businesses are discussed separately below under the heading “Segment Operating Results.”</w:t>
      </w:r>
    </w:p>
    <w:p>
      <w:pPr>
        <w:spacing w:after="0" w:line="6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Consolidated depreciation and amortization expense </w:t>
      </w:r>
      <w:r>
        <w:rPr>
          <w:rFonts w:ascii="Times New Roman" w:cs="Times New Roman" w:eastAsia="Times New Roman" w:hAnsi="Times New Roman"/>
          <w:sz w:val="18"/>
          <w:szCs w:val="18"/>
          <w:color w:val="auto"/>
        </w:rPr>
        <w:t>decreased for the three months ended March 31, 2024 primarily due to decreased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amortization of software.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from acquisition-related intangible assets totaled $569 million and $556 million for the three months ended March 31, 2024 and 2023, respectively. Amounts primarily relate to customer relationship intangible assets recorded in connection with the Sky transaction in 2018 and the NBCUniversal transaction in 2011.</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Consolidated interest expense </w:t>
      </w:r>
      <w:r>
        <w:rPr>
          <w:rFonts w:ascii="Times New Roman" w:cs="Times New Roman" w:eastAsia="Times New Roman" w:hAnsi="Times New Roman"/>
          <w:sz w:val="18"/>
          <w:szCs w:val="18"/>
          <w:color w:val="auto"/>
        </w:rPr>
        <w:t>remained consistent for the three months ended March 31, 2024 primarily due to interest expense in the prior year</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associated with our collateralized obligation which was repaid in the fourth quarter of 2023, offset by an increase in average debt outstanding and higher weighted-average interest rates.</w:t>
      </w:r>
    </w:p>
    <w:p>
      <w:pPr>
        <w:spacing w:after="0" w:line="6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Consolidated investment and other income (loss), net </w:t>
      </w:r>
      <w:r>
        <w:rPr>
          <w:rFonts w:ascii="Times New Roman" w:cs="Times New Roman" w:eastAsia="Times New Roman" w:hAnsi="Times New Roman"/>
          <w:sz w:val="18"/>
          <w:szCs w:val="18"/>
          <w:color w:val="auto"/>
        </w:rPr>
        <w:t>decreased for the three months ended March 31, 2024 compared to the same period in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2"/>
          </w:tcPr>
          <w:p>
            <w:pPr>
              <w:jc w:val="center"/>
              <w:ind w:left="458"/>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2"/>
        </w:trPr>
        <w:tc>
          <w:tcPr>
            <w:tcW w:w="8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left="458"/>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196"/>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158</w:t>
            </w:r>
          </w:p>
        </w:tc>
        <w:tc>
          <w:tcPr>
            <w:tcW w:w="6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340" w:type="dxa"/>
            <w:vAlign w:val="bottom"/>
          </w:tcPr>
          <w:p>
            <w:pPr>
              <w:spacing w:after="0"/>
              <w:rPr>
                <w:sz w:val="19"/>
                <w:szCs w:val="19"/>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191</w:t>
            </w:r>
          </w:p>
        </w:tc>
        <w:tc>
          <w:tcPr>
            <w:tcW w:w="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and other income (loss),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298</w:t>
            </w:r>
          </w:p>
        </w:tc>
        <w:tc>
          <w:tcPr>
            <w:tcW w:w="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equity in net income (losses) of investees, net was primarily due to our investment in Atairos. The income (losses) at Atairos were driven by fair value adjustments on its underlying investments with income (loss) of $195 million and $524 million for the three months ended March 31, 2024 and 2023, respectively.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realized and unrealized gains (losses) on equity securities, net for the three months ended March 31, 2024 was primarily due to gains on marketable securities in the prior year period and higher losses on nonmarketable securities in the current year period.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other income (loss), net for the three months ended March 31, 2024 primarily resulted from a gain related to an equity method investment in the current year period.</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Consolidated income tax expense </w:t>
      </w:r>
      <w:r>
        <w:rPr>
          <w:rFonts w:ascii="Times New Roman" w:cs="Times New Roman" w:eastAsia="Times New Roman" w:hAnsi="Times New Roman"/>
          <w:sz w:val="18"/>
          <w:szCs w:val="18"/>
          <w:color w:val="auto"/>
        </w:rPr>
        <w:t>for the three months ended March 31, 2024 and 2023 reflects an effective income tax rate that differs from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federal statutory rate due to state and foreign income taxes and adjustments associated with uncertain tax positions. The decrease in income tax expense for the three months ended March 31, 2024 compared to the same period in 2023 was primarily driven by lower domestic income before income taxes.</w:t>
      </w:r>
    </w:p>
    <w:p>
      <w:pPr>
        <w:spacing w:after="0" w:line="6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Consolidated net income (loss) attributable to noncontrolling interests </w:t>
      </w:r>
      <w:r>
        <w:rPr>
          <w:rFonts w:ascii="Times New Roman" w:cs="Times New Roman" w:eastAsia="Times New Roman" w:hAnsi="Times New Roman"/>
          <w:sz w:val="18"/>
          <w:szCs w:val="18"/>
          <w:color w:val="auto"/>
        </w:rPr>
        <w:t>changed for the three months ended March 31, 2024 compared with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same period in 2023 primarily due to an increase in losses in our Xumo streaming platform joint venture, partially offset by a decrease in losses at Universal Beijing Resort in the current year period.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See Note 2 for additional information on our segments.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 Results of Operations</w:t>
      </w:r>
    </w:p>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00" w:type="dxa"/>
            <w:vAlign w:val="bottom"/>
            <w:gridSpan w:val="3"/>
          </w:tcPr>
          <w:p>
            <w:pPr>
              <w:jc w:val="right"/>
              <w:ind w:right="392"/>
              <w:spacing w:after="0"/>
              <w:rPr>
                <w:sz w:val="20"/>
                <w:szCs w:val="20"/>
                <w:color w:val="auto"/>
              </w:rPr>
            </w:pPr>
            <w:r>
              <w:rPr>
                <w:rFonts w:ascii="Times New Roman" w:cs="Times New Roman" w:eastAsia="Times New Roman" w:hAnsi="Times New Roman"/>
                <w:sz w:val="14"/>
                <w:szCs w:val="14"/>
                <w:color w:val="auto"/>
              </w:rPr>
              <w:t>Three Months Ended</w:t>
            </w:r>
          </w:p>
        </w:tc>
        <w:tc>
          <w:tcPr>
            <w:tcW w:w="440" w:type="dxa"/>
            <w:vAlign w:val="bottom"/>
          </w:tcPr>
          <w:p>
            <w:pPr>
              <w:spacing w:after="0"/>
              <w:rPr>
                <w:sz w:val="13"/>
                <w:szCs w:val="13"/>
                <w:color w:val="auto"/>
              </w:rPr>
            </w:pPr>
          </w:p>
        </w:tc>
        <w:tc>
          <w:tcPr>
            <w:tcW w:w="11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color w:val="auto"/>
              </w:rPr>
              <w:t>Change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201"/>
        </w:trPr>
        <w:tc>
          <w:tcPr>
            <w:tcW w:w="59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March 31,</w:t>
            </w:r>
          </w:p>
        </w:tc>
        <w:tc>
          <w:tcPr>
            <w:tcW w:w="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4"/>
                <w:szCs w:val="14"/>
                <w:color w:val="auto"/>
                <w:w w:val="95"/>
              </w:rPr>
              <w:t>Change</w:t>
            </w:r>
            <w:r>
              <w:rPr>
                <w:rFonts w:ascii="Times New Roman" w:cs="Times New Roman" w:eastAsia="Times New Roman" w:hAnsi="Times New Roman"/>
                <w:sz w:val="18"/>
                <w:szCs w:val="18"/>
                <w:color w:val="auto"/>
                <w:w w:val="95"/>
                <w:vertAlign w:val="superscript"/>
              </w:rPr>
              <w:t>(b)</w:t>
            </w:r>
          </w:p>
        </w:tc>
        <w:tc>
          <w:tcPr>
            <w:tcW w:w="0" w:type="dxa"/>
            <w:vAlign w:val="bottom"/>
          </w:tcPr>
          <w:p>
            <w:pPr>
              <w:spacing w:after="0"/>
              <w:rPr>
                <w:sz w:val="1"/>
                <w:szCs w:val="1"/>
                <w:color w:val="auto"/>
              </w:rPr>
            </w:pPr>
          </w:p>
        </w:tc>
      </w:tr>
      <w:tr>
        <w:trPr>
          <w:trHeight w:val="189"/>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2024</w:t>
            </w:r>
          </w:p>
        </w:tc>
        <w:tc>
          <w:tcPr>
            <w:tcW w:w="7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17,869</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7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5.4</w:t>
            </w:r>
          </w:p>
        </w:tc>
        <w:tc>
          <w:tcPr>
            <w:tcW w:w="12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Connectivity &amp; Platforms revenue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20,275</w:t>
            </w: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20,153</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0.6 %</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440" w:type="dxa"/>
            <w:vAlign w:val="bottom"/>
          </w:tcPr>
          <w:p>
            <w:pPr>
              <w:spacing w:after="0"/>
              <w:rPr>
                <w:sz w:val="19"/>
                <w:szCs w:val="19"/>
                <w:color w:val="auto"/>
              </w:rPr>
            </w:pPr>
          </w:p>
        </w:tc>
        <w:tc>
          <w:tcPr>
            <w:tcW w:w="1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1.3 %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7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8,218</w:t>
            </w: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8,093</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1.5 %</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23"/>
                <w:szCs w:val="23"/>
                <w:b w:val="1"/>
                <w:bCs w:val="1"/>
                <w:color w:val="auto"/>
                <w:vertAlign w:val="superscript"/>
              </w:rPr>
              <w:t>(a)</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7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bps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bps</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7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bps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bps</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 margin</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40.5 %</w:t>
            </w:r>
          </w:p>
        </w:tc>
        <w:tc>
          <w:tcPr>
            <w:tcW w:w="11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40.2 %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 bps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 bps</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20" w:hanging="252"/>
        <w:spacing w:after="0" w:line="281" w:lineRule="auto"/>
        <w:tabs>
          <w:tab w:leader="none" w:pos="2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Adjusted EBITDA margin is Adjusted EBITDA as a percentage of revenue. We believe this metric is useful particularly as we continue to focus on growing our higher-margin businesses and improving overall operating cost management. Change in Adjusted EBITDA margin reflects the year-over-year basis point change.</w:t>
      </w:r>
    </w:p>
    <w:p>
      <w:pPr>
        <w:spacing w:after="0" w:line="1" w:lineRule="exact"/>
        <w:rPr>
          <w:rFonts w:ascii="Times New Roman" w:cs="Times New Roman" w:eastAsia="Times New Roman" w:hAnsi="Times New Roman"/>
          <w:sz w:val="14"/>
          <w:szCs w:val="14"/>
          <w:color w:val="auto"/>
        </w:rPr>
      </w:pPr>
    </w:p>
    <w:p>
      <w:pPr>
        <w:ind w:left="260" w:hanging="252"/>
        <w:spacing w:after="0" w:line="285" w:lineRule="auto"/>
        <w:tabs>
          <w:tab w:leader="none" w:pos="25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22 for additional information, including our definition and our use of constant currency, and for a reconciliation of constant currency amounts.</w:t>
      </w:r>
    </w:p>
    <w:p>
      <w:pPr>
        <w:jc w:val="both"/>
        <w:spacing w:after="0" w:line="236" w:lineRule="auto"/>
        <w:rPr>
          <w:sz w:val="20"/>
          <w:szCs w:val="20"/>
          <w:color w:val="auto"/>
        </w:rPr>
      </w:pPr>
      <w:r>
        <w:rPr>
          <w:rFonts w:ascii="Times New Roman" w:cs="Times New Roman" w:eastAsia="Times New Roman" w:hAnsi="Times New Roman"/>
          <w:sz w:val="18"/>
          <w:szCs w:val="18"/>
          <w:color w:val="auto"/>
        </w:rPr>
        <w:t>We continue to focus on growing our higher-margin connectivity businesses while managing overall operating costs. We also continue to invest in our network to support higher-speed broadband offerings and to expand the number of homes and businesses passed. An increasingly competitive environment and continued low domestic household move levels have had negative impacts on our customer relationships additions/(losses). In addition, if funding for the Affordable Connectivity Program, which provides a monthly discount towards broadband service for eligible low-income households, expires without renewal by Congress during the second quarter of 2024, our residential broadband customer relationships may be negatively impacted. We believe our residential connectivity revenue will increase as a result of growth in average domestic broadband revenue per customer, as well as increases in domestic wireless and international connectivity revenue. At the same time, we expect continued declines in video revenue as a result of domestic customer net losses due to shifting video consumption patterns and the competitive environment, although customer net losses typically mitigate the impact of continued rate increases on programming expenses. We also expect continued declines in other revenue related to declines in wireline voice revenue. We believe our Business Services Connectivity segment will continue to grow by offering competitive services, including to medium-sized and enterprise customers. Global economic conditions and consumer sentiment have in the past, and may continue to, adversely impact demand for our products and services and our results of operations.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&amp; Platforms Customer Metrics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Net Additions / (Losses)</w:t>
            </w:r>
          </w:p>
        </w:tc>
        <w:tc>
          <w:tcPr>
            <w:tcW w:w="0" w:type="dxa"/>
            <w:vAlign w:val="bottom"/>
          </w:tcPr>
          <w:p>
            <w:pPr>
              <w:spacing w:after="0"/>
              <w:rPr>
                <w:sz w:val="1"/>
                <w:szCs w:val="1"/>
                <w:color w:val="auto"/>
              </w:rPr>
            </w:pPr>
          </w:p>
        </w:tc>
      </w:tr>
      <w:tr>
        <w:trPr>
          <w:trHeight w:val="23"/>
        </w:trPr>
        <w:tc>
          <w:tcPr>
            <w:tcW w:w="6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800" w:type="dxa"/>
            <w:vAlign w:val="bottom"/>
          </w:tcPr>
          <w:p>
            <w:pPr>
              <w:spacing w:after="0"/>
              <w:rPr>
                <w:sz w:val="11"/>
                <w:szCs w:val="1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800" w:type="dxa"/>
            <w:vAlign w:val="bottom"/>
          </w:tcPr>
          <w:p>
            <w:pPr>
              <w:spacing w:after="0"/>
              <w:rPr>
                <w:sz w:val="11"/>
                <w:szCs w:val="11"/>
                <w:color w:val="auto"/>
              </w:rPr>
            </w:pPr>
          </w:p>
        </w:tc>
        <w:tc>
          <w:tcPr>
            <w:tcW w:w="204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2"/>
        </w:trPr>
        <w:tc>
          <w:tcPr>
            <w:tcW w:w="680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4"/>
                <w:szCs w:val="14"/>
                <w:color w:val="auto"/>
              </w:rPr>
              <w:t>March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2024</w:t>
            </w: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2023</w:t>
            </w:r>
          </w:p>
        </w:tc>
        <w:tc>
          <w:tcPr>
            <w:tcW w:w="13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color w:val="auto"/>
              </w:rPr>
              <w:t>2024</w:t>
            </w:r>
          </w:p>
        </w:tc>
        <w:tc>
          <w:tcPr>
            <w:tcW w:w="7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Domestic Residential Connectivity &amp; Platforms customer relationships</w:t>
            </w:r>
            <w:r>
              <w:rPr>
                <w:rFonts w:ascii="Times New Roman" w:cs="Times New Roman" w:eastAsia="Times New Roman" w:hAnsi="Times New Roman"/>
                <w:sz w:val="23"/>
                <w:szCs w:val="23"/>
                <w:color w:val="auto"/>
                <w:vertAlign w:val="superscript"/>
              </w:rPr>
              <w:t>(a)</w:t>
            </w:r>
          </w:p>
        </w:tc>
        <w:tc>
          <w:tcPr>
            <w:tcW w:w="15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31,555</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31,826</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(94)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International Residential Connectivity &amp; Platforms customer relationships</w:t>
            </w:r>
            <w:r>
              <w:rPr>
                <w:rFonts w:ascii="Times New Roman" w:cs="Times New Roman" w:eastAsia="Times New Roman" w:hAnsi="Times New Roman"/>
                <w:sz w:val="23"/>
                <w:szCs w:val="23"/>
                <w:color w:val="auto"/>
                <w:vertAlign w:val="superscript"/>
              </w:rPr>
              <w:t>(a)</w:t>
            </w:r>
          </w:p>
        </w:tc>
        <w:tc>
          <w:tcPr>
            <w:tcW w:w="154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17,782</w:t>
            </w: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18,051</w:t>
            </w:r>
          </w:p>
        </w:tc>
        <w:tc>
          <w:tcPr>
            <w:tcW w:w="13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(65)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68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Business Services Connectivity customer relationships</w:t>
            </w:r>
            <w:r>
              <w:rPr>
                <w:rFonts w:ascii="Times New Roman" w:cs="Times New Roman" w:eastAsia="Times New Roman" w:hAnsi="Times New Roman"/>
                <w:sz w:val="23"/>
                <w:szCs w:val="23"/>
                <w:color w:val="auto"/>
                <w:vertAlign w:val="superscript"/>
              </w:rPr>
              <w:t>(b)</w:t>
            </w:r>
          </w:p>
        </w:tc>
        <w:tc>
          <w:tcPr>
            <w:tcW w:w="15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2,634</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2,630</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Connectivity &amp; Platforms customer relationships</w:t>
            </w:r>
          </w:p>
        </w:tc>
        <w:tc>
          <w:tcPr>
            <w:tcW w:w="154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51,971</w:t>
            </w:r>
          </w:p>
        </w:tc>
        <w:tc>
          <w:tcPr>
            <w:tcW w:w="8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52,507</w:t>
            </w:r>
          </w:p>
        </w:tc>
        <w:tc>
          <w:tcPr>
            <w:tcW w:w="13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(166)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Broadband</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customers</w:t>
            </w:r>
          </w:p>
        </w:tc>
        <w:tc>
          <w:tcPr>
            <w:tcW w:w="154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29,693</w:t>
            </w: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29,815</w:t>
            </w:r>
          </w:p>
        </w:tc>
        <w:tc>
          <w:tcPr>
            <w:tcW w:w="13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(55)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customers</w:t>
            </w:r>
          </w:p>
        </w:tc>
        <w:tc>
          <w:tcPr>
            <w:tcW w:w="15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2,495</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2,508</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broadband customers</w:t>
            </w:r>
          </w:p>
        </w:tc>
        <w:tc>
          <w:tcPr>
            <w:tcW w:w="154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32,188</w:t>
            </w:r>
          </w:p>
        </w:tc>
        <w:tc>
          <w:tcPr>
            <w:tcW w:w="8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32,324</w:t>
            </w:r>
          </w:p>
        </w:tc>
        <w:tc>
          <w:tcPr>
            <w:tcW w:w="13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(65)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Wireless</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domestic wireless lines</w:t>
            </w:r>
            <w:r>
              <w:rPr>
                <w:rFonts w:ascii="Times New Roman" w:cs="Times New Roman" w:eastAsia="Times New Roman" w:hAnsi="Times New Roman"/>
                <w:sz w:val="23"/>
                <w:szCs w:val="23"/>
                <w:color w:val="auto"/>
                <w:vertAlign w:val="superscript"/>
              </w:rPr>
              <w:t>(c)</w:t>
            </w:r>
          </w:p>
        </w:tc>
        <w:tc>
          <w:tcPr>
            <w:tcW w:w="154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6,877</w:t>
            </w:r>
          </w:p>
        </w:tc>
        <w:tc>
          <w:tcPr>
            <w:tcW w:w="8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5,668</w:t>
            </w:r>
          </w:p>
        </w:tc>
        <w:tc>
          <w:tcPr>
            <w:tcW w:w="134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289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Video</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video customers</w:t>
            </w:r>
          </w:p>
        </w:tc>
        <w:tc>
          <w:tcPr>
            <w:tcW w:w="154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13,618</w:t>
            </w:r>
          </w:p>
        </w:tc>
        <w:tc>
          <w:tcPr>
            <w:tcW w:w="8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15,528</w:t>
            </w:r>
          </w:p>
        </w:tc>
        <w:tc>
          <w:tcPr>
            <w:tcW w:w="13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(487)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Domestic homes and businesses passed</w:t>
            </w:r>
            <w:r>
              <w:rPr>
                <w:rFonts w:ascii="Times New Roman" w:cs="Times New Roman" w:eastAsia="Times New Roman" w:hAnsi="Times New Roman"/>
                <w:sz w:val="23"/>
                <w:szCs w:val="23"/>
                <w:color w:val="auto"/>
                <w:vertAlign w:val="superscript"/>
              </w:rPr>
              <w:t>(d)</w:t>
            </w:r>
          </w:p>
        </w:tc>
        <w:tc>
          <w:tcPr>
            <w:tcW w:w="15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62,729</w:t>
            </w: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61,624</w:t>
            </w: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Domestic broadband penetration of homes and businesses passed</w:t>
            </w:r>
            <w:r>
              <w:rPr>
                <w:rFonts w:ascii="Times New Roman" w:cs="Times New Roman" w:eastAsia="Times New Roman" w:hAnsi="Times New Roman"/>
                <w:sz w:val="23"/>
                <w:szCs w:val="23"/>
                <w:color w:val="auto"/>
                <w:vertAlign w:val="superscript"/>
              </w:rPr>
              <w:t>(e)</w:t>
            </w:r>
          </w:p>
        </w:tc>
        <w:tc>
          <w:tcPr>
            <w:tcW w:w="154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51.1 %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260" w:hanging="252"/>
        <w:spacing w:after="0" w:line="271" w:lineRule="auto"/>
        <w:tabs>
          <w:tab w:leader="none" w:pos="2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Connectivity &amp; Platforms customer relationships generally represent the number of residential customer locations that subscribe to at least one of our services. International Residential Connectivity &amp; Platforms customer relationships represent customers receiving Sky services in the United Kingdom and Italy. Because each of our services includes a variety of product tiers, which may change from time to time, net additions or losses in any one period will reflect a mix of customers at various tiers.</w:t>
      </w:r>
    </w:p>
    <w:p>
      <w:pPr>
        <w:spacing w:after="0" w:line="8" w:lineRule="exact"/>
        <w:rPr>
          <w:rFonts w:ascii="Times New Roman" w:cs="Times New Roman" w:eastAsia="Times New Roman" w:hAnsi="Times New Roman"/>
          <w:sz w:val="14"/>
          <w:szCs w:val="14"/>
          <w:color w:val="auto"/>
        </w:rPr>
      </w:pPr>
    </w:p>
    <w:p>
      <w:pPr>
        <w:jc w:val="both"/>
        <w:ind w:left="260" w:hanging="252"/>
        <w:spacing w:after="0" w:line="271" w:lineRule="auto"/>
        <w:tabs>
          <w:tab w:leader="none" w:pos="2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Services Connectivity customer metrics are generally counted based on the number of locations receiving services, including locations within our network in the United States, as well as locations outside of our network both in the United States and internationally. Certain arrangements whereby third parties provide connectivity services leveraging our network are also generally counted based on the number of locations served.</w:t>
      </w:r>
    </w:p>
    <w:p>
      <w:pPr>
        <w:spacing w:after="0" w:line="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wireless lines represent the number of residential and business customers’ wireless devices. An individual customer relationship may have multiple wireless lines.</w:t>
      </w:r>
    </w:p>
    <w:p>
      <w:pPr>
        <w:spacing w:after="0" w:line="41" w:lineRule="exact"/>
        <w:rPr>
          <w:rFonts w:ascii="Times New Roman" w:cs="Times New Roman" w:eastAsia="Times New Roman" w:hAnsi="Times New Roman"/>
          <w:sz w:val="14"/>
          <w:szCs w:val="14"/>
          <w:color w:val="auto"/>
        </w:rPr>
      </w:pPr>
    </w:p>
    <w:p>
      <w:pPr>
        <w:ind w:left="260" w:hanging="252"/>
        <w:spacing w:after="0" w:line="281" w:lineRule="auto"/>
        <w:tabs>
          <w:tab w:leader="none" w:pos="2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Connectivity &amp; Platforms domestic homes and businesses are considered passed if we can connect them to our network in the United States without further extending the transmission lines. Homes and businesses passed is an estimate based on the best available information.</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domestic customers located within our network by the number of domestic homes and businesses passed.</w:t>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40" w:type="dxa"/>
            <w:vAlign w:val="bottom"/>
            <w:gridSpan w:val="3"/>
          </w:tcPr>
          <w:p>
            <w:pPr>
              <w:jc w:val="right"/>
              <w:ind w:right="856"/>
              <w:spacing w:after="0"/>
              <w:rPr>
                <w:sz w:val="20"/>
                <w:szCs w:val="20"/>
                <w:color w:val="auto"/>
              </w:rPr>
            </w:pPr>
            <w:r>
              <w:rPr>
                <w:rFonts w:ascii="Times New Roman" w:cs="Times New Roman" w:eastAsia="Times New Roman" w:hAnsi="Times New Roman"/>
                <w:sz w:val="14"/>
                <w:szCs w:val="14"/>
                <w:color w:val="auto"/>
              </w:rPr>
              <w:t>Three Months Ended</w:t>
            </w:r>
          </w:p>
        </w:tc>
        <w:tc>
          <w:tcPr>
            <w:tcW w:w="128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color w:val="auto"/>
              </w:rPr>
              <w:t>Change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201"/>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4"/>
                <w:szCs w:val="14"/>
                <w:color w:val="auto"/>
                <w:w w:val="96"/>
              </w:rPr>
              <w:t>Change</w:t>
            </w:r>
            <w:r>
              <w:rPr>
                <w:rFonts w:ascii="Times New Roman" w:cs="Times New Roman" w:eastAsia="Times New Roman" w:hAnsi="Times New Roman"/>
                <w:sz w:val="18"/>
                <w:szCs w:val="18"/>
                <w:color w:val="auto"/>
                <w:w w:val="96"/>
                <w:vertAlign w:val="superscript"/>
              </w:rPr>
              <w:t>(a)</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color w:val="auto"/>
              </w:rPr>
              <w:t>2023</w:t>
            </w: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5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Average monthly total Connectivity &amp; Platforms revenue per customer</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relationship</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129.84</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128.04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184"/>
        </w:trPr>
        <w:tc>
          <w:tcPr>
            <w:tcW w:w="5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Average monthly total Connectivity &amp; Platforms Adjusted EBITDA per</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customer relationship</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52.62</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51.42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60" w:right="20" w:hanging="252"/>
        <w:spacing w:after="0" w:line="302" w:lineRule="auto"/>
        <w:tabs>
          <w:tab w:leader="none" w:pos="25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22 for additional information, including our definition and our use of constant currency, and for a reconciliation of constant currency amounts.</w:t>
      </w:r>
    </w:p>
    <w:p>
      <w:pPr>
        <w:spacing w:after="0" w:line="2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Average monthly total revenue per customer relationship is impacted by rate adjustments and changes in the types and levels of services received by our residential and business customers, as well as changes in advertising and other revenue and in foreign currency exchange rates. While revenue from our individual service offerings is also impacted by changes in the allocation of revenue among services sold in a bundle, the allocation does not impact average monthly total revenue per customer relationship. Each of our services has a different contribution to Adjusted EBITDA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&amp; Platforms — Supplemental Costs and Expenses Information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Connectivity &amp; Platforms supplemental costs and expenses information in the table below is presented on an aggregate basis across the Connectivity &amp; Platforms segments as the segments use certain shared infrastructure, including our network in the United States. Costs and expenses information reported separately for the Residential Connectivity &amp; Platforms and Business Services Connectivity segments include each segment’s direct costs and an allocation of shared costs.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color w:val="auto"/>
              </w:rPr>
              <w:t>Three Months Ended</w:t>
            </w:r>
          </w:p>
        </w:tc>
        <w:tc>
          <w:tcPr>
            <w:tcW w:w="126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color w:val="auto"/>
              </w:rPr>
              <w:t>Change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201"/>
        </w:trPr>
        <w:tc>
          <w:tcPr>
            <w:tcW w:w="5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0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4"/>
                <w:szCs w:val="14"/>
                <w:color w:val="auto"/>
                <w:w w:val="95"/>
              </w:rPr>
              <w:t>Change</w:t>
            </w:r>
            <w:r>
              <w:rPr>
                <w:rFonts w:ascii="Times New Roman" w:cs="Times New Roman" w:eastAsia="Times New Roman" w:hAnsi="Times New Roman"/>
                <w:sz w:val="18"/>
                <w:szCs w:val="18"/>
                <w:color w:val="auto"/>
                <w:w w:val="95"/>
                <w:vertAlign w:val="superscript"/>
              </w:rPr>
              <w:t>(g)</w:t>
            </w:r>
          </w:p>
        </w:tc>
        <w:tc>
          <w:tcPr>
            <w:tcW w:w="0" w:type="dxa"/>
            <w:vAlign w:val="bottom"/>
          </w:tcPr>
          <w:p>
            <w:pPr>
              <w:spacing w:after="0"/>
              <w:rPr>
                <w:sz w:val="1"/>
                <w:szCs w:val="1"/>
                <w:color w:val="auto"/>
              </w:rPr>
            </w:pPr>
          </w:p>
        </w:tc>
      </w:tr>
      <w:tr>
        <w:trPr>
          <w:trHeight w:val="189"/>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2023</w:t>
            </w:r>
          </w:p>
        </w:tc>
        <w:tc>
          <w:tcPr>
            <w:tcW w:w="12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Programming</w:t>
            </w:r>
            <w:r>
              <w:rPr>
                <w:rFonts w:ascii="Times New Roman" w:cs="Times New Roman" w:eastAsia="Times New Roman" w:hAnsi="Times New Roman"/>
                <w:sz w:val="23"/>
                <w:szCs w:val="23"/>
                <w:color w:val="auto"/>
                <w:vertAlign w:val="superscript"/>
              </w:rPr>
              <w:t>(a)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4,405</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4,600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(5.1)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Technical and support</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1,959</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1,830</w:t>
            </w: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7.0</w:t>
            </w:r>
          </w:p>
        </w:tc>
        <w:tc>
          <w:tcPr>
            <w:tcW w:w="1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8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Direct product costs</w:t>
            </w:r>
            <w:r>
              <w:rPr>
                <w:rFonts w:ascii="Times New Roman" w:cs="Times New Roman" w:eastAsia="Times New Roman" w:hAnsi="Times New Roman"/>
                <w:sz w:val="23"/>
                <w:szCs w:val="23"/>
                <w:color w:val="auto"/>
                <w:vertAlign w:val="superscript"/>
              </w:rPr>
              <w:t>(c)</w:t>
            </w:r>
          </w:p>
        </w:tc>
        <w:tc>
          <w:tcPr>
            <w:tcW w:w="28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1,514</w:t>
            </w:r>
          </w:p>
        </w:tc>
        <w:tc>
          <w:tcPr>
            <w:tcW w:w="44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1,401</w:t>
            </w: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8.1</w:t>
            </w:r>
          </w:p>
        </w:tc>
        <w:tc>
          <w:tcPr>
            <w:tcW w:w="1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Marketing and promotion</w:t>
            </w:r>
            <w:r>
              <w:rPr>
                <w:rFonts w:ascii="Times New Roman" w:cs="Times New Roman" w:eastAsia="Times New Roman" w:hAnsi="Times New Roman"/>
                <w:sz w:val="23"/>
                <w:szCs w:val="23"/>
                <w:color w:val="auto"/>
                <w:vertAlign w:val="superscript"/>
              </w:rPr>
              <w:t>(d)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1,173</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1,202</w:t>
            </w:r>
          </w:p>
        </w:tc>
        <w:tc>
          <w:tcPr>
            <w:tcW w:w="12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58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Customer service</w:t>
            </w:r>
            <w:r>
              <w:rPr>
                <w:rFonts w:ascii="Times New Roman" w:cs="Times New Roman" w:eastAsia="Times New Roman" w:hAnsi="Times New Roman"/>
                <w:sz w:val="23"/>
                <w:szCs w:val="23"/>
                <w:color w:val="auto"/>
                <w:vertAlign w:val="superscript"/>
              </w:rPr>
              <w:t>(e)</w:t>
            </w:r>
          </w:p>
        </w:tc>
        <w:tc>
          <w:tcPr>
            <w:tcW w:w="28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709</w:t>
            </w:r>
          </w:p>
        </w:tc>
        <w:tc>
          <w:tcPr>
            <w:tcW w:w="44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709</w:t>
            </w: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auto"/>
            </w:tcBorders>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2,297</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2,317</w:t>
            </w:r>
          </w:p>
        </w:tc>
        <w:tc>
          <w:tcPr>
            <w:tcW w:w="12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(0.9)</w:t>
            </w:r>
          </w:p>
        </w:tc>
        <w:tc>
          <w:tcPr>
            <w:tcW w:w="13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costs and expenses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12,058</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12,059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260" w:hanging="252"/>
        <w:spacing w:after="0" w:line="275" w:lineRule="auto"/>
        <w:tabs>
          <w:tab w:leader="none" w:pos="25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networks, including amortization of licensed content.</w:t>
      </w:r>
    </w:p>
    <w:p>
      <w:pPr>
        <w:ind w:left="260" w:right="20" w:hanging="252"/>
        <w:spacing w:after="0" w:line="281" w:lineRule="auto"/>
        <w:tabs>
          <w:tab w:leader="none" w:pos="2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support expenses primarily include costs for labor to complete service call and installation activities; and costs for network operations and satellite transmission, product development, fulfillment and provisioning.</w:t>
      </w:r>
    </w:p>
    <w:p>
      <w:pPr>
        <w:spacing w:after="0" w:line="1" w:lineRule="exact"/>
        <w:rPr>
          <w:rFonts w:ascii="Times New Roman" w:cs="Times New Roman" w:eastAsia="Times New Roman" w:hAnsi="Times New Roman"/>
          <w:sz w:val="14"/>
          <w:szCs w:val="14"/>
          <w:color w:val="auto"/>
        </w:rPr>
      </w:pPr>
    </w:p>
    <w:p>
      <w:pPr>
        <w:ind w:left="260" w:hanging="252"/>
        <w:spacing w:after="0" w:line="291" w:lineRule="auto"/>
        <w:tabs>
          <w:tab w:leader="none" w:pos="25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product costs primarily include access fees related to using wireless and broadband networks owned by third parties to deliver our services and costs of products sold, including wireless devices and Sky Glass smart televisions.</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promotion expenses include the costs associated with attracting new customers and promoting our service offerings.</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service expenses include the personnel and other costs associated with customer service and certain selling activities.</w:t>
      </w:r>
    </w:p>
    <w:p>
      <w:pPr>
        <w:spacing w:after="0" w:line="41" w:lineRule="exact"/>
        <w:rPr>
          <w:rFonts w:ascii="Times New Roman" w:cs="Times New Roman" w:eastAsia="Times New Roman" w:hAnsi="Times New Roman"/>
          <w:sz w:val="14"/>
          <w:szCs w:val="14"/>
          <w:color w:val="auto"/>
        </w:rPr>
      </w:pPr>
    </w:p>
    <w:p>
      <w:pPr>
        <w:ind w:left="260" w:hanging="252"/>
        <w:spacing w:after="0" w:line="291" w:lineRule="auto"/>
        <w:tabs>
          <w:tab w:leader="none" w:pos="25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primarily include administrative personnel costs; franchise and other regulatory fees; fees paid to third parties where we represent the advertising sales efforts; other business support costs, including building and office expenses, taxes and billing costs; and bad debt.</w:t>
      </w:r>
    </w:p>
    <w:p>
      <w:pPr>
        <w:spacing w:after="0" w:line="1" w:lineRule="exact"/>
        <w:rPr>
          <w:rFonts w:ascii="Times New Roman" w:cs="Times New Roman" w:eastAsia="Times New Roman" w:hAnsi="Times New Roman"/>
          <w:sz w:val="14"/>
          <w:szCs w:val="14"/>
          <w:color w:val="auto"/>
        </w:rPr>
      </w:pPr>
    </w:p>
    <w:p>
      <w:pPr>
        <w:ind w:left="260" w:hanging="252"/>
        <w:spacing w:after="0" w:line="302" w:lineRule="auto"/>
        <w:tabs>
          <w:tab w:leader="none" w:pos="2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22 for additional information, including our definition and our use of constant currency, and for a reconciliation of constant currency amounts.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Residential Connectivity &amp; Platforms Segment Results of Operations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3"/>
          </w:tcPr>
          <w:p>
            <w:pPr>
              <w:jc w:val="right"/>
              <w:ind w:right="771"/>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Change</w:t>
            </w:r>
          </w:p>
        </w:tc>
        <w:tc>
          <w:tcPr>
            <w:tcW w:w="2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203"/>
        </w:trPr>
        <w:tc>
          <w:tcPr>
            <w:tcW w:w="5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March 31,</w:t>
            </w:r>
          </w:p>
        </w:tc>
        <w:tc>
          <w:tcPr>
            <w:tcW w:w="10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color w:val="auto"/>
                <w:w w:val="96"/>
              </w:rPr>
              <w:t>Change</w:t>
            </w:r>
            <w:r>
              <w:rPr>
                <w:rFonts w:ascii="Times New Roman" w:cs="Times New Roman" w:eastAsia="Times New Roman" w:hAnsi="Times New Roman"/>
                <w:sz w:val="18"/>
                <w:szCs w:val="18"/>
                <w:color w:val="auto"/>
                <w:w w:val="96"/>
                <w:vertAlign w:val="superscript"/>
              </w:rPr>
              <w:t>(a)</w:t>
            </w:r>
          </w:p>
        </w:tc>
        <w:tc>
          <w:tcPr>
            <w:tcW w:w="0" w:type="dxa"/>
            <w:vAlign w:val="bottom"/>
          </w:tcPr>
          <w:p>
            <w:pPr>
              <w:spacing w:after="0"/>
              <w:rPr>
                <w:sz w:val="1"/>
                <w:szCs w:val="1"/>
                <w:color w:val="auto"/>
              </w:rPr>
            </w:pPr>
          </w:p>
        </w:tc>
      </w:tr>
      <w:tr>
        <w:trPr>
          <w:trHeight w:val="190"/>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 broadband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6,591</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6,343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 wireless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972</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858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1,116</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897</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8,679</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8,099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8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6,876</w:t>
            </w:r>
          </w:p>
        </w:tc>
        <w:tc>
          <w:tcPr>
            <w:tcW w:w="44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7,382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951</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907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1,362</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1,482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17,868</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17,869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4,405</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4,600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6,611</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6,508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11,016</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11,108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6,852</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6,762</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60" w:right="20" w:hanging="252"/>
        <w:spacing w:after="0" w:line="302" w:lineRule="auto"/>
        <w:tabs>
          <w:tab w:leader="none" w:pos="25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22 for additional information, including our definition and our use of constant currency, and for a reconciliation of constant currency amounts.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Revenue</w:t>
      </w:r>
    </w:p>
    <w:p>
      <w:pPr>
        <w:spacing w:after="0" w:line="118"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i w:val="1"/>
          <w:iCs w:val="1"/>
          <w:color w:val="auto"/>
        </w:rPr>
        <w:t xml:space="preserve">Domestic broadband revenue </w:t>
      </w:r>
      <w:r>
        <w:rPr>
          <w:rFonts w:ascii="Times New Roman" w:cs="Times New Roman" w:eastAsia="Times New Roman" w:hAnsi="Times New Roman"/>
          <w:sz w:val="18"/>
          <w:szCs w:val="18"/>
          <w:color w:val="auto"/>
        </w:rPr>
        <w:t>increased for the three months ended March 31, 2024 compared to the same period in 2023 due to an increase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average rates.</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Domestic wireless revenue </w:t>
      </w:r>
      <w:r>
        <w:rPr>
          <w:rFonts w:ascii="Times New Roman" w:cs="Times New Roman" w:eastAsia="Times New Roman" w:hAnsi="Times New Roman"/>
          <w:sz w:val="18"/>
          <w:szCs w:val="18"/>
          <w:color w:val="auto"/>
        </w:rPr>
        <w:t>increased for the three months ended March 31, 2024 compared to the same period in 2023 due to an increase in the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number of customer lines.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International connectivity revenue </w:t>
      </w:r>
      <w:r>
        <w:rPr>
          <w:rFonts w:ascii="Times New Roman" w:cs="Times New Roman" w:eastAsia="Times New Roman" w:hAnsi="Times New Roman"/>
          <w:sz w:val="18"/>
          <w:szCs w:val="18"/>
          <w:color w:val="auto"/>
        </w:rPr>
        <w:t>increased for the three months ended March 31, 2024 compared to the same period in 2023 due to increases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broadband revenue resulting from an increase in average rates and in wireless revenue resulting from increases in wireless services and sales of wireless devices. These increases include the positive impact of foreign currency.</w:t>
      </w:r>
    </w:p>
    <w:p>
      <w:pPr>
        <w:spacing w:after="0" w:line="15"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Video revenue </w:t>
      </w:r>
      <w:r>
        <w:rPr>
          <w:rFonts w:ascii="Times New Roman" w:cs="Times New Roman" w:eastAsia="Times New Roman" w:hAnsi="Times New Roman"/>
          <w:sz w:val="18"/>
          <w:szCs w:val="18"/>
          <w:color w:val="auto"/>
        </w:rPr>
        <w:t>decreased for the three months ended March 31, 2024 compared to the same period in 2023 due to a decline in the overall number of</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residential video customers, partially offset by an overall increase in average rates and the positive impact of foreign currency.</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Advertising revenue </w:t>
      </w:r>
      <w:r>
        <w:rPr>
          <w:rFonts w:ascii="Times New Roman" w:cs="Times New Roman" w:eastAsia="Times New Roman" w:hAnsi="Times New Roman"/>
          <w:sz w:val="18"/>
          <w:szCs w:val="18"/>
          <w:color w:val="auto"/>
        </w:rPr>
        <w:t>increased for the three months ended March 31, 2024 compared to the same period in 2023 primarily driven by an increase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domestic political advertising, increased revenue from our advanced advertising business and the positive impact of foreign currency, partially offset by lower domestic advertising.</w:t>
      </w:r>
    </w:p>
    <w:p>
      <w:pPr>
        <w:spacing w:after="0" w:line="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Times New Roman" w:cs="Times New Roman" w:eastAsia="Times New Roman" w:hAnsi="Times New Roman"/>
          <w:sz w:val="18"/>
          <w:szCs w:val="18"/>
          <w:color w:val="auto"/>
        </w:rPr>
        <w:t>decreased for the three months ended March 31, 2024 compared to the same period in 2023 primarily due to a decrease in residential</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wireline voice revenue driven by a decline in the number of customers.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Costs and Expenses</w:t>
      </w:r>
    </w:p>
    <w:p>
      <w:pPr>
        <w:spacing w:after="0" w:line="10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Programming expenses </w:t>
      </w:r>
      <w:r>
        <w:rPr>
          <w:rFonts w:ascii="Times New Roman" w:cs="Times New Roman" w:eastAsia="Times New Roman" w:hAnsi="Times New Roman"/>
          <w:sz w:val="18"/>
          <w:szCs w:val="18"/>
          <w:color w:val="auto"/>
        </w:rPr>
        <w:t>decreased for the three months ended March 31, 2024 compared to the same period in 2023 primarily due to a decline in the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number of domestic video subscribers, partially offset by rate increases under our domestic programming contracts and the impact of foreign currency.</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Other expenses </w:t>
      </w:r>
      <w:r>
        <w:rPr>
          <w:rFonts w:ascii="Times New Roman" w:cs="Times New Roman" w:eastAsia="Times New Roman" w:hAnsi="Times New Roman"/>
          <w:sz w:val="18"/>
          <w:szCs w:val="18"/>
          <w:color w:val="auto"/>
        </w:rPr>
        <w:t>increased for the three months ended March 31, 2024 compared to the same period in 2023 primarily due to higher technical and</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support expenses, the impact of foreign currency and increased spending on direct product costs, partially offset by decreased spending on marketing and promotion.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Services Connectivity Segment Results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26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1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color w:val="auto"/>
              </w:rPr>
              <w:t>2023</w:t>
            </w:r>
          </w:p>
        </w:tc>
        <w:tc>
          <w:tcPr>
            <w:tcW w:w="12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2,407</w:t>
            </w:r>
          </w:p>
        </w:tc>
        <w:tc>
          <w:tcPr>
            <w:tcW w:w="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2,283</w:t>
            </w:r>
          </w:p>
        </w:tc>
        <w:tc>
          <w:tcPr>
            <w:tcW w:w="12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1,041</w:t>
            </w: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952</w:t>
            </w:r>
          </w:p>
        </w:tc>
        <w:tc>
          <w:tcPr>
            <w:tcW w:w="12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1,366</w:t>
            </w:r>
          </w:p>
        </w:tc>
        <w:tc>
          <w:tcPr>
            <w:tcW w:w="66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1,332</w:t>
            </w:r>
          </w:p>
        </w:tc>
        <w:tc>
          <w:tcPr>
            <w:tcW w:w="1460" w:type="dxa"/>
            <w:vAlign w:val="bottom"/>
            <w:tcBorders>
              <w:bottom w:val="single" w:sz="8" w:color="auto"/>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2.6 %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Business services connectivity revenue </w:t>
      </w:r>
      <w:r>
        <w:rPr>
          <w:rFonts w:ascii="Times New Roman" w:cs="Times New Roman" w:eastAsia="Times New Roman" w:hAnsi="Times New Roman"/>
          <w:sz w:val="18"/>
          <w:szCs w:val="18"/>
          <w:color w:val="auto"/>
        </w:rPr>
        <w:t>increased for the three months ended March 31, 2024 compared to the same period in 2023 due to an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 in revenue from small business customers driven by an increase in average rates, and due to an increase in revenue from medium-sized and enterprise customers.</w:t>
      </w:r>
    </w:p>
    <w:p>
      <w:pPr>
        <w:spacing w:after="0" w:line="15"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Business services connectivity costs and expenses </w:t>
      </w:r>
      <w:r>
        <w:rPr>
          <w:rFonts w:ascii="Times New Roman" w:cs="Times New Roman" w:eastAsia="Times New Roman" w:hAnsi="Times New Roman"/>
          <w:sz w:val="18"/>
          <w:szCs w:val="18"/>
          <w:color w:val="auto"/>
        </w:rPr>
        <w:t>increased for the three months ended March 31, 2024 compared to the same period in 2023</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increases in direct product costs, marketing and promotion expenses, and technical and support expenses.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&amp; Experiences Results of Operations</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gridSpan w:val="3"/>
          </w:tcPr>
          <w:p>
            <w:pPr>
              <w:jc w:val="right"/>
              <w:ind w:right="891"/>
              <w:spacing w:after="0"/>
              <w:rPr>
                <w:sz w:val="20"/>
                <w:szCs w:val="20"/>
                <w:color w:val="auto"/>
              </w:rPr>
            </w:pPr>
            <w:r>
              <w:rPr>
                <w:rFonts w:ascii="Times New Roman" w:cs="Times New Roman" w:eastAsia="Times New Roman" w:hAnsi="Times New Roman"/>
                <w:sz w:val="14"/>
                <w:szCs w:val="14"/>
                <w:color w:val="auto"/>
              </w:rPr>
              <w:t>Three Months Ended</w:t>
            </w:r>
          </w:p>
        </w:tc>
        <w:tc>
          <w:tcPr>
            <w:tcW w:w="12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March 31,</w:t>
            </w:r>
          </w:p>
        </w:tc>
        <w:tc>
          <w:tcPr>
            <w:tcW w:w="1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color w:val="auto"/>
              </w:rPr>
              <w:t>2024</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6,371</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6,152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Studios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2,743</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2,956</w:t>
            </w: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Theme Parks</w:t>
            </w:r>
          </w:p>
        </w:tc>
        <w:tc>
          <w:tcPr>
            <w:tcW w:w="28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1,979</w:t>
            </w:r>
          </w:p>
        </w:tc>
        <w:tc>
          <w:tcPr>
            <w:tcW w:w="420" w:type="dxa"/>
            <w:vAlign w:val="bottom"/>
          </w:tcPr>
          <w:p>
            <w:pPr>
              <w:spacing w:after="0"/>
              <w:rPr>
                <w:sz w:val="19"/>
                <w:szCs w:val="19"/>
                <w:color w:val="auto"/>
              </w:rPr>
            </w:pPr>
          </w:p>
        </w:tc>
        <w:tc>
          <w:tcPr>
            <w:tcW w:w="11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1,949</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19</w:t>
            </w: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(817)</w:t>
            </w: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Content &amp; Experiences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10,374</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10,259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827</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880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Studios</w:t>
            </w:r>
          </w:p>
        </w:tc>
        <w:tc>
          <w:tcPr>
            <w:tcW w:w="28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244</w:t>
            </w:r>
          </w:p>
        </w:tc>
        <w:tc>
          <w:tcPr>
            <w:tcW w:w="420" w:type="dxa"/>
            <w:vAlign w:val="bottom"/>
          </w:tcPr>
          <w:p>
            <w:pPr>
              <w:spacing w:after="0"/>
              <w:rPr>
                <w:sz w:val="19"/>
                <w:szCs w:val="19"/>
                <w:color w:val="auto"/>
              </w:rPr>
            </w:pPr>
          </w:p>
        </w:tc>
        <w:tc>
          <w:tcPr>
            <w:tcW w:w="11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277</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Theme Parks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632</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658</w:t>
            </w: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20" w:type="dxa"/>
            <w:vAlign w:val="bottom"/>
          </w:tcPr>
          <w:p>
            <w:pPr>
              <w:spacing w:after="0"/>
              <w:rPr>
                <w:sz w:val="19"/>
                <w:szCs w:val="19"/>
                <w:color w:val="auto"/>
              </w:rPr>
            </w:pPr>
          </w:p>
        </w:tc>
        <w:tc>
          <w:tcPr>
            <w:tcW w:w="11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(232)</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24</w:t>
            </w:r>
          </w:p>
        </w:tc>
        <w:tc>
          <w:tcPr>
            <w:tcW w:w="12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Content &amp; Experiences Adjusted EBITDA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1,493</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1,607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our Media segment as a combined television and streaming business. We expect that the number of subscribers and audience ratings at our linear television networks will continue to decline as a result of the competitive environment and shifting video consumption patterns, which we aim to mitigate over time by continued growth in paid subscribers and advertising revenue at Peacock. We expect to continue to incur significant costs related to content and marketing at Peacock. Revenue and programming expenses are also impacted by the timing of certain sporting events, including the Olympics in the third quarter of 2024. Global economic conditions and consumer sentiment have in the past, and may continue to, adversely impact demand for our products and services and our results of operations.</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Studios segment generates revenue primarily from third parties and from licensing content to our Media segment. While results of operations for our Studios segment are not impacted, results for our total Content &amp; Experiences business may be impacted as the Studios segment licenses content to the Media segment, including for Peacock, rather than licensing the content to third parties.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invest significantly in existing and new theme park attractions, hotels and infrastructure, including Epic Universe in Orlando, as well as in new destinations and experiences which we believe will have a positive impact on attendance and guest spending at our theme parks.</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Segment Results of Operations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3"/>
          </w:tcPr>
          <w:p>
            <w:pPr>
              <w:jc w:val="right"/>
              <w:ind w:right="872"/>
              <w:spacing w:after="0"/>
              <w:rPr>
                <w:sz w:val="20"/>
                <w:szCs w:val="20"/>
                <w:color w:val="auto"/>
              </w:rPr>
            </w:pPr>
            <w:r>
              <w:rPr>
                <w:rFonts w:ascii="Times New Roman" w:cs="Times New Roman" w:eastAsia="Times New Roman" w:hAnsi="Times New Roman"/>
                <w:sz w:val="14"/>
                <w:szCs w:val="14"/>
                <w:color w:val="auto"/>
              </w:rPr>
              <w:t>Three Months Ended</w:t>
            </w:r>
          </w:p>
        </w:tc>
        <w:tc>
          <w:tcPr>
            <w:tcW w:w="12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March 31,</w:t>
            </w:r>
          </w:p>
        </w:tc>
        <w:tc>
          <w:tcPr>
            <w:tcW w:w="1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color w:val="auto"/>
              </w:rPr>
              <w:t>2023</w:t>
            </w: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 advertising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Domestic distribution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2,906</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2,709</w:t>
            </w:r>
          </w:p>
        </w:tc>
        <w:tc>
          <w:tcPr>
            <w:tcW w:w="12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networks</w:t>
            </w:r>
          </w:p>
        </w:tc>
        <w:tc>
          <w:tcPr>
            <w:tcW w:w="30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1,021</w:t>
            </w:r>
          </w:p>
        </w:tc>
        <w:tc>
          <w:tcPr>
            <w:tcW w:w="440" w:type="dxa"/>
            <w:vAlign w:val="bottom"/>
          </w:tcPr>
          <w:p>
            <w:pPr>
              <w:spacing w:after="0"/>
              <w:rPr>
                <w:sz w:val="19"/>
                <w:szCs w:val="19"/>
                <w:color w:val="auto"/>
              </w:rPr>
            </w:pP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1,008</w:t>
            </w: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420</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410</w:t>
            </w:r>
          </w:p>
        </w:tc>
        <w:tc>
          <w:tcPr>
            <w:tcW w:w="12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6,371</w:t>
            </w:r>
          </w:p>
        </w:tc>
        <w:tc>
          <w:tcPr>
            <w:tcW w:w="440" w:type="dxa"/>
            <w:vAlign w:val="bottom"/>
          </w:tcPr>
          <w:p>
            <w:pPr>
              <w:spacing w:after="0"/>
              <w:rPr>
                <w:sz w:val="19"/>
                <w:szCs w:val="19"/>
                <w:color w:val="auto"/>
              </w:rPr>
            </w:pP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6,152</w:t>
            </w: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0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4,140</w:t>
            </w:r>
          </w:p>
        </w:tc>
        <w:tc>
          <w:tcPr>
            <w:tcW w:w="440" w:type="dxa"/>
            <w:vAlign w:val="bottom"/>
          </w:tcPr>
          <w:p>
            <w:pPr>
              <w:spacing w:after="0"/>
              <w:rPr>
                <w:sz w:val="19"/>
                <w:szCs w:val="19"/>
                <w:color w:val="auto"/>
              </w:rPr>
            </w:pP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3,989</w:t>
            </w: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Marketing and promotion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314</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305</w:t>
            </w:r>
          </w:p>
        </w:tc>
        <w:tc>
          <w:tcPr>
            <w:tcW w:w="12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1,090</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978</w:t>
            </w:r>
          </w:p>
        </w:tc>
        <w:tc>
          <w:tcPr>
            <w:tcW w:w="12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5,545</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5,272</w:t>
            </w:r>
          </w:p>
        </w:tc>
        <w:tc>
          <w:tcPr>
            <w:tcW w:w="12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827</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880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Revenue</w:t>
      </w:r>
    </w:p>
    <w:p>
      <w:pPr>
        <w:spacing w:after="0" w:line="10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Domestic advertising revenue </w:t>
      </w:r>
      <w:r>
        <w:rPr>
          <w:rFonts w:ascii="Times New Roman" w:cs="Times New Roman" w:eastAsia="Times New Roman" w:hAnsi="Times New Roman"/>
          <w:sz w:val="18"/>
          <w:szCs w:val="18"/>
          <w:color w:val="auto"/>
        </w:rPr>
        <w:t>remained consistent for the three months ended March 31, 2024 compared to the same period in 2023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a decrease in revenue at our linear television networks, offset by an increase in revenue at Peacock.</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Domestic distribution revenue </w:t>
      </w:r>
      <w:r>
        <w:rPr>
          <w:rFonts w:ascii="Times New Roman" w:cs="Times New Roman" w:eastAsia="Times New Roman" w:hAnsi="Times New Roman"/>
          <w:sz w:val="18"/>
          <w:szCs w:val="18"/>
          <w:color w:val="auto"/>
        </w:rPr>
        <w:t>increased for the three months ended March 31, 2024 compared to the same period in 2023 primarily due to an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 in Peacock paid subscribers, partially offset by a decrease in revenue at our linear television networks. The decrease at our networks was primarily due to a decline in the number of subscribers, partially offset by contractual rate increases.</w:t>
      </w:r>
    </w:p>
    <w:p>
      <w:pPr>
        <w:spacing w:after="0" w:line="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International networks revenue </w:t>
      </w:r>
      <w:r>
        <w:rPr>
          <w:rFonts w:ascii="Times New Roman" w:cs="Times New Roman" w:eastAsia="Times New Roman" w:hAnsi="Times New Roman"/>
          <w:sz w:val="18"/>
          <w:szCs w:val="18"/>
          <w:color w:val="auto"/>
        </w:rPr>
        <w:t>increased for the three months ended March 31, 2024 compared to the same period in 2023 primarily due to the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positive impact of foreign currency.</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Media segment total revenue included $1.1 billion and $685 million related to Peacock for the three months ended March 31, 2024 and 2023, respectively. We had 34 million and 22 million paid subscribers of Peacock as of March 31, 2024 and 2023, respectively. Peacock paid subscribers represent customers from which Peacock receives a subscription fee on a retail or wholesale basis. Paid subscribers do not include certain customers that receive Peacock as part of bundled services where Peacock does not receive fees.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Costs and Expenses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Programming and production costs </w:t>
      </w:r>
      <w:r>
        <w:rPr>
          <w:rFonts w:ascii="Times New Roman" w:cs="Times New Roman" w:eastAsia="Times New Roman" w:hAnsi="Times New Roman"/>
          <w:sz w:val="18"/>
          <w:szCs w:val="18"/>
          <w:color w:val="auto"/>
        </w:rPr>
        <w:t>increased for the three months ended March 31, 2024 compared to the same period in 2023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higher programming costs at Peacock and an increase in domestic sports programming costs for our television networks. This increase was partially offset by a decrease in international sports programming costs driven by the shift of certain European football matches and the related programming expense to the first half of 2023 due to timing of the 2022 FIFA World Cup and a decrease in content costs for our entertainment television networks.</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Marketing and promotion expenses </w:t>
      </w:r>
      <w:r>
        <w:rPr>
          <w:rFonts w:ascii="Times New Roman" w:cs="Times New Roman" w:eastAsia="Times New Roman" w:hAnsi="Times New Roman"/>
          <w:sz w:val="18"/>
          <w:szCs w:val="18"/>
          <w:color w:val="auto"/>
        </w:rPr>
        <w:t>increased for the three months ended March 31, 2024 compared to the same period in 2023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higher costs related to marketing for Peacock.</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Other expenses </w:t>
      </w:r>
      <w:r>
        <w:rPr>
          <w:rFonts w:ascii="Times New Roman" w:cs="Times New Roman" w:eastAsia="Times New Roman" w:hAnsi="Times New Roman"/>
          <w:sz w:val="18"/>
          <w:szCs w:val="18"/>
          <w:color w:val="auto"/>
        </w:rPr>
        <w:t>increased for the three months ended March 31, 2024 compared to the same period in 2023 primarily due to an increase in costs related</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to Peacock.</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Media segment total costs and expenses included $1.7 billion and $1.4 billion related to Peacock for the three months ended March 31, 2024 and 2023,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Studios Segment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3"/>
          </w:tcPr>
          <w:p>
            <w:pPr>
              <w:jc w:val="right"/>
              <w:ind w:right="872"/>
              <w:spacing w:after="0"/>
              <w:rPr>
                <w:sz w:val="20"/>
                <w:szCs w:val="20"/>
                <w:color w:val="auto"/>
              </w:rPr>
            </w:pPr>
            <w:r>
              <w:rPr>
                <w:rFonts w:ascii="Times New Roman" w:cs="Times New Roman" w:eastAsia="Times New Roman" w:hAnsi="Times New Roman"/>
                <w:sz w:val="14"/>
                <w:szCs w:val="14"/>
                <w:color w:val="auto"/>
              </w:rPr>
              <w:t>Three Months Ended</w:t>
            </w:r>
          </w:p>
        </w:tc>
        <w:tc>
          <w:tcPr>
            <w:tcW w:w="12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March 31,</w:t>
            </w:r>
          </w:p>
        </w:tc>
        <w:tc>
          <w:tcPr>
            <w:tcW w:w="1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color w:val="auto"/>
              </w:rPr>
              <w:t>2023</w:t>
            </w: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2,101</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2,344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319</w:t>
            </w:r>
          </w:p>
        </w:tc>
        <w:tc>
          <w:tcPr>
            <w:tcW w:w="12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292</w:t>
            </w:r>
          </w:p>
        </w:tc>
        <w:tc>
          <w:tcPr>
            <w:tcW w:w="12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2,743</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2,956</w:t>
            </w:r>
          </w:p>
        </w:tc>
        <w:tc>
          <w:tcPr>
            <w:tcW w:w="1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(7.2)</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1,859</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2,101</w:t>
            </w:r>
          </w:p>
        </w:tc>
        <w:tc>
          <w:tcPr>
            <w:tcW w:w="1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30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431</w:t>
            </w:r>
          </w:p>
        </w:tc>
        <w:tc>
          <w:tcPr>
            <w:tcW w:w="440" w:type="dxa"/>
            <w:vAlign w:val="bottom"/>
          </w:tcPr>
          <w:p>
            <w:pPr>
              <w:spacing w:after="0"/>
              <w:rPr>
                <w:sz w:val="19"/>
                <w:szCs w:val="19"/>
                <w:color w:val="auto"/>
              </w:rPr>
            </w:pP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397</w:t>
            </w: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209</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180</w:t>
            </w:r>
          </w:p>
        </w:tc>
        <w:tc>
          <w:tcPr>
            <w:tcW w:w="12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2,499</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2,678</w:t>
            </w:r>
          </w:p>
        </w:tc>
        <w:tc>
          <w:tcPr>
            <w:tcW w:w="12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244</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277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Revenue</w:t>
      </w:r>
    </w:p>
    <w:p>
      <w:pPr>
        <w:spacing w:after="0" w:line="64"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Content licensing revenue </w:t>
      </w:r>
      <w:r>
        <w:rPr>
          <w:rFonts w:ascii="Times New Roman" w:cs="Times New Roman" w:eastAsia="Times New Roman" w:hAnsi="Times New Roman"/>
          <w:sz w:val="18"/>
          <w:szCs w:val="18"/>
          <w:color w:val="auto"/>
        </w:rPr>
        <w:t>decreased for the three months ended March 31, 2024 compared to the same period in 2023 primarily due to the timing of</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when content was made available by our film studios.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Theatrical revenue </w:t>
      </w:r>
      <w:r>
        <w:rPr>
          <w:rFonts w:ascii="Times New Roman" w:cs="Times New Roman" w:eastAsia="Times New Roman" w:hAnsi="Times New Roman"/>
          <w:sz w:val="18"/>
          <w:szCs w:val="18"/>
          <w:color w:val="auto"/>
        </w:rPr>
        <w:t>increased for the three months ended March 31, 2024 compared to the same period in 2023 primarily due to higher revenue from</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recent releases, including </w:t>
      </w:r>
      <w:r>
        <w:rPr>
          <w:rFonts w:ascii="Times New Roman" w:cs="Times New Roman" w:eastAsia="Times New Roman" w:hAnsi="Times New Roman"/>
          <w:sz w:val="18"/>
          <w:szCs w:val="18"/>
          <w:i w:val="1"/>
          <w:iCs w:val="1"/>
          <w:color w:val="auto"/>
        </w:rPr>
        <w:t>Kung Fu Panda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Migration</w:t>
      </w:r>
      <w:r>
        <w:rPr>
          <w:rFonts w:ascii="Times New Roman" w:cs="Times New Roman" w:eastAsia="Times New Roman" w:hAnsi="Times New Roman"/>
          <w:sz w:val="18"/>
          <w:szCs w:val="18"/>
          <w:color w:val="auto"/>
        </w:rPr>
        <w:t xml:space="preserve">, compared to revenue from releases in the prior year period, including </w:t>
      </w:r>
      <w:r>
        <w:rPr>
          <w:rFonts w:ascii="Times New Roman" w:cs="Times New Roman" w:eastAsia="Times New Roman" w:hAnsi="Times New Roman"/>
          <w:sz w:val="18"/>
          <w:szCs w:val="18"/>
          <w:i w:val="1"/>
          <w:iCs w:val="1"/>
          <w:color w:val="auto"/>
        </w:rPr>
        <w:t>Puss in Boots: The Last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Wish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M3GAN.</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Costs and Expenses</w:t>
      </w:r>
    </w:p>
    <w:p>
      <w:pPr>
        <w:spacing w:after="0" w:line="118"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Programming and production costs </w:t>
      </w:r>
      <w:r>
        <w:rPr>
          <w:rFonts w:ascii="Times New Roman" w:cs="Times New Roman" w:eastAsia="Times New Roman" w:hAnsi="Times New Roman"/>
          <w:sz w:val="18"/>
          <w:szCs w:val="18"/>
          <w:color w:val="auto"/>
        </w:rPr>
        <w:t>decreased for the three months ended March 31, 2024 compared to the same period in 2023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lower costs associated with content licensing.</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Marketing and promotion expenses </w:t>
      </w:r>
      <w:r>
        <w:rPr>
          <w:rFonts w:ascii="Times New Roman" w:cs="Times New Roman" w:eastAsia="Times New Roman" w:hAnsi="Times New Roman"/>
          <w:sz w:val="18"/>
          <w:szCs w:val="18"/>
          <w:color w:val="auto"/>
        </w:rPr>
        <w:t>increased for the three months ended March 31, 2024 compared to the same period in 2023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increased spending on recent and upcoming theatrical film releases in the current year period.</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3"/>
          </w:tcPr>
          <w:p>
            <w:pPr>
              <w:jc w:val="right"/>
              <w:ind w:right="855"/>
              <w:spacing w:after="0"/>
              <w:rPr>
                <w:sz w:val="20"/>
                <w:szCs w:val="20"/>
                <w:color w:val="auto"/>
              </w:rPr>
            </w:pPr>
            <w:r>
              <w:rPr>
                <w:rFonts w:ascii="Times New Roman" w:cs="Times New Roman" w:eastAsia="Times New Roman" w:hAnsi="Times New Roman"/>
                <w:sz w:val="14"/>
                <w:szCs w:val="14"/>
                <w:color w:val="auto"/>
              </w:rPr>
              <w:t>Three Months Ended</w:t>
            </w:r>
          </w:p>
        </w:tc>
        <w:tc>
          <w:tcPr>
            <w:tcW w:w="10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March 31,</w:t>
            </w:r>
          </w:p>
        </w:tc>
        <w:tc>
          <w:tcPr>
            <w:tcW w:w="1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color w:val="auto"/>
              </w:rPr>
              <w:t>2023</w:t>
            </w:r>
          </w:p>
        </w:tc>
        <w:tc>
          <w:tcPr>
            <w:tcW w:w="10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1,979</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1,949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1,347</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1,291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632</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658</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Theme parks segment revenue </w:t>
      </w:r>
      <w:r>
        <w:rPr>
          <w:rFonts w:ascii="Times New Roman" w:cs="Times New Roman" w:eastAsia="Times New Roman" w:hAnsi="Times New Roman"/>
          <w:sz w:val="18"/>
          <w:szCs w:val="18"/>
          <w:color w:val="auto"/>
        </w:rPr>
        <w:t>increased for the three months ended March 31, 2024 compared to the same period in 2023 driven by an increase at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our domestic theme parks in the current year period. International theme parks revenue was consistent with the prior year period as the underlying revenue increases at our theme parks were offset by the negative impact of foreign currency.</w:t>
      </w:r>
    </w:p>
    <w:p>
      <w:pPr>
        <w:spacing w:after="0" w:line="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Theme parks segment costs and expenses </w:t>
      </w:r>
      <w:r>
        <w:rPr>
          <w:rFonts w:ascii="Times New Roman" w:cs="Times New Roman" w:eastAsia="Times New Roman" w:hAnsi="Times New Roman"/>
          <w:sz w:val="18"/>
          <w:szCs w:val="18"/>
          <w:color w:val="auto"/>
        </w:rPr>
        <w:t>increased for the three months ended March 31, 2024 compared to the same period in 2023 primarily</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due to higher marketing and promotion costs, partially offset by the impact of foreign currency.</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&amp; Experiences Headquarters,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3"/>
          </w:tcPr>
          <w:p>
            <w:pPr>
              <w:jc w:val="right"/>
              <w:ind w:right="895"/>
              <w:spacing w:after="0"/>
              <w:rPr>
                <w:sz w:val="20"/>
                <w:szCs w:val="20"/>
                <w:color w:val="auto"/>
              </w:rPr>
            </w:pPr>
            <w:r>
              <w:rPr>
                <w:rFonts w:ascii="Times New Roman" w:cs="Times New Roman" w:eastAsia="Times New Roman" w:hAnsi="Times New Roman"/>
                <w:sz w:val="14"/>
                <w:szCs w:val="14"/>
                <w:color w:val="auto"/>
              </w:rPr>
              <w:t>Three Months Ended</w:t>
            </w:r>
          </w:p>
        </w:tc>
        <w:tc>
          <w:tcPr>
            <w:tcW w:w="124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March 31,</w:t>
            </w:r>
          </w:p>
        </w:tc>
        <w:tc>
          <w:tcPr>
            <w:tcW w:w="1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color w:val="auto"/>
              </w:rPr>
              <w:t>2024</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255</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251</w:t>
            </w:r>
          </w:p>
        </w:tc>
        <w:tc>
          <w:tcPr>
            <w:tcW w:w="12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(232)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Headquarters and Other expenses include overhead, personnel costs and costs associated with corporate initiatives.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gridSpan w:val="3"/>
          </w:tcPr>
          <w:p>
            <w:pPr>
              <w:jc w:val="right"/>
              <w:ind w:right="875"/>
              <w:spacing w:after="0"/>
              <w:rPr>
                <w:sz w:val="20"/>
                <w:szCs w:val="20"/>
                <w:color w:val="auto"/>
              </w:rPr>
            </w:pPr>
            <w:r>
              <w:rPr>
                <w:rFonts w:ascii="Times New Roman" w:cs="Times New Roman" w:eastAsia="Times New Roman" w:hAnsi="Times New Roman"/>
                <w:sz w:val="14"/>
                <w:szCs w:val="14"/>
                <w:color w:val="auto"/>
              </w:rPr>
              <w:t>Three Months Ended</w:t>
            </w:r>
          </w:p>
        </w:tc>
        <w:tc>
          <w:tcPr>
            <w:tcW w:w="124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6"/>
        </w:trPr>
        <w:tc>
          <w:tcPr>
            <w:tcW w:w="7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March 31,</w:t>
            </w:r>
          </w:p>
        </w:tc>
        <w:tc>
          <w:tcPr>
            <w:tcW w:w="1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2024</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(817)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(841)</w:t>
            </w:r>
          </w:p>
        </w:tc>
        <w:tc>
          <w:tcPr>
            <w:tcW w:w="1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33</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Amounts represent eliminations of transactions between segments in our Content &amp; Experiences business, the most significant being content licensing between the Studios and Media segments, which are affected by the timing of recognition of content licenses.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Eliminations increase or decrease to the extent that additional content is made available to our other segments within the Content &amp; Experiences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for additional information on transactions between our segments.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Results of Operations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3"/>
          </w:tcPr>
          <w:p>
            <w:pPr>
              <w:jc w:val="right"/>
              <w:ind w:right="895"/>
              <w:spacing w:after="0"/>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March 31,</w:t>
            </w:r>
          </w:p>
        </w:tc>
        <w:tc>
          <w:tcPr>
            <w:tcW w:w="1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color w:val="auto"/>
              </w:rPr>
              <w:t>2024</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color w:val="auto"/>
              </w:rPr>
              <w:t>2023</w:t>
            </w: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767</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6"/>
              </w:rPr>
              <w:t>707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1,096</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95"/>
              <w:spacing w:after="0"/>
              <w:rPr>
                <w:sz w:val="20"/>
                <w:szCs w:val="20"/>
                <w:color w:val="auto"/>
              </w:rPr>
            </w:pPr>
            <w:r>
              <w:rPr>
                <w:rFonts w:ascii="Times New Roman" w:cs="Times New Roman" w:eastAsia="Times New Roman" w:hAnsi="Times New Roman"/>
                <w:sz w:val="18"/>
                <w:szCs w:val="18"/>
                <w:color w:val="auto"/>
                <w:w w:val="96"/>
              </w:rPr>
              <w:t>995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center"/>
              <w:ind w:left="55"/>
              <w:spacing w:after="0"/>
              <w:rPr>
                <w:sz w:val="20"/>
                <w:szCs w:val="20"/>
                <w:color w:val="auto"/>
              </w:rPr>
            </w:pPr>
            <w:r>
              <w:rPr>
                <w:rFonts w:ascii="Times New Roman" w:cs="Times New Roman" w:eastAsia="Times New Roman" w:hAnsi="Times New Roman"/>
                <w:sz w:val="18"/>
                <w:szCs w:val="18"/>
                <w:b w:val="1"/>
                <w:bCs w:val="1"/>
                <w:color w:val="auto"/>
                <w:w w:val="97"/>
              </w:rPr>
              <w:t>(288)</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primarily includes overhead and personnel costs; Sky branded video services and television networks in Germany; Comcast Spectacor, which owns the Philadelphia Flyers and the Wells Fargo Center arena in Philadelphia, Pennsylvania; and Xumo, our consolidated streaming platform joint venture.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Other revenue increased for the three months ended March 31, 2024 compared to the same period in 2023 driven by increases across our businesses.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Other costs and expenses increased for the three months ended March 31, 2024 compared to the same period in 2023 primarily due to increases related to corporate functions, Sky and Xumo.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3"/>
          </w:tcPr>
          <w:p>
            <w:pPr>
              <w:jc w:val="right"/>
              <w:ind w:right="875"/>
              <w:spacing w:after="0"/>
              <w:rPr>
                <w:sz w:val="20"/>
                <w:szCs w:val="20"/>
                <w:color w:val="auto"/>
              </w:rPr>
            </w:pPr>
            <w:r>
              <w:rPr>
                <w:rFonts w:ascii="Times New Roman" w:cs="Times New Roman" w:eastAsia="Times New Roman" w:hAnsi="Times New Roman"/>
                <w:sz w:val="14"/>
                <w:szCs w:val="14"/>
                <w:color w:val="auto"/>
              </w:rPr>
              <w:t>Three Months Ended</w:t>
            </w:r>
          </w:p>
        </w:tc>
        <w:tc>
          <w:tcPr>
            <w:tcW w:w="122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March 31,</w:t>
            </w:r>
          </w:p>
        </w:tc>
        <w:tc>
          <w:tcPr>
            <w:tcW w:w="1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2024</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color w:val="auto"/>
              </w:rPr>
              <w:t>2023</w:t>
            </w: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(1,427)</w:t>
            </w: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(1,430)</w:t>
            </w:r>
          </w:p>
        </w:tc>
        <w:tc>
          <w:tcPr>
            <w:tcW w:w="12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3</w:t>
            </w:r>
          </w:p>
        </w:tc>
        <w:tc>
          <w:tcPr>
            <w:tcW w:w="12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represent eliminations of transactions between our Connectivity &amp; Platforms, Content &amp; Experiences and other businesses, the most significant being distribution of television network programming between the Media and Residential Connectivity &amp; Platforms segments. Eliminations of transactions between segments within Content &amp; Experiences are presented separately. Refer to Note 2 for additional information on transactions between our segments.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from Net Income Attributable to Comcast Corporation to Adjusted EBITDA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3,857</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3,834</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1,328</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1,002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(298)</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2,175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1,376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29"/>
        </w:trPr>
        <w:tc>
          <w:tcPr>
            <w:tcW w:w="8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9,355</w:t>
            </w:r>
          </w:p>
        </w:tc>
        <w:tc>
          <w:tcPr>
            <w:tcW w:w="6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Amounts represent the impact of certain events, gains, losses or other charges that are excluded from Adjusted EBITDA, including costs related to our investment portfolio.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Connectivity &amp; Platforms Constant Currency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jc w:val="center"/>
              <w:ind w:left="494"/>
              <w:spacing w:after="0"/>
              <w:rPr>
                <w:sz w:val="20"/>
                <w:szCs w:val="20"/>
                <w:color w:val="auto"/>
              </w:rPr>
            </w:pPr>
            <w:r>
              <w:rPr>
                <w:rFonts w:ascii="Times New Roman" w:cs="Times New Roman" w:eastAsia="Times New Roman" w:hAnsi="Times New Roman"/>
                <w:sz w:val="14"/>
                <w:szCs w:val="14"/>
                <w:color w:val="auto"/>
              </w:rPr>
              <w:t>Three months ended March 31, 2023</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11"/>
                <w:szCs w:val="11"/>
                <w:color w:val="auto"/>
              </w:rPr>
            </w:pPr>
          </w:p>
        </w:tc>
        <w:tc>
          <w:tcPr>
            <w:tcW w:w="1220" w:type="dxa"/>
            <w:vAlign w:val="bottom"/>
            <w:gridSpan w:val="2"/>
            <w:vMerge w:val="restart"/>
          </w:tcPr>
          <w:p>
            <w:pPr>
              <w:jc w:val="right"/>
              <w:ind w:right="334"/>
              <w:spacing w:after="0"/>
              <w:rPr>
                <w:sz w:val="20"/>
                <w:szCs w:val="20"/>
                <w:color w:val="auto"/>
              </w:rPr>
            </w:pPr>
            <w:r>
              <w:rPr>
                <w:rFonts w:ascii="Times New Roman" w:cs="Times New Roman" w:eastAsia="Times New Roman" w:hAnsi="Times New Roman"/>
                <w:sz w:val="14"/>
                <w:szCs w:val="14"/>
                <w:color w:val="auto"/>
              </w:rPr>
              <w:t>As Reported</w:t>
            </w:r>
          </w:p>
        </w:tc>
        <w:tc>
          <w:tcPr>
            <w:tcW w:w="134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60" w:type="dxa"/>
            <w:vAlign w:val="bottom"/>
          </w:tcPr>
          <w:p>
            <w:pPr>
              <w:spacing w:after="0"/>
              <w:rPr>
                <w:sz w:val="11"/>
                <w:szCs w:val="11"/>
                <w:color w:val="auto"/>
              </w:rPr>
            </w:pPr>
          </w:p>
        </w:tc>
        <w:tc>
          <w:tcPr>
            <w:tcW w:w="12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3"/>
        </w:trPr>
        <w:tc>
          <w:tcPr>
            <w:tcW w:w="6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93"/>
              <w:spacing w:after="0"/>
              <w:rPr>
                <w:sz w:val="20"/>
                <w:szCs w:val="20"/>
                <w:color w:val="auto"/>
              </w:rPr>
            </w:pPr>
            <w:r>
              <w:rPr>
                <w:rFonts w:ascii="Times New Roman" w:cs="Times New Roman" w:eastAsia="Times New Roman" w:hAnsi="Times New Roman"/>
                <w:sz w:val="14"/>
                <w:szCs w:val="14"/>
                <w:color w:val="auto"/>
              </w:rPr>
              <w:t>Currency</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17,869</w:t>
            </w: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18,004</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2,283</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revenue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20,153</w:t>
            </w:r>
          </w:p>
        </w:tc>
        <w:tc>
          <w:tcPr>
            <w:tcW w:w="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134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20,287</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6,762</w:t>
            </w: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6,780</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1,332</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8,093</w:t>
            </w:r>
          </w:p>
        </w:tc>
        <w:tc>
          <w:tcPr>
            <w:tcW w:w="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8,111</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37.8 %</w:t>
            </w:r>
          </w:p>
        </w:tc>
        <w:tc>
          <w:tcPr>
            <w:tcW w:w="30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 bps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58.3</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bps</w:t>
            </w:r>
          </w:p>
        </w:tc>
        <w:tc>
          <w:tcPr>
            <w:tcW w:w="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 margin</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40.2 %</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 bps</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40.0 %</w:t>
            </w:r>
          </w:p>
        </w:tc>
        <w:tc>
          <w:tcPr>
            <w:tcW w:w="0" w:type="dxa"/>
            <w:vAlign w:val="bottom"/>
          </w:tcPr>
          <w:p>
            <w:pPr>
              <w:spacing w:after="0"/>
              <w:rPr>
                <w:sz w:val="1"/>
                <w:szCs w:val="1"/>
                <w:color w:val="auto"/>
              </w:rPr>
            </w:pPr>
          </w:p>
        </w:tc>
      </w:tr>
      <w:tr>
        <w:trPr>
          <w:trHeight w:val="415"/>
        </w:trPr>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6"/>
          </w:tcPr>
          <w:p>
            <w:pPr>
              <w:jc w:val="center"/>
              <w:ind w:right="93"/>
              <w:spacing w:after="0"/>
              <w:rPr>
                <w:sz w:val="20"/>
                <w:szCs w:val="20"/>
                <w:color w:val="auto"/>
              </w:rPr>
            </w:pPr>
            <w:r>
              <w:rPr>
                <w:rFonts w:ascii="Times New Roman" w:cs="Times New Roman" w:eastAsia="Times New Roman" w:hAnsi="Times New Roman"/>
                <w:sz w:val="14"/>
                <w:szCs w:val="14"/>
                <w:color w:val="auto"/>
              </w:rPr>
              <w:t>Three months ended March 31, 2023</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color w:val="auto"/>
              </w:rPr>
              <w:t>As Reported</w:t>
            </w:r>
          </w:p>
        </w:tc>
        <w:tc>
          <w:tcPr>
            <w:tcW w:w="1340" w:type="dxa"/>
            <w:vAlign w:val="bottom"/>
            <w:gridSpan w:val="2"/>
          </w:tcPr>
          <w:p>
            <w:pPr>
              <w:jc w:val="center"/>
              <w:ind w:left="115"/>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60" w:type="dxa"/>
            <w:vAlign w:val="bottom"/>
          </w:tcPr>
          <w:p>
            <w:pPr>
              <w:spacing w:after="0"/>
              <w:rPr>
                <w:sz w:val="11"/>
                <w:szCs w:val="11"/>
                <w:color w:val="auto"/>
              </w:rPr>
            </w:pPr>
          </w:p>
        </w:tc>
        <w:tc>
          <w:tcPr>
            <w:tcW w:w="12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3"/>
        </w:trPr>
        <w:tc>
          <w:tcPr>
            <w:tcW w:w="6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color w:val="auto"/>
              </w:rPr>
              <w:t>Currency</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total Connectivity &amp; Platforms revenue per customer relationship</w:t>
            </w:r>
          </w:p>
        </w:tc>
        <w:tc>
          <w:tcPr>
            <w:tcW w:w="4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monthly total Connectivity &amp; Platforms Adjusted EBITDA per customer relationship</w:t>
            </w:r>
          </w:p>
        </w:tc>
        <w:tc>
          <w:tcPr>
            <w:tcW w:w="4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0" w:type="dxa"/>
            <w:vAlign w:val="bottom"/>
          </w:tcPr>
          <w:p>
            <w:pPr>
              <w:spacing w:after="0"/>
              <w:rPr>
                <w:sz w:val="1"/>
                <w:szCs w:val="1"/>
                <w:color w:val="auto"/>
              </w:rPr>
            </w:pPr>
          </w:p>
        </w:tc>
      </w:tr>
      <w:tr>
        <w:trPr>
          <w:trHeight w:val="911"/>
        </w:trPr>
        <w:tc>
          <w:tcPr>
            <w:tcW w:w="69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4"/>
          </w:tcPr>
          <w:p>
            <w:pPr>
              <w:jc w:val="center"/>
              <w:ind w:left="633"/>
              <w:spacing w:after="0"/>
              <w:rPr>
                <w:sz w:val="20"/>
                <w:szCs w:val="20"/>
                <w:color w:val="auto"/>
              </w:rPr>
            </w:pPr>
            <w:r>
              <w:rPr>
                <w:rFonts w:ascii="Times New Roman" w:cs="Times New Roman" w:eastAsia="Times New Roman" w:hAnsi="Times New Roman"/>
                <w:sz w:val="14"/>
                <w:szCs w:val="14"/>
                <w:color w:val="auto"/>
              </w:rPr>
              <w:t>Three months ended March 31, 2023</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1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As Reported</w:t>
            </w:r>
          </w:p>
        </w:tc>
        <w:tc>
          <w:tcPr>
            <w:tcW w:w="13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340" w:type="dxa"/>
            <w:vAlign w:val="bottom"/>
            <w:gridSpan w:val="2"/>
          </w:tcPr>
          <w:p>
            <w:pPr>
              <w:jc w:val="center"/>
              <w:ind w:left="16"/>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3"/>
        </w:trPr>
        <w:tc>
          <w:tcPr>
            <w:tcW w:w="72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color w:val="auto"/>
              </w:rPr>
              <w:t>Currency</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Programming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4,600</w:t>
            </w:r>
          </w:p>
        </w:tc>
        <w:tc>
          <w:tcPr>
            <w:tcW w:w="3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Technical and support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1,830</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2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product costs</w:t>
            </w:r>
          </w:p>
        </w:tc>
        <w:tc>
          <w:tcPr>
            <w:tcW w:w="18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1,401</w:t>
            </w:r>
          </w:p>
        </w:tc>
        <w:tc>
          <w:tcPr>
            <w:tcW w:w="3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2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service</w:t>
            </w:r>
          </w:p>
        </w:tc>
        <w:tc>
          <w:tcPr>
            <w:tcW w:w="18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709</w:t>
            </w:r>
          </w:p>
        </w:tc>
        <w:tc>
          <w:tcPr>
            <w:tcW w:w="3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2,317</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costs and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12,059</w:t>
            </w:r>
          </w:p>
        </w:tc>
        <w:tc>
          <w:tcPr>
            <w:tcW w:w="3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117</w:t>
            </w:r>
          </w:p>
        </w:tc>
        <w:tc>
          <w:tcPr>
            <w:tcW w:w="4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12,176</w:t>
            </w:r>
          </w:p>
        </w:tc>
        <w:tc>
          <w:tcPr>
            <w:tcW w:w="0" w:type="dxa"/>
            <w:vAlign w:val="bottom"/>
          </w:tcPr>
          <w:p>
            <w:pPr>
              <w:spacing w:after="0"/>
              <w:rPr>
                <w:sz w:val="1"/>
                <w:szCs w:val="1"/>
                <w:color w:val="auto"/>
              </w:rPr>
            </w:pPr>
          </w:p>
        </w:tc>
      </w:tr>
      <w:tr>
        <w:trPr>
          <w:trHeight w:val="438"/>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auto"/>
              </w:rPr>
              <w:t>Reconciliation of Residential Connectivity &amp; Platforms Constant Currency</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4"/>
          </w:tcPr>
          <w:p>
            <w:pPr>
              <w:jc w:val="center"/>
              <w:ind w:left="633"/>
              <w:spacing w:after="0"/>
              <w:rPr>
                <w:sz w:val="20"/>
                <w:szCs w:val="20"/>
                <w:color w:val="auto"/>
              </w:rPr>
            </w:pPr>
            <w:r>
              <w:rPr>
                <w:rFonts w:ascii="Times New Roman" w:cs="Times New Roman" w:eastAsia="Times New Roman" w:hAnsi="Times New Roman"/>
                <w:sz w:val="14"/>
                <w:szCs w:val="14"/>
                <w:color w:val="auto"/>
              </w:rPr>
              <w:t>Three months ended March 31, 2023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1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As Reported</w:t>
            </w:r>
          </w:p>
        </w:tc>
        <w:tc>
          <w:tcPr>
            <w:tcW w:w="13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340" w:type="dxa"/>
            <w:vAlign w:val="bottom"/>
            <w:gridSpan w:val="2"/>
          </w:tcPr>
          <w:p>
            <w:pPr>
              <w:jc w:val="center"/>
              <w:ind w:left="16"/>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color w:val="auto"/>
              </w:rPr>
              <w:t>Currency</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 broadband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6,343</w:t>
            </w:r>
          </w:p>
        </w:tc>
        <w:tc>
          <w:tcPr>
            <w:tcW w:w="3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 wireless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858</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897</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8,099</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0" w:type="dxa"/>
            <w:vAlign w:val="bottom"/>
          </w:tcPr>
          <w:p>
            <w:pPr>
              <w:spacing w:after="0"/>
              <w:rPr>
                <w:sz w:val="1"/>
                <w:szCs w:val="1"/>
                <w:color w:val="auto"/>
              </w:rPr>
            </w:pPr>
          </w:p>
        </w:tc>
      </w:tr>
      <w:tr>
        <w:trPr>
          <w:trHeight w:val="229"/>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18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7,382</w:t>
            </w:r>
          </w:p>
        </w:tc>
        <w:tc>
          <w:tcPr>
            <w:tcW w:w="3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907</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1,482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17,869</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18,004</w:t>
            </w:r>
          </w:p>
        </w:tc>
        <w:tc>
          <w:tcPr>
            <w:tcW w:w="0" w:type="dxa"/>
            <w:vAlign w:val="bottom"/>
          </w:tcPr>
          <w:p>
            <w:pPr>
              <w:spacing w:after="0"/>
              <w:rPr>
                <w:sz w:val="1"/>
                <w:szCs w:val="1"/>
                <w:color w:val="auto"/>
              </w:rPr>
            </w:pPr>
          </w:p>
        </w:tc>
      </w:tr>
      <w:tr>
        <w:trPr>
          <w:trHeight w:val="230"/>
        </w:trPr>
        <w:tc>
          <w:tcPr>
            <w:tcW w:w="7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Programming</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4,600</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6,508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11,108</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6,762</w:t>
            </w:r>
          </w:p>
        </w:tc>
        <w:tc>
          <w:tcPr>
            <w:tcW w:w="3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w:t>
            </w:r>
          </w:p>
        </w:tc>
        <w:tc>
          <w:tcPr>
            <w:tcW w:w="4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6,780</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Adjustments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4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6"/>
        </w:trPr>
        <w:tc>
          <w:tcPr>
            <w:tcW w:w="80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right="868"/>
              <w:spacing w:after="0"/>
              <w:rPr>
                <w:sz w:val="20"/>
                <w:szCs w:val="20"/>
                <w:color w:val="auto"/>
              </w:rPr>
            </w:pPr>
            <w:r>
              <w:rPr>
                <w:rFonts w:ascii="Times New Roman" w:cs="Times New Roman" w:eastAsia="Times New Roman" w:hAnsi="Times New Roman"/>
                <w:sz w:val="14"/>
                <w:szCs w:val="14"/>
                <w:color w:val="auto"/>
              </w:rPr>
              <w:t>March 31,</w:t>
            </w:r>
          </w:p>
        </w:tc>
      </w:tr>
      <w:tr>
        <w:trPr>
          <w:trHeight w:val="188"/>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(in billions)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24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4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4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4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9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4120" w:type="dxa"/>
            <w:vAlign w:val="bottom"/>
          </w:tcPr>
          <w:p>
            <w:pPr>
              <w:spacing w:after="0"/>
              <w:rPr>
                <w:sz w:val="24"/>
                <w:szCs w:val="24"/>
                <w:color w:val="auto"/>
              </w:rPr>
            </w:pPr>
          </w:p>
        </w:tc>
        <w:tc>
          <w:tcPr>
            <w:tcW w:w="138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March 31, 2024</w:t>
            </w:r>
          </w:p>
        </w:tc>
        <w:tc>
          <w:tcPr>
            <w:tcW w:w="260" w:type="dxa"/>
            <w:vAlign w:val="bottom"/>
          </w:tcPr>
          <w:p>
            <w:pPr>
              <w:spacing w:after="0"/>
              <w:rPr>
                <w:sz w:val="24"/>
                <w:szCs w:val="24"/>
                <w:color w:val="auto"/>
              </w:rPr>
            </w:pP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24"/>
        </w:trPr>
        <w:tc>
          <w:tcPr>
            <w:tcW w:w="41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4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96.6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898"/>
        </w:trPr>
        <w:tc>
          <w:tcPr>
            <w:tcW w:w="4120" w:type="dxa"/>
            <w:vAlign w:val="bottom"/>
          </w:tcPr>
          <w:p>
            <w:pPr>
              <w:spacing w:after="0"/>
              <w:rPr>
                <w:sz w:val="24"/>
                <w:szCs w:val="24"/>
                <w:color w:val="auto"/>
              </w:rPr>
            </w:pPr>
          </w:p>
        </w:tc>
        <w:tc>
          <w:tcPr>
            <w:tcW w:w="412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24</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4120" w:type="dxa"/>
            <w:vAlign w:val="bottom"/>
            <w:tcBorders>
              <w:bottom w:val="single" w:sz="8" w:color="9A9A9A"/>
            </w:tcBorders>
          </w:tcPr>
          <w:p>
            <w:pPr>
              <w:spacing w:after="0"/>
              <w:rPr>
                <w:sz w:val="19"/>
                <w:szCs w:val="19"/>
                <w:color w:val="auto"/>
              </w:rPr>
            </w:pPr>
          </w:p>
        </w:tc>
        <w:tc>
          <w:tcPr>
            <w:tcW w:w="4120" w:type="dxa"/>
            <w:vAlign w:val="bottom"/>
            <w:tcBorders>
              <w:bottom w:val="single" w:sz="8" w:color="9A9A9A"/>
            </w:tcBorders>
          </w:tcPr>
          <w:p>
            <w:pPr>
              <w:spacing w:after="0"/>
              <w:rPr>
                <w:sz w:val="19"/>
                <w:szCs w:val="19"/>
                <w:color w:val="auto"/>
              </w:rPr>
            </w:pPr>
          </w:p>
        </w:tc>
        <w:tc>
          <w:tcPr>
            <w:tcW w:w="13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3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March 31, 2024, amounts available under our revolving credit facility, net of amounts outstanding under our commercial paper program and outstanding letters of credit and bank guarantees, totaled $11.0 billion.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5,810</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3,551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373</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(940)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interest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(731)</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income taxes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investments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134</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7,848</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7,228</w:t>
            </w:r>
          </w:p>
        </w:tc>
      </w:tr>
    </w:tbl>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variance in changes in operating assets and liabilities for the three months ended March 31, 2024 compared to the same period in 2023 was primarily related to the timing of amortization and related payments for our film and television costs and decreases in receivables and inventory.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payments of income taxes for the three months ended March 31, 2024 compared to the same period in 2023 was primarily due to higher payments of state and foreign income taxes in the current year period. Income tax payments related to the sale of our investment in Hulu will primarily be made in 2024.</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increased for the three months ended March 31, 2024 compared to the same period in 2023 primarily due to increased purchases of short-term investments and decreased proceeds from the maturity of short-term investments in the current year period. This increase was partially offset by decreased cash paid for intangible assets related to software development and decreased capital expenditures. Capital expenditures decreased for the three months ended March 31, 2024 compared to the same period in 2023 primarily reflecting decreased spending on customer premise equipment, scalable infrastructure and support capital, partially offset by increased spending on line extensions by the Connectivity &amp; Platforms businesses.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we exercised our put right requiring Disney to purchase our interest in Hulu and received $8.6 billion, representing $9.2 billion for our share of Hulu’s minimum equity value presented as an advance on the sale of our investment in our condensed consolidated balance sheet, less $557 million for our share of prior capital calls. We expect to receive additional proceeds for the sale of our interest in Hulu in 2024 following the final determination of Hulu’s fair value pursuant to a third-party appraisal process, at which time we will recognize the sale of our interest.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for the three months ended March 31, 2024 compared to the same period in 2023 primarily due to higher proceeds from borrowings in the prior year period and increases in repurchases of common stock and repurchases and repayments of debt in the current year period. This increase was partially offset by repayments of short-term borrowings in the prior year period.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we repurchased $267 million principal amount of our debt, including $132 million of 3.375% Notes due 2025, $97 million of 3.950% Notes due 2025 and $25 million of 5.250% Notes due 2025.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In particular, we may repurchase varying amounts of our outstanding public notes and debentures with short to medium term maturities through privately negotiated or market transactions. See Notes 5 and 7 for additional information on our financing activities.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we repurchased a total of 56 million shares of our Class A common stock for $2.4 billion. In January 2024, our Board of Directors terminated the existing share repurchase program authorization and approved a new share repurchase program authorization of $15.0 billion, which has no expiration date. As of March 31, 2024, we had $13.2 billion remaining under the authorization. We expect to repurchase additional shares of our Class A common stock under this new authorization in the open market or in private transactions, subject to market and other conditions.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paid $256 million for the three months ended March 31, 2024 related to employee taxes associated with the administration of our share-based compensation plans.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2024, our Board of Directors approved a 6.9% increase in our dividend to $1.24 per share on an annualized basis and approved our first quarter dividend of $0.31 per share, which was paid in April 2024. During the three months ended March 31, 2024, we paid dividends of $1.2 billion. We expect to continue to pay quarterly dividends, although each dividend is subject to approval by our Board of Directors.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and Guarantee Structure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400" w:type="dxa"/>
            <w:vAlign w:val="bottom"/>
          </w:tcPr>
          <w:p>
            <w:pPr>
              <w:spacing w:after="0"/>
              <w:rPr>
                <w:sz w:val="16"/>
                <w:szCs w:val="16"/>
                <w:color w:val="auto"/>
              </w:rPr>
            </w:pPr>
          </w:p>
        </w:tc>
        <w:tc>
          <w:tcPr>
            <w:tcW w:w="146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March 31, 2024</w:t>
            </w:r>
          </w:p>
        </w:tc>
        <w:tc>
          <w:tcPr>
            <w:tcW w:w="200" w:type="dxa"/>
            <w:vAlign w:val="bottom"/>
          </w:tcPr>
          <w:p>
            <w:pPr>
              <w:spacing w:after="0"/>
              <w:rPr>
                <w:sz w:val="16"/>
                <w:szCs w:val="16"/>
                <w:color w:val="auto"/>
              </w:rPr>
            </w:pPr>
          </w:p>
        </w:tc>
        <w:tc>
          <w:tcPr>
            <w:tcW w:w="152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23"/>
        </w:trPr>
        <w:tc>
          <w:tcPr>
            <w:tcW w:w="7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Cross-Guarantees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Comcast</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30"/>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NBCUniversal</w:t>
            </w:r>
            <w:r>
              <w:rPr>
                <w:rFonts w:ascii="Times New Roman" w:cs="Times New Roman" w:eastAsia="Times New Roman" w:hAnsi="Times New Roman"/>
                <w:sz w:val="23"/>
                <w:szCs w:val="23"/>
                <w:color w:val="auto"/>
                <w:vertAlign w:val="superscript"/>
              </w:rPr>
              <w:t>(a)</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Comcast Cable</w:t>
            </w:r>
            <w:r>
              <w:rPr>
                <w:rFonts w:ascii="Times New Roman" w:cs="Times New Roman" w:eastAsia="Times New Roman" w:hAnsi="Times New Roman"/>
                <w:sz w:val="23"/>
                <w:szCs w:val="23"/>
                <w:color w:val="auto"/>
                <w:vertAlign w:val="superscript"/>
              </w:rPr>
              <w:t>(a)</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7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One-Way Guarantees</w:t>
            </w: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Sky</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Not Guaranteed</w:t>
            </w: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Universal Beijing Resort</w:t>
            </w:r>
            <w:r>
              <w:rPr>
                <w:rFonts w:ascii="Times New Roman" w:cs="Times New Roman" w:eastAsia="Times New Roman" w:hAnsi="Times New Roman"/>
                <w:sz w:val="23"/>
                <w:szCs w:val="23"/>
                <w:color w:val="auto"/>
                <w:vertAlign w:val="superscript"/>
              </w:rPr>
              <w:t>(b)</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7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175"/>
        </w:trPr>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Debt issuance costs, premiums, discounts, fair value adjustments for acquisition accounting and hedged</w:t>
            </w:r>
          </w:p>
        </w:tc>
        <w:tc>
          <w:tcPr>
            <w:tcW w:w="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43"/>
        </w:trPr>
        <w:tc>
          <w:tcPr>
            <w:tcW w:w="7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positions, net</w:t>
            </w:r>
          </w:p>
        </w:tc>
        <w:tc>
          <w:tcPr>
            <w:tcW w:w="4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7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r>
    </w:tbl>
    <w:p>
      <w:pPr>
        <w:spacing w:after="0" w:line="180" w:lineRule="exact"/>
        <w:rPr>
          <w:sz w:val="20"/>
          <w:szCs w:val="20"/>
          <w:color w:val="auto"/>
        </w:rPr>
      </w:pPr>
    </w:p>
    <w:p>
      <w:pPr>
        <w:jc w:val="both"/>
        <w:ind w:left="340" w:hanging="332"/>
        <w:spacing w:after="0" w:line="281" w:lineRule="auto"/>
        <w:tabs>
          <w:tab w:leader="none" w:pos="33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 Media, LLC (“NBCUniversal”), Comcast Cable Communications, LLC (“Comcast Cable”) and Comcast Holdings Corporation (“Comcast Holdings”), which is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Beijing Resort debt financing is secured by the assets of Universal Beijing Resort and the equity interests of the investors. See Note 6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Cross-Guarantees</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2024 and December 31, 2023, the combined Guarantors have noncurrent notes payable to non-guarantor subsidiaries of $138 billion and $136 billion, respectively, and noncurrent notes receivable from non-guarantor subsidiaries of $18 billion for both periods.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One-Way Guarantees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Comcast provides full and unconditional guarantees of certain debt issued by Sky Limited (“Sky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including all of its senior notes, and other consolidated subsidiaries not subject to the periodic reporting requirements of the SEC.</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2024 and December 31, 2023, Comcast and Comcast Holdings, the combined issuer and guarantor of the guaranteed subordinated debt, have noncurrent senior notes payable to non-guarantor subsidiaries of $106 billion and $104 billion, respectively, and noncurrent notes receivable from non-guarantor subsidiaries of $14 billion for both periods.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more complete discussion of the accounting estimates that we have identified as critical in the preparation of our condensed consolidated financial statements, please refer to our Management’s Discussion and Analysis of Financial Condition and Results of Operations in our 2023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evaluated the information required under this item that was disclosed in our 2023 Annual Report on Form 10-K and there have been no material changes to this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included in this Quarterly Report on Form 10-Q for a discussion of legal proceedings.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Item 1A of our 2023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Comcast’s common stock repurchases during the three months ended March 31,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center"/>
              <w:ind w:right="81"/>
              <w:spacing w:after="0"/>
              <w:rPr>
                <w:sz w:val="20"/>
                <w:szCs w:val="20"/>
                <w:color w:val="auto"/>
              </w:rPr>
            </w:pPr>
            <w:r>
              <w:rPr>
                <w:rFonts w:ascii="Times New Roman" w:cs="Times New Roman" w:eastAsia="Times New Roman" w:hAnsi="Times New Roman"/>
                <w:sz w:val="14"/>
                <w:szCs w:val="14"/>
                <w:color w:val="auto"/>
              </w:rPr>
              <w:t>Total Dollar</w:t>
            </w:r>
          </w:p>
        </w:tc>
        <w:tc>
          <w:tcPr>
            <w:tcW w:w="220" w:type="dxa"/>
            <w:vAlign w:val="bottom"/>
          </w:tcPr>
          <w:p>
            <w:pPr>
              <w:spacing w:after="0"/>
              <w:rPr>
                <w:sz w:val="13"/>
                <w:szCs w:val="13"/>
                <w:color w:val="auto"/>
              </w:rPr>
            </w:pPr>
          </w:p>
        </w:tc>
        <w:tc>
          <w:tcPr>
            <w:tcW w:w="1520" w:type="dxa"/>
            <w:vAlign w:val="bottom"/>
          </w:tcPr>
          <w:p>
            <w:pPr>
              <w:jc w:val="center"/>
              <w:ind w:right="81"/>
              <w:spacing w:after="0"/>
              <w:rPr>
                <w:sz w:val="20"/>
                <w:szCs w:val="20"/>
                <w:color w:val="auto"/>
              </w:rPr>
            </w:pPr>
            <w:r>
              <w:rPr>
                <w:rFonts w:ascii="Times New Roman" w:cs="Times New Roman" w:eastAsia="Times New Roman" w:hAnsi="Times New Roman"/>
                <w:sz w:val="14"/>
                <w:szCs w:val="14"/>
                <w:color w:val="auto"/>
              </w:rPr>
              <w:t>Maximum Dollar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90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color w:val="auto"/>
                <w:w w:val="94"/>
              </w:rPr>
              <w:t>Total</w:t>
            </w:r>
          </w:p>
        </w:tc>
        <w:tc>
          <w:tcPr>
            <w:tcW w:w="440" w:type="dxa"/>
            <w:vAlign w:val="bottom"/>
          </w:tcPr>
          <w:p>
            <w:pPr>
              <w:spacing w:after="0"/>
              <w:rPr>
                <w:sz w:val="12"/>
                <w:szCs w:val="12"/>
                <w:color w:val="auto"/>
              </w:rPr>
            </w:pPr>
          </w:p>
        </w:tc>
        <w:tc>
          <w:tcPr>
            <w:tcW w:w="1100" w:type="dxa"/>
            <w:vAlign w:val="bottom"/>
            <w:vMerge w:val="restart"/>
          </w:tcPr>
          <w:p>
            <w:pPr>
              <w:jc w:val="center"/>
              <w:ind w:right="259"/>
              <w:spacing w:after="0"/>
              <w:rPr>
                <w:sz w:val="20"/>
                <w:szCs w:val="20"/>
                <w:color w:val="auto"/>
              </w:rPr>
            </w:pPr>
            <w:r>
              <w:rPr>
                <w:rFonts w:ascii="Times New Roman" w:cs="Times New Roman" w:eastAsia="Times New Roman" w:hAnsi="Times New Roman"/>
                <w:sz w:val="14"/>
                <w:szCs w:val="14"/>
                <w:color w:val="auto"/>
              </w:rPr>
              <w:t>Average</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240" w:type="dxa"/>
            <w:vAlign w:val="bottom"/>
          </w:tcPr>
          <w:p>
            <w:pPr>
              <w:spacing w:after="0"/>
              <w:rPr>
                <w:sz w:val="12"/>
                <w:szCs w:val="12"/>
                <w:color w:val="auto"/>
              </w:rPr>
            </w:pPr>
          </w:p>
        </w:tc>
        <w:tc>
          <w:tcPr>
            <w:tcW w:w="14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152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color w:val="auto"/>
              </w:rPr>
              <w:t>Value of Shares That</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101"/>
              <w:spacing w:after="0" w:line="145" w:lineRule="exact"/>
              <w:rPr>
                <w:sz w:val="20"/>
                <w:szCs w:val="20"/>
                <w:color w:val="auto"/>
              </w:rPr>
            </w:pPr>
            <w:r>
              <w:rPr>
                <w:rFonts w:ascii="Times New Roman" w:cs="Times New Roman" w:eastAsia="Times New Roman" w:hAnsi="Times New Roman"/>
                <w:sz w:val="14"/>
                <w:szCs w:val="14"/>
                <w:color w:val="auto"/>
              </w:rPr>
              <w:t>Purchased</w:t>
            </w:r>
          </w:p>
        </w:tc>
        <w:tc>
          <w:tcPr>
            <w:tcW w:w="220" w:type="dxa"/>
            <w:vAlign w:val="bottom"/>
          </w:tcPr>
          <w:p>
            <w:pPr>
              <w:spacing w:after="0"/>
              <w:rPr>
                <w:sz w:val="12"/>
                <w:szCs w:val="12"/>
                <w:color w:val="auto"/>
              </w:rPr>
            </w:pPr>
          </w:p>
        </w:tc>
        <w:tc>
          <w:tcPr>
            <w:tcW w:w="1520" w:type="dxa"/>
            <w:vAlign w:val="bottom"/>
          </w:tcPr>
          <w:p>
            <w:pPr>
              <w:jc w:val="center"/>
              <w:ind w:right="101"/>
              <w:spacing w:after="0" w:line="145" w:lineRule="exact"/>
              <w:rPr>
                <w:sz w:val="20"/>
                <w:szCs w:val="20"/>
                <w:color w:val="auto"/>
              </w:rPr>
            </w:pPr>
            <w:r>
              <w:rPr>
                <w:rFonts w:ascii="Times New Roman" w:cs="Times New Roman" w:eastAsia="Times New Roman" w:hAnsi="Times New Roman"/>
                <w:sz w:val="14"/>
                <w:szCs w:val="14"/>
                <w:color w:val="auto"/>
              </w:rPr>
              <w:t>May Yet Be</w:t>
            </w: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190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4"/>
                <w:szCs w:val="14"/>
                <w:color w:val="auto"/>
              </w:rPr>
              <w:t>Number of</w:t>
            </w:r>
          </w:p>
        </w:tc>
        <w:tc>
          <w:tcPr>
            <w:tcW w:w="440" w:type="dxa"/>
            <w:vAlign w:val="bottom"/>
          </w:tcPr>
          <w:p>
            <w:pPr>
              <w:spacing w:after="0"/>
              <w:rPr>
                <w:sz w:val="12"/>
                <w:szCs w:val="12"/>
                <w:color w:val="auto"/>
              </w:rPr>
            </w:pPr>
          </w:p>
        </w:tc>
        <w:tc>
          <w:tcPr>
            <w:tcW w:w="1100" w:type="dxa"/>
            <w:vAlign w:val="bottom"/>
          </w:tcPr>
          <w:p>
            <w:pPr>
              <w:jc w:val="center"/>
              <w:ind w:right="279"/>
              <w:spacing w:after="0" w:line="139" w:lineRule="exact"/>
              <w:rPr>
                <w:sz w:val="20"/>
                <w:szCs w:val="20"/>
                <w:color w:val="auto"/>
              </w:rPr>
            </w:pPr>
            <w:r>
              <w:rPr>
                <w:rFonts w:ascii="Times New Roman" w:cs="Times New Roman" w:eastAsia="Times New Roman" w:hAnsi="Times New Roman"/>
                <w:sz w:val="14"/>
                <w:szCs w:val="14"/>
                <w:color w:val="auto"/>
              </w:rPr>
              <w:t>Price</w:t>
            </w:r>
          </w:p>
        </w:tc>
        <w:tc>
          <w:tcPr>
            <w:tcW w:w="19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Shares Purchased</w:t>
            </w:r>
          </w:p>
        </w:tc>
        <w:tc>
          <w:tcPr>
            <w:tcW w:w="240" w:type="dxa"/>
            <w:vAlign w:val="bottom"/>
          </w:tcPr>
          <w:p>
            <w:pPr>
              <w:spacing w:after="0"/>
              <w:rPr>
                <w:sz w:val="12"/>
                <w:szCs w:val="12"/>
                <w:color w:val="auto"/>
              </w:rPr>
            </w:pPr>
          </w:p>
        </w:tc>
        <w:tc>
          <w:tcPr>
            <w:tcW w:w="1460" w:type="dxa"/>
            <w:vAlign w:val="bottom"/>
          </w:tcPr>
          <w:p>
            <w:pPr>
              <w:jc w:val="center"/>
              <w:ind w:right="101"/>
              <w:spacing w:after="0" w:line="139" w:lineRule="exact"/>
              <w:rPr>
                <w:sz w:val="20"/>
                <w:szCs w:val="20"/>
                <w:color w:val="auto"/>
              </w:rPr>
            </w:pPr>
            <w:r>
              <w:rPr>
                <w:rFonts w:ascii="Times New Roman" w:cs="Times New Roman" w:eastAsia="Times New Roman" w:hAnsi="Times New Roman"/>
                <w:sz w:val="14"/>
                <w:szCs w:val="14"/>
                <w:color w:val="auto"/>
              </w:rPr>
              <w:t>Under the Publicly</w:t>
            </w:r>
          </w:p>
        </w:tc>
        <w:tc>
          <w:tcPr>
            <w:tcW w:w="220" w:type="dxa"/>
            <w:vAlign w:val="bottom"/>
          </w:tcPr>
          <w:p>
            <w:pPr>
              <w:spacing w:after="0"/>
              <w:rPr>
                <w:sz w:val="12"/>
                <w:szCs w:val="12"/>
                <w:color w:val="auto"/>
              </w:rPr>
            </w:pPr>
          </w:p>
        </w:tc>
        <w:tc>
          <w:tcPr>
            <w:tcW w:w="1520" w:type="dxa"/>
            <w:vAlign w:val="bottom"/>
          </w:tcPr>
          <w:p>
            <w:pPr>
              <w:jc w:val="center"/>
              <w:ind w:right="81"/>
              <w:spacing w:after="0" w:line="139" w:lineRule="exact"/>
              <w:rPr>
                <w:sz w:val="20"/>
                <w:szCs w:val="20"/>
                <w:color w:val="auto"/>
              </w:rPr>
            </w:pPr>
            <w:r>
              <w:rPr>
                <w:rFonts w:ascii="Times New Roman" w:cs="Times New Roman" w:eastAsia="Times New Roman" w:hAnsi="Times New Roman"/>
                <w:sz w:val="14"/>
                <w:szCs w:val="14"/>
                <w:color w:val="auto"/>
              </w:rPr>
              <w:t>Purchased Under the</w:t>
            </w:r>
          </w:p>
        </w:tc>
        <w:tc>
          <w:tcPr>
            <w:tcW w:w="0" w:type="dxa"/>
            <w:vAlign w:val="bottom"/>
          </w:tcPr>
          <w:p>
            <w:pPr>
              <w:spacing w:after="0"/>
              <w:rPr>
                <w:sz w:val="1"/>
                <w:szCs w:val="1"/>
                <w:color w:val="auto"/>
              </w:rPr>
            </w:pPr>
          </w:p>
        </w:tc>
      </w:tr>
      <w:tr>
        <w:trPr>
          <w:trHeight w:val="144"/>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900" w:type="dxa"/>
            <w:vAlign w:val="bottom"/>
          </w:tcPr>
          <w:p>
            <w:pPr>
              <w:jc w:val="center"/>
              <w:ind w:right="39"/>
              <w:spacing w:after="0" w:line="145" w:lineRule="exact"/>
              <w:rPr>
                <w:sz w:val="20"/>
                <w:szCs w:val="20"/>
                <w:color w:val="auto"/>
              </w:rPr>
            </w:pPr>
            <w:r>
              <w:rPr>
                <w:rFonts w:ascii="Times New Roman" w:cs="Times New Roman" w:eastAsia="Times New Roman" w:hAnsi="Times New Roman"/>
                <w:sz w:val="14"/>
                <w:szCs w:val="14"/>
                <w:color w:val="auto"/>
              </w:rPr>
              <w:t>Shares</w:t>
            </w:r>
          </w:p>
        </w:tc>
        <w:tc>
          <w:tcPr>
            <w:tcW w:w="440" w:type="dxa"/>
            <w:vAlign w:val="bottom"/>
          </w:tcPr>
          <w:p>
            <w:pPr>
              <w:spacing w:after="0"/>
              <w:rPr>
                <w:sz w:val="12"/>
                <w:szCs w:val="12"/>
                <w:color w:val="auto"/>
              </w:rPr>
            </w:pPr>
          </w:p>
        </w:tc>
        <w:tc>
          <w:tcPr>
            <w:tcW w:w="1100" w:type="dxa"/>
            <w:vAlign w:val="bottom"/>
          </w:tcPr>
          <w:p>
            <w:pPr>
              <w:jc w:val="center"/>
              <w:ind w:right="279"/>
              <w:spacing w:after="0" w:line="145" w:lineRule="exact"/>
              <w:rPr>
                <w:sz w:val="20"/>
                <w:szCs w:val="20"/>
                <w:color w:val="auto"/>
              </w:rPr>
            </w:pPr>
            <w:r>
              <w:rPr>
                <w:rFonts w:ascii="Times New Roman" w:cs="Times New Roman" w:eastAsia="Times New Roman" w:hAnsi="Times New Roman"/>
                <w:sz w:val="14"/>
                <w:szCs w:val="14"/>
                <w:color w:val="auto"/>
                <w:w w:val="96"/>
              </w:rPr>
              <w:t>Per</w:t>
            </w:r>
          </w:p>
        </w:tc>
        <w:tc>
          <w:tcPr>
            <w:tcW w:w="1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as Part of Publicly</w:t>
            </w:r>
          </w:p>
        </w:tc>
        <w:tc>
          <w:tcPr>
            <w:tcW w:w="240" w:type="dxa"/>
            <w:vAlign w:val="bottom"/>
          </w:tcPr>
          <w:p>
            <w:pPr>
              <w:spacing w:after="0"/>
              <w:rPr>
                <w:sz w:val="12"/>
                <w:szCs w:val="12"/>
                <w:color w:val="auto"/>
              </w:rPr>
            </w:pPr>
          </w:p>
        </w:tc>
        <w:tc>
          <w:tcPr>
            <w:tcW w:w="1460" w:type="dxa"/>
            <w:vAlign w:val="bottom"/>
          </w:tcPr>
          <w:p>
            <w:pPr>
              <w:jc w:val="center"/>
              <w:ind w:right="81"/>
              <w:spacing w:after="0" w:line="145" w:lineRule="exact"/>
              <w:rPr>
                <w:sz w:val="20"/>
                <w:szCs w:val="20"/>
                <w:color w:val="auto"/>
              </w:rPr>
            </w:pPr>
            <w:r>
              <w:rPr>
                <w:rFonts w:ascii="Times New Roman" w:cs="Times New Roman" w:eastAsia="Times New Roman" w:hAnsi="Times New Roman"/>
                <w:sz w:val="14"/>
                <w:szCs w:val="14"/>
                <w:color w:val="auto"/>
              </w:rPr>
              <w:t>Announced</w:t>
            </w:r>
          </w:p>
        </w:tc>
        <w:tc>
          <w:tcPr>
            <w:tcW w:w="220" w:type="dxa"/>
            <w:vAlign w:val="bottom"/>
          </w:tcPr>
          <w:p>
            <w:pPr>
              <w:spacing w:after="0"/>
              <w:rPr>
                <w:sz w:val="12"/>
                <w:szCs w:val="12"/>
                <w:color w:val="auto"/>
              </w:rPr>
            </w:pPr>
          </w:p>
        </w:tc>
        <w:tc>
          <w:tcPr>
            <w:tcW w:w="1520" w:type="dxa"/>
            <w:vAlign w:val="bottom"/>
          </w:tcPr>
          <w:p>
            <w:pPr>
              <w:jc w:val="center"/>
              <w:ind w:right="101"/>
              <w:spacing w:after="0" w:line="145" w:lineRule="exact"/>
              <w:rPr>
                <w:sz w:val="20"/>
                <w:szCs w:val="20"/>
                <w:color w:val="auto"/>
              </w:rPr>
            </w:pPr>
            <w:r>
              <w:rPr>
                <w:rFonts w:ascii="Times New Roman" w:cs="Times New Roman" w:eastAsia="Times New Roman" w:hAnsi="Times New Roman"/>
                <w:sz w:val="14"/>
                <w:szCs w:val="14"/>
                <w:color w:val="auto"/>
              </w:rPr>
              <w:t>Publicly Announced</w:t>
            </w:r>
          </w:p>
        </w:tc>
        <w:tc>
          <w:tcPr>
            <w:tcW w:w="0" w:type="dxa"/>
            <w:vAlign w:val="bottom"/>
          </w:tcPr>
          <w:p>
            <w:pPr>
              <w:spacing w:after="0"/>
              <w:rPr>
                <w:sz w:val="1"/>
                <w:szCs w:val="1"/>
                <w:color w:val="auto"/>
              </w:rPr>
            </w:pPr>
          </w:p>
        </w:tc>
      </w:tr>
      <w:tr>
        <w:trPr>
          <w:trHeight w:val="203"/>
        </w:trPr>
        <w:tc>
          <w:tcPr>
            <w:tcW w:w="2080" w:type="dxa"/>
            <w:vAlign w:val="bottom"/>
            <w:tcBorders>
              <w:bottom w:val="single" w:sz="8" w:color="auto"/>
            </w:tcBorders>
            <w:vMerge w:val="continue"/>
          </w:tcPr>
          <w:p>
            <w:pPr>
              <w:spacing w:after="0"/>
              <w:rPr>
                <w:sz w:val="17"/>
                <w:szCs w:val="17"/>
                <w:color w:val="auto"/>
              </w:rPr>
            </w:pPr>
          </w:p>
        </w:tc>
        <w:tc>
          <w:tcPr>
            <w:tcW w:w="1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color w:val="auto"/>
              </w:rPr>
              <w:t>Purchased</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color w:val="auto"/>
              </w:rPr>
              <w:t>Share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Announced Authorization</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rPr>
              <w:t>Authorization</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01"/>
              <w:spacing w:after="0" w:line="202" w:lineRule="exact"/>
              <w:rPr>
                <w:sz w:val="20"/>
                <w:szCs w:val="20"/>
                <w:color w:val="auto"/>
              </w:rPr>
            </w:pPr>
            <w:r>
              <w:rPr>
                <w:rFonts w:ascii="Times New Roman" w:cs="Times New Roman" w:eastAsia="Times New Roman" w:hAnsi="Times New Roman"/>
                <w:sz w:val="14"/>
                <w:szCs w:val="14"/>
                <w:color w:val="auto"/>
                <w:w w:val="98"/>
              </w:rPr>
              <w:t>Authorization</w:t>
            </w:r>
            <w:r>
              <w:rPr>
                <w:rFonts w:ascii="Times New Roman" w:cs="Times New Roman" w:eastAsia="Times New Roman" w:hAnsi="Times New Roman"/>
                <w:sz w:val="18"/>
                <w:szCs w:val="18"/>
                <w:color w:val="auto"/>
                <w:w w:val="98"/>
                <w:vertAlign w:val="superscript"/>
              </w:rPr>
              <w:t>(a)</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1-31, 2024</w:t>
            </w:r>
          </w:p>
        </w:tc>
        <w:tc>
          <w:tcPr>
            <w:tcW w:w="19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17,178,651</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43.95</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17,178,651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754,999,127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14,840,000,081</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1-29, 2024</w:t>
            </w:r>
          </w:p>
        </w:tc>
        <w:tc>
          <w:tcPr>
            <w:tcW w:w="19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22,479,364</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42.62</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22,479,364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958,050,098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13,881,949,983</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1-31, 2024</w:t>
            </w:r>
          </w:p>
        </w:tc>
        <w:tc>
          <w:tcPr>
            <w:tcW w:w="19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16,303,521</w:t>
            </w: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42.63</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16,303,521</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694,997,151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13,186,952,831</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55,961,536</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43.03</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55,961,536</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2,408,046,377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13,186,952,831</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0" w:hanging="332"/>
        <w:spacing w:after="0" w:line="281" w:lineRule="auto"/>
        <w:tabs>
          <w:tab w:leader="none" w:pos="33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2022, our Board of Directors approved a share repurchase program authorization of $20.0 billion. In January of 2024, our Board of Directors terminated the existing program and approved a new share repurchase authorization of $15.0 billion effective as of January 26, 2024, which has no expiration date. We expect to repurchase additional shares of our Class A common stock under this authorization, in the open market or in private transactions, subject to market and other conditions.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Exhibit</w:t>
      </w:r>
    </w:p>
    <w:p>
      <w:pPr>
        <w:ind w:left="280"/>
        <w:spacing w:after="0"/>
        <w:tabs>
          <w:tab w:leader="none" w:pos="88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 w:lineRule="exact"/>
        <w:rPr>
          <w:sz w:val="20"/>
          <w:szCs w:val="20"/>
          <w:color w:val="auto"/>
        </w:rPr>
      </w:pPr>
    </w:p>
    <w:p>
      <w:pPr>
        <w:ind w:left="900" w:hanging="874"/>
        <w:spacing w:after="0"/>
        <w:tabs>
          <w:tab w:leader="none" w:pos="900" w:val="left"/>
        </w:tabs>
        <w:numPr>
          <w:ilvl w:val="0"/>
          <w:numId w:val="1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302 of the Sarbanes-Oxley Act of 2002.</w:t>
      </w:r>
    </w:p>
    <w:p>
      <w:pPr>
        <w:spacing w:after="0" w:line="27" w:lineRule="exact"/>
        <w:rPr>
          <w:rFonts w:ascii="Times New Roman" w:cs="Times New Roman" w:eastAsia="Times New Roman" w:hAnsi="Times New Roman"/>
          <w:sz w:val="18"/>
          <w:szCs w:val="18"/>
          <w:u w:val="single" w:color="auto"/>
          <w:color w:val="0000FF"/>
        </w:rPr>
      </w:pPr>
    </w:p>
    <w:p>
      <w:pPr>
        <w:ind w:left="900" w:hanging="874"/>
        <w:spacing w:after="0"/>
        <w:tabs>
          <w:tab w:leader="none" w:pos="900" w:val="left"/>
        </w:tabs>
        <w:numPr>
          <w:ilvl w:val="0"/>
          <w:numId w:val="1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906 of the Sarbanes-Oxley Act of 2002.</w:t>
      </w:r>
    </w:p>
    <w:p>
      <w:pPr>
        <w:spacing w:after="0" w:line="23" w:lineRule="exact"/>
        <w:rPr>
          <w:sz w:val="20"/>
          <w:szCs w:val="20"/>
          <w:color w:val="auto"/>
        </w:rPr>
      </w:pPr>
    </w:p>
    <w:p>
      <w:pPr>
        <w:jc w:val="both"/>
        <w:ind w:left="900" w:right="20" w:hanging="874"/>
        <w:spacing w:after="0" w:line="22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Comcast Corporation’s Quarterly Report on Form 10-Q for the three months ended March 31, 2024, filed with the Securities and Exchange Commission on April 25, 2024, formatted in Inline Extensible Business Reporting Language (iXBRL):</w:t>
      </w:r>
    </w:p>
    <w:p>
      <w:pPr>
        <w:jc w:val="both"/>
        <w:ind w:left="900" w:right="20" w:firstLine="3"/>
        <w:spacing w:after="0" w:line="218" w:lineRule="auto"/>
        <w:tabs>
          <w:tab w:leader="none" w:pos="11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Income; (ii) the Condensed Consolidated Statements of Comprehensive Income; (iii) the Condensed Consolidated Statements of Cash Flows; (iv) the Condensed Consolidated Balance Sheets; (v) the Condensed Consolidated Statements of Changes in Equity; and (vi) the Notes to Condensed Consolidated Financial Statements.</w:t>
      </w:r>
    </w:p>
    <w:p>
      <w:pPr>
        <w:spacing w:after="0" w:line="10"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ind w:left="900" w:hanging="87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Constitutes a management contract or compensatory plan or arrangement.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77" w:lineRule="exact"/>
        <w:rPr>
          <w:sz w:val="20"/>
          <w:szCs w:val="20"/>
          <w:color w:val="auto"/>
        </w:rPr>
      </w:pPr>
    </w:p>
    <w:p>
      <w:pPr>
        <w:ind w:left="580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Daniel C. Murdock</w:t>
      </w:r>
    </w:p>
    <w:p>
      <w:pPr>
        <w:ind w:left="6380"/>
        <w:spacing w:after="0" w:line="205" w:lineRule="auto"/>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7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60" w:hanging="644"/>
        <w:spacing w:after="0" w:line="266"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2024</w:t>
      </w:r>
    </w:p>
    <w:p>
      <w:pPr>
        <w:spacing w:after="0" w:line="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36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 Jason S. Armstrong, certify that:</w:t>
      </w:r>
    </w:p>
    <w:p>
      <w:pPr>
        <w:spacing w:after="0" w:line="63"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60" w:hanging="644"/>
        <w:spacing w:after="0" w:line="266"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2024</w:t>
      </w:r>
    </w:p>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3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0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25,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68"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Brian L. Roberts, the Chief Executive Officer and Jason S. Armstrong, the Chief Financial Officer of Comcast Corporation, each certifies that, to the best of his knowledge:</w:t>
      </w:r>
    </w:p>
    <w:p>
      <w:pPr>
        <w:spacing w:after="0" w:line="54"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660" w:right="52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Comcast Corporation.</w:t>
      </w:r>
    </w:p>
    <w:p>
      <w:pPr>
        <w:spacing w:after="0" w:line="9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34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Letter"/>
      <w:start w:val="2"/>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31"/>
    </w:lvl>
  </w:abstractNum>
  <w:abstractNum w:abstractNumId="18">
    <w:nsid w:val="628C895D"/>
    <w:multiLevelType w:val="hybridMultilevel"/>
    <w:lvl w:ilvl="0">
      <w:lvlJc w:val="left"/>
      <w:lvlText w:val="%1"/>
      <w:numFmt w:val="decimal"/>
      <w:start w:val="101"/>
    </w:lvl>
    <w:lvl w:ilvl="1">
      <w:lvlJc w:val="left"/>
      <w:lvlText w:val="(%2)"/>
      <w:numFmt w:val="lowerRoman"/>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2024-04-25T14:20:18Z</dcterms:created>
  <dcterms:modified xsi:type="dcterms:W3CDTF">2024-04-25T14:20:18Z</dcterms:modified>
</cp:coreProperties>
</file>