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186690</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Registrant; State of</w:t>
      </w:r>
    </w:p>
    <w:p>
      <w:pPr>
        <w:spacing w:after="0" w:line="15" w:lineRule="exact"/>
        <w:rPr>
          <w:sz w:val="24"/>
          <w:szCs w:val="24"/>
          <w:color w:val="auto"/>
        </w:rPr>
      </w:pPr>
    </w:p>
    <w:p>
      <w:pPr>
        <w:jc w:val="center"/>
        <w:ind w:right="860"/>
        <w:spacing w:after="0"/>
        <w:rPr>
          <w:sz w:val="20"/>
          <w:szCs w:val="20"/>
          <w:color w:val="auto"/>
        </w:rPr>
      </w:pPr>
      <w:r>
        <w:rPr>
          <w:rFonts w:ascii="Arial" w:cs="Arial" w:eastAsia="Arial" w:hAnsi="Arial"/>
          <w:sz w:val="15"/>
          <w:szCs w:val="15"/>
          <w:color w:val="auto"/>
        </w:rPr>
        <w:t>Incorporation; Address and Telephone</w:t>
      </w:r>
    </w:p>
    <w:p>
      <w:pPr>
        <w:spacing w:after="0" w:line="44"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38" w:lineRule="exact"/>
        <w:rPr>
          <w:sz w:val="24"/>
          <w:szCs w:val="24"/>
          <w:color w:val="auto"/>
        </w:rPr>
      </w:pPr>
    </w:p>
    <w:p>
      <w:pPr>
        <w:sectPr>
          <w:pgSz w:w="11900" w:h="16838" w:orient="portrait"/>
          <w:cols w:equalWidth="0" w:num="3">
            <w:col w:w="3660" w:space="720"/>
            <w:col w:w="3560" w:space="720"/>
            <w:col w:w="276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680" w:type="dxa"/>
            <w:vAlign w:val="bottom"/>
            <w:tcBorders>
              <w:top w:val="single" w:sz="8" w:color="auto"/>
            </w:tcBorders>
            <w:vMerge w:val="restart"/>
          </w:tcPr>
          <w:p>
            <w:pPr>
              <w:jc w:val="right"/>
              <w:ind w:right="652"/>
              <w:spacing w:after="0"/>
              <w:rPr>
                <w:sz w:val="20"/>
                <w:szCs w:val="20"/>
                <w:color w:val="auto"/>
              </w:rPr>
            </w:pPr>
            <w:r>
              <w:rPr>
                <w:rFonts w:ascii="Arial" w:cs="Arial" w:eastAsia="Arial" w:hAnsi="Arial"/>
                <w:sz w:val="18"/>
                <w:szCs w:val="18"/>
                <w:b w:val="1"/>
                <w:bCs w:val="1"/>
                <w:color w:val="auto"/>
              </w:rPr>
              <w:t>001-32871</w:t>
            </w:r>
          </w:p>
        </w:tc>
        <w:tc>
          <w:tcPr>
            <w:tcW w:w="60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8"/>
                <w:szCs w:val="18"/>
                <w:b w:val="1"/>
                <w:bCs w:val="1"/>
                <w:color w:val="auto"/>
              </w:rPr>
              <w:t>COMCAST CORPORATION</w:t>
            </w:r>
          </w:p>
        </w:tc>
        <w:tc>
          <w:tcPr>
            <w:tcW w:w="2680" w:type="dxa"/>
            <w:vAlign w:val="bottom"/>
            <w:tcBorders>
              <w:top w:val="single" w:sz="8" w:color="auto"/>
            </w:tcBorders>
            <w:vMerge w:val="restart"/>
          </w:tcPr>
          <w:p>
            <w:pPr>
              <w:jc w:val="right"/>
              <w:ind w:right="1032"/>
              <w:spacing w:after="0"/>
              <w:rPr>
                <w:sz w:val="20"/>
                <w:szCs w:val="20"/>
                <w:color w:val="auto"/>
              </w:rPr>
            </w:pPr>
            <w:r>
              <w:rPr>
                <w:rFonts w:ascii="Arial" w:cs="Arial" w:eastAsia="Arial" w:hAnsi="Arial"/>
                <w:sz w:val="18"/>
                <w:szCs w:val="18"/>
                <w:b w:val="1"/>
                <w:bCs w:val="1"/>
                <w:color w:val="auto"/>
              </w:rPr>
              <w:t>27-0000798</w:t>
            </w:r>
          </w:p>
        </w:tc>
        <w:tc>
          <w:tcPr>
            <w:tcW w:w="0" w:type="dxa"/>
            <w:vAlign w:val="bottom"/>
          </w:tcPr>
          <w:p>
            <w:pPr>
              <w:spacing w:after="0"/>
              <w:rPr>
                <w:sz w:val="1"/>
                <w:szCs w:val="1"/>
                <w:color w:val="auto"/>
              </w:rPr>
            </w:pPr>
          </w:p>
        </w:tc>
      </w:tr>
      <w:tr>
        <w:trPr>
          <w:trHeight w:val="71"/>
        </w:trPr>
        <w:tc>
          <w:tcPr>
            <w:tcW w:w="2680" w:type="dxa"/>
            <w:vAlign w:val="bottom"/>
            <w:vMerge w:val="continue"/>
          </w:tcPr>
          <w:p>
            <w:pPr>
              <w:spacing w:after="0"/>
              <w:rPr>
                <w:sz w:val="6"/>
                <w:szCs w:val="6"/>
                <w:color w:val="auto"/>
              </w:rPr>
            </w:pPr>
          </w:p>
        </w:tc>
        <w:tc>
          <w:tcPr>
            <w:tcW w:w="606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268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96"/>
              </w:rPr>
              <w:t>PENNSYLVANIA</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One Comcast Center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Philadelphia, PA 19103-2838</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80" w:type="dxa"/>
            <w:vAlign w:val="bottom"/>
          </w:tcPr>
          <w:p>
            <w:pPr>
              <w:spacing w:after="0"/>
              <w:rPr>
                <w:sz w:val="19"/>
                <w:szCs w:val="19"/>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9"/>
              </w:rPr>
              <w:t>(215) 286-1700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680" w:type="dxa"/>
            <w:vAlign w:val="bottom"/>
            <w:vMerge w:val="restart"/>
          </w:tcPr>
          <w:p>
            <w:pPr>
              <w:jc w:val="right"/>
              <w:ind w:right="652"/>
              <w:spacing w:after="0"/>
              <w:rPr>
                <w:sz w:val="20"/>
                <w:szCs w:val="20"/>
                <w:color w:val="auto"/>
              </w:rPr>
            </w:pPr>
            <w:r>
              <w:rPr>
                <w:rFonts w:ascii="Arial" w:cs="Arial" w:eastAsia="Arial" w:hAnsi="Arial"/>
                <w:sz w:val="18"/>
                <w:szCs w:val="18"/>
                <w:b w:val="1"/>
                <w:bCs w:val="1"/>
                <w:color w:val="auto"/>
              </w:rPr>
              <w:t>001-36438</w:t>
            </w:r>
          </w:p>
        </w:tc>
        <w:tc>
          <w:tcPr>
            <w:tcW w:w="6060" w:type="dxa"/>
            <w:vAlign w:val="bottom"/>
          </w:tcPr>
          <w:p>
            <w:pPr>
              <w:jc w:val="center"/>
              <w:spacing w:after="0" w:line="286" w:lineRule="exact"/>
              <w:rPr>
                <w:sz w:val="20"/>
                <w:szCs w:val="20"/>
                <w:color w:val="auto"/>
              </w:rPr>
            </w:pPr>
            <w:r>
              <w:rPr>
                <w:rFonts w:ascii="Arial" w:cs="Arial" w:eastAsia="Arial" w:hAnsi="Arial"/>
                <w:sz w:val="32"/>
                <w:szCs w:val="32"/>
                <w:b w:val="1"/>
                <w:bCs w:val="1"/>
                <w:color w:val="auto"/>
              </w:rPr>
              <w:t>NBCUNIVERSAL MEDIA, LLC</w:t>
            </w:r>
          </w:p>
        </w:tc>
        <w:tc>
          <w:tcPr>
            <w:tcW w:w="2680" w:type="dxa"/>
            <w:vAlign w:val="bottom"/>
            <w:vMerge w:val="restart"/>
          </w:tcPr>
          <w:p>
            <w:pPr>
              <w:jc w:val="right"/>
              <w:ind w:right="1032"/>
              <w:spacing w:after="0"/>
              <w:rPr>
                <w:sz w:val="20"/>
                <w:szCs w:val="20"/>
                <w:color w:val="auto"/>
              </w:rPr>
            </w:pPr>
            <w:r>
              <w:rPr>
                <w:rFonts w:ascii="Arial" w:cs="Arial" w:eastAsia="Arial" w:hAnsi="Arial"/>
                <w:sz w:val="18"/>
                <w:szCs w:val="18"/>
                <w:b w:val="1"/>
                <w:bCs w:val="1"/>
                <w:color w:val="auto"/>
              </w:rPr>
              <w:t>14-1682529</w:t>
            </w:r>
          </w:p>
        </w:tc>
        <w:tc>
          <w:tcPr>
            <w:tcW w:w="0" w:type="dxa"/>
            <w:vAlign w:val="bottom"/>
          </w:tcPr>
          <w:p>
            <w:pPr>
              <w:spacing w:after="0"/>
              <w:rPr>
                <w:sz w:val="1"/>
                <w:szCs w:val="1"/>
                <w:color w:val="auto"/>
              </w:rPr>
            </w:pPr>
          </w:p>
        </w:tc>
      </w:tr>
      <w:tr>
        <w:trPr>
          <w:trHeight w:val="52"/>
        </w:trPr>
        <w:tc>
          <w:tcPr>
            <w:tcW w:w="2680" w:type="dxa"/>
            <w:vAlign w:val="bottom"/>
            <w:vMerge w:val="continue"/>
          </w:tcPr>
          <w:p>
            <w:pPr>
              <w:spacing w:after="0"/>
              <w:rPr>
                <w:sz w:val="4"/>
                <w:szCs w:val="4"/>
                <w:color w:val="auto"/>
              </w:rPr>
            </w:pPr>
          </w:p>
        </w:tc>
        <w:tc>
          <w:tcPr>
            <w:tcW w:w="606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 Rockefeller Plaza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10112-0015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1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ind w:right="160"/>
        <w:spacing w:after="0" w:line="317" w:lineRule="auto"/>
        <w:rPr>
          <w:sz w:val="20"/>
          <w:szCs w:val="20"/>
          <w:color w:val="auto"/>
        </w:rPr>
      </w:pPr>
      <w:r>
        <w:rPr>
          <w:rFonts w:ascii="Arial" w:cs="Arial" w:eastAsia="Arial" w:hAnsi="Arial"/>
          <w:sz w:val="16"/>
          <w:szCs w:val="16"/>
          <w:color w:val="auto"/>
        </w:rPr>
        <w:t>Comcast Corporation NBCUniversal Media, LLC</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338" w:lineRule="auto"/>
        <w:rPr>
          <w:sz w:val="20"/>
          <w:szCs w:val="20"/>
          <w:color w:val="auto"/>
        </w:rPr>
      </w:pPr>
      <w:r>
        <w:rPr>
          <w:rFonts w:ascii="Arial" w:cs="Arial" w:eastAsia="Arial" w:hAnsi="Arial"/>
          <w:sz w:val="15"/>
          <w:szCs w:val="15"/>
          <w:color w:val="auto"/>
        </w:rPr>
        <w:t>Large accelerated filer Large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2120" w:space="720"/>
            <w:col w:w="1580" w:space="320"/>
            <w:col w:w="1460" w:space="280"/>
            <w:col w:w="1760" w:space="360"/>
            <w:col w:w="2200" w:space="440"/>
            <w:col w:w="18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ectPr>
          <w:pgSz w:w="11900" w:h="16838" w:orient="portrait"/>
          <w:cols w:equalWidth="0" w:num="1">
            <w:col w:w="11420"/>
          </w:cols>
          <w:pgMar w:left="240" w:top="230" w:right="239" w:bottom="1440" w:gutter="0" w:footer="0" w:header="0"/>
          <w:type w:val="continuous"/>
        </w:sectPr>
      </w:pPr>
    </w:p>
    <w:p>
      <w:pPr>
        <w:spacing w:after="0" w:line="98"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15"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7"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ind w:right="20"/>
        <w:spacing w:after="0" w:line="268" w:lineRule="auto"/>
        <w:rPr>
          <w:sz w:val="20"/>
          <w:szCs w:val="20"/>
          <w:color w:val="auto"/>
        </w:rPr>
      </w:pPr>
      <w:r>
        <w:rPr>
          <w:rFonts w:ascii="Arial" w:cs="Arial" w:eastAsia="Arial" w:hAnsi="Arial"/>
          <w:sz w:val="18"/>
          <w:szCs w:val="18"/>
          <w:color w:val="auto"/>
        </w:rPr>
        <w:t>As of June 30, 2014, there were 2,149,576,442 shares of Comcast Corporation Class A common stock, 429,082,218 shares of Comcast Corporation Class A Special common stock and 9,444,375 shares of Comcast Corporation Class B common stock outstanding.</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stock, as of the latest practical date: Not applicable for NBCUniversal Media, LLC.</w:t>
      </w:r>
    </w:p>
    <w:p>
      <w:pPr>
        <w:spacing w:after="0" w:line="80"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8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20" w:type="dxa"/>
            <w:vAlign w:val="bottom"/>
            <w:gridSpan w:val="20"/>
          </w:tcPr>
          <w:p>
            <w:pPr>
              <w:spacing w:after="0" w:line="129" w:lineRule="exact"/>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FINANCIAL INFORMATION</w:t>
              </w:r>
            </w:hyperlink>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tcBorders>
              <w:top w:val="single" w:sz="8" w:color="0000EE"/>
            </w:tcBorders>
            <w:gridSpan w:val="2"/>
          </w:tcPr>
          <w:p>
            <w:pPr>
              <w:ind w:left="800"/>
              <w:spacing w:after="0" w:line="129" w:lineRule="exact"/>
              <w:rPr>
                <w:sz w:val="20"/>
                <w:szCs w:val="20"/>
                <w:color w:val="auto"/>
              </w:rPr>
            </w:pPr>
            <w:r>
              <w:rPr>
                <w:rFonts w:ascii="Arial" w:cs="Arial" w:eastAsia="Arial" w:hAnsi="Arial"/>
                <w:sz w:val="14"/>
                <w:szCs w:val="14"/>
                <w:b w:val="1"/>
                <w:bCs w:val="1"/>
                <w:color w:val="auto"/>
              </w:rPr>
              <w:t>Item 1.</w:t>
            </w:r>
          </w:p>
        </w:tc>
        <w:tc>
          <w:tcPr>
            <w:tcW w:w="500" w:type="dxa"/>
            <w:vAlign w:val="bottom"/>
            <w:tcBorders>
              <w:top w:val="single" w:sz="8" w:color="0000EE"/>
            </w:tcBorders>
            <w:gridSpan w:val="3"/>
          </w:tcPr>
          <w:p>
            <w:pPr>
              <w:spacing w:after="0" w:line="129" w:lineRule="exact"/>
              <w:rPr>
                <w:rFonts w:ascii="Arial" w:cs="Arial" w:eastAsia="Arial" w:hAnsi="Arial"/>
                <w:sz w:val="14"/>
                <w:szCs w:val="14"/>
                <w:color w:val="0000EE"/>
                <w:w w:val="86"/>
              </w:rPr>
            </w:pPr>
            <w:hyperlink w:anchor="page3">
              <w:r>
                <w:rPr>
                  <w:rFonts w:ascii="Arial" w:cs="Arial" w:eastAsia="Arial" w:hAnsi="Arial"/>
                  <w:sz w:val="14"/>
                  <w:szCs w:val="14"/>
                  <w:color w:val="0000EE"/>
                  <w:w w:val="86"/>
                </w:rPr>
                <w:t>Comcast</w:t>
              </w:r>
            </w:hyperlink>
          </w:p>
        </w:tc>
        <w:tc>
          <w:tcPr>
            <w:tcW w:w="7740" w:type="dxa"/>
            <w:vAlign w:val="bottom"/>
            <w:gridSpan w:val="15"/>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Corporation Financial Statements</w:t>
              </w:r>
            </w:hyperlink>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Borders>
              <w:top w:val="single" w:sz="8" w:color="0000EE"/>
            </w:tcBorders>
            <w:gridSpan w:val="8"/>
          </w:tcPr>
          <w:p>
            <w:pPr>
              <w:spacing w:after="0" w:line="129" w:lineRule="exact"/>
              <w:rPr>
                <w:rFonts w:ascii="Arial" w:cs="Arial" w:eastAsia="Arial" w:hAnsi="Arial"/>
                <w:sz w:val="14"/>
                <w:szCs w:val="14"/>
                <w:color w:val="0000EE"/>
                <w:w w:val="84"/>
              </w:rPr>
            </w:pPr>
            <w:hyperlink w:anchor="page3">
              <w:r>
                <w:rPr>
                  <w:rFonts w:ascii="Arial" w:cs="Arial" w:eastAsia="Arial" w:hAnsi="Arial"/>
                  <w:sz w:val="14"/>
                  <w:szCs w:val="14"/>
                  <w:color w:val="0000EE"/>
                  <w:w w:val="84"/>
                </w:rPr>
                <w:t>Condensed Consolidated Balance Sheet as</w:t>
              </w:r>
            </w:hyperlink>
          </w:p>
        </w:tc>
        <w:tc>
          <w:tcPr>
            <w:tcW w:w="5920" w:type="dxa"/>
            <w:vAlign w:val="bottom"/>
            <w:gridSpan w:val="10"/>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of June 30, 2014 and December 31, 2013 (Unaudited)</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40" w:type="dxa"/>
            <w:vAlign w:val="bottom"/>
            <w:tcBorders>
              <w:top w:val="single" w:sz="8" w:color="0000EE"/>
            </w:tcBorders>
            <w:gridSpan w:val="13"/>
          </w:tcPr>
          <w:p>
            <w:pPr>
              <w:spacing w:after="0" w:line="129" w:lineRule="exact"/>
              <w:rPr>
                <w:rFonts w:ascii="Arial" w:cs="Arial" w:eastAsia="Arial" w:hAnsi="Arial"/>
                <w:sz w:val="14"/>
                <w:szCs w:val="14"/>
                <w:color w:val="0000EE"/>
                <w:w w:val="85"/>
              </w:rPr>
            </w:pPr>
            <w:hyperlink w:anchor="page4">
              <w:r>
                <w:rPr>
                  <w:rFonts w:ascii="Arial" w:cs="Arial" w:eastAsia="Arial" w:hAnsi="Arial"/>
                  <w:sz w:val="14"/>
                  <w:szCs w:val="14"/>
                  <w:color w:val="0000EE"/>
                  <w:w w:val="85"/>
                </w:rPr>
                <w:t>Condensed Consolidated Statement of Income for the Three and Six Months Ended June 30, 2014</w:t>
              </w:r>
            </w:hyperlink>
          </w:p>
        </w:tc>
        <w:tc>
          <w:tcPr>
            <w:tcW w:w="3000" w:type="dxa"/>
            <w:vAlign w:val="bottom"/>
            <w:gridSpan w:val="5"/>
          </w:tcPr>
          <w:p>
            <w:pPr>
              <w:ind w:left="80"/>
              <w:spacing w:after="0" w:line="129" w:lineRule="exact"/>
              <w:rPr>
                <w:rFonts w:ascii="Arial" w:cs="Arial" w:eastAsia="Arial" w:hAnsi="Arial"/>
                <w:sz w:val="14"/>
                <w:szCs w:val="14"/>
                <w:color w:val="0000EE"/>
              </w:rPr>
            </w:pPr>
            <w:hyperlink w:anchor="page4">
              <w:r>
                <w:rPr>
                  <w:rFonts w:ascii="Arial" w:cs="Arial" w:eastAsia="Arial" w:hAnsi="Arial"/>
                  <w:sz w:val="14"/>
                  <w:szCs w:val="14"/>
                  <w:color w:val="0000EE"/>
                </w:rPr>
                <w:t>and 2013 (Unaudited)</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40" w:type="dxa"/>
            <w:vAlign w:val="bottom"/>
            <w:gridSpan w:val="18"/>
          </w:tcPr>
          <w:p>
            <w:pPr>
              <w:spacing w:after="0" w:line="129" w:lineRule="exact"/>
              <w:rPr>
                <w:rFonts w:ascii="Arial" w:cs="Arial" w:eastAsia="Arial" w:hAnsi="Arial"/>
                <w:sz w:val="14"/>
                <w:szCs w:val="14"/>
                <w:color w:val="0000EE"/>
                <w:w w:val="96"/>
              </w:rPr>
            </w:pPr>
            <w:hyperlink w:anchor="page5">
              <w:r>
                <w:rPr>
                  <w:rFonts w:ascii="Arial" w:cs="Arial" w:eastAsia="Arial" w:hAnsi="Arial"/>
                  <w:sz w:val="14"/>
                  <w:szCs w:val="14"/>
                  <w:color w:val="0000EE"/>
                  <w:w w:val="96"/>
                </w:rPr>
                <w:t>Condensed Consolidated Statement of Comprehensive Income for the Three and Six Months Ended June 30, 2014 and 2013 (Unaudited)</w:t>
              </w:r>
            </w:hyperlink>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0" w:type="dxa"/>
            <w:vAlign w:val="bottom"/>
            <w:tcBorders>
              <w:top w:val="single" w:sz="8" w:color="0000EE"/>
            </w:tcBorders>
            <w:gridSpan w:val="17"/>
          </w:tcPr>
          <w:p>
            <w:pPr>
              <w:spacing w:after="0" w:line="129" w:lineRule="exact"/>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 of Cash Flows for the Six Months Ended June 30, 2014 and 2013 (Unaudited)</w:t>
              </w:r>
            </w:hyperlink>
          </w:p>
        </w:tc>
        <w:tc>
          <w:tcPr>
            <w:tcW w:w="840" w:type="dxa"/>
            <w:vAlign w:val="bottom"/>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40" w:type="dxa"/>
            <w:vAlign w:val="bottom"/>
            <w:gridSpan w:val="18"/>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Six Months Ended June 30, 2014 and 2013 (Unaudited)</w:t>
              </w:r>
            </w:hyperlink>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52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720" w:type="dxa"/>
            <w:vAlign w:val="bottom"/>
            <w:gridSpan w:val="2"/>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3680" w:type="dxa"/>
            <w:vAlign w:val="bottom"/>
            <w:tcBorders>
              <w:top w:val="single" w:sz="8" w:color="0000EE"/>
            </w:tcBorders>
            <w:gridSpan w:val="11"/>
          </w:tcPr>
          <w:p>
            <w:pPr>
              <w:spacing w:after="0" w:line="129" w:lineRule="exact"/>
              <w:rPr>
                <w:rFonts w:ascii="Arial" w:cs="Arial" w:eastAsia="Arial" w:hAnsi="Arial"/>
                <w:sz w:val="14"/>
                <w:szCs w:val="14"/>
                <w:color w:val="0000EE"/>
                <w:w w:val="88"/>
              </w:rPr>
            </w:pPr>
            <w:hyperlink w:anchor="page29">
              <w:r>
                <w:rPr>
                  <w:rFonts w:ascii="Arial" w:cs="Arial" w:eastAsia="Arial" w:hAnsi="Arial"/>
                  <w:sz w:val="14"/>
                  <w:szCs w:val="14"/>
                  <w:color w:val="0000EE"/>
                  <w:w w:val="88"/>
                </w:rPr>
                <w:t>Management’s Discussion and Analysis of Financial Condition and</w:t>
              </w:r>
            </w:hyperlink>
          </w:p>
        </w:tc>
        <w:tc>
          <w:tcPr>
            <w:tcW w:w="4560" w:type="dxa"/>
            <w:vAlign w:val="bottom"/>
            <w:gridSpan w:val="7"/>
          </w:tcPr>
          <w:p>
            <w:pPr>
              <w:spacing w:after="0" w:line="129" w:lineRule="exact"/>
              <w:rPr>
                <w:rFonts w:ascii="Arial" w:cs="Arial" w:eastAsia="Arial" w:hAnsi="Arial"/>
                <w:sz w:val="14"/>
                <w:szCs w:val="14"/>
                <w:color w:val="0000EE"/>
              </w:rPr>
            </w:pPr>
            <w:hyperlink w:anchor="page29">
              <w:r>
                <w:rPr>
                  <w:rFonts w:ascii="Arial" w:cs="Arial" w:eastAsia="Arial" w:hAnsi="Arial"/>
                  <w:sz w:val="14"/>
                  <w:szCs w:val="14"/>
                  <w:color w:val="0000EE"/>
                </w:rPr>
                <w:t>Results of Operations</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4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Quantitative and Qualitative Disclosures About Market Risk</w:t>
              </w:r>
            </w:hyperlink>
          </w:p>
        </w:tc>
        <w:tc>
          <w:tcPr>
            <w:tcW w:w="3400" w:type="dxa"/>
            <w:vAlign w:val="bottom"/>
            <w:gridSpan w:val="6"/>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132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83"/>
              </w:rPr>
            </w:pPr>
            <w:hyperlink w:anchor="page46">
              <w:r>
                <w:rPr>
                  <w:rFonts w:ascii="Arial" w:cs="Arial" w:eastAsia="Arial" w:hAnsi="Arial"/>
                  <w:sz w:val="14"/>
                  <w:szCs w:val="14"/>
                  <w:color w:val="0000EE"/>
                  <w:w w:val="83"/>
                </w:rPr>
                <w:t>Controls and Procedures</w:t>
              </w:r>
            </w:hyperlink>
          </w:p>
        </w:tc>
        <w:tc>
          <w:tcPr>
            <w:tcW w:w="1960" w:type="dxa"/>
            <w:vAlign w:val="bottom"/>
            <w:tcBorders>
              <w:top w:val="single" w:sz="8" w:color="0000EE"/>
            </w:tcBorders>
            <w:gridSpan w:val="3"/>
          </w:tcPr>
          <w:p>
            <w:pPr>
              <w:spacing w:after="0"/>
              <w:rPr>
                <w:sz w:val="11"/>
                <w:szCs w:val="11"/>
                <w:color w:val="auto"/>
              </w:rPr>
            </w:pPr>
          </w:p>
        </w:tc>
        <w:tc>
          <w:tcPr>
            <w:tcW w:w="4960" w:type="dxa"/>
            <w:vAlign w:val="bottom"/>
            <w:gridSpan w:val="8"/>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3120" w:type="dxa"/>
            <w:vAlign w:val="bottom"/>
            <w:gridSpan w:val="10"/>
          </w:tcPr>
          <w:p>
            <w:pPr>
              <w:spacing w:after="0" w:line="129" w:lineRule="exact"/>
              <w:rPr>
                <w:rFonts w:ascii="Arial" w:cs="Arial" w:eastAsia="Arial" w:hAnsi="Arial"/>
                <w:sz w:val="14"/>
                <w:szCs w:val="14"/>
                <w:b w:val="1"/>
                <w:bCs w:val="1"/>
                <w:color w:val="0000EE"/>
              </w:rPr>
            </w:pPr>
            <w:hyperlink w:anchor="page46">
              <w:r>
                <w:rPr>
                  <w:rFonts w:ascii="Arial" w:cs="Arial" w:eastAsia="Arial" w:hAnsi="Arial"/>
                  <w:sz w:val="14"/>
                  <w:szCs w:val="14"/>
                  <w:b w:val="1"/>
                  <w:bCs w:val="1"/>
                  <w:color w:val="0000EE"/>
                </w:rPr>
                <w:t>PART II. OTHER INFORMATION</w:t>
              </w:r>
            </w:hyperlink>
          </w:p>
        </w:tc>
        <w:tc>
          <w:tcPr>
            <w:tcW w:w="1940" w:type="dxa"/>
            <w:vAlign w:val="bottom"/>
            <w:gridSpan w:val="2"/>
          </w:tcPr>
          <w:p>
            <w:pPr>
              <w:spacing w:after="0"/>
              <w:rPr>
                <w:sz w:val="11"/>
                <w:szCs w:val="11"/>
                <w:color w:val="auto"/>
              </w:rPr>
            </w:pPr>
          </w:p>
        </w:tc>
        <w:tc>
          <w:tcPr>
            <w:tcW w:w="4980" w:type="dxa"/>
            <w:vAlign w:val="bottom"/>
            <w:gridSpan w:val="9"/>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tcBorders>
              <w:top w:val="single" w:sz="8" w:color="0000EE"/>
            </w:tcBorders>
            <w:gridSpan w:val="2"/>
          </w:tcPr>
          <w:p>
            <w:pPr>
              <w:ind w:left="800"/>
              <w:spacing w:after="0" w:line="129" w:lineRule="exact"/>
              <w:rPr>
                <w:sz w:val="20"/>
                <w:szCs w:val="20"/>
                <w:color w:val="auto"/>
              </w:rPr>
            </w:pPr>
            <w:r>
              <w:rPr>
                <w:rFonts w:ascii="Arial" w:cs="Arial" w:eastAsia="Arial" w:hAnsi="Arial"/>
                <w:sz w:val="14"/>
                <w:szCs w:val="14"/>
                <w:b w:val="1"/>
                <w:bCs w:val="1"/>
                <w:color w:val="auto"/>
              </w:rPr>
              <w:t>Item 1.</w:t>
            </w:r>
          </w:p>
        </w:tc>
        <w:tc>
          <w:tcPr>
            <w:tcW w:w="280" w:type="dxa"/>
            <w:vAlign w:val="bottom"/>
            <w:tcBorders>
              <w:top w:val="single" w:sz="8" w:color="0000EE"/>
            </w:tcBorders>
          </w:tcPr>
          <w:p>
            <w:pPr>
              <w:spacing w:after="0" w:line="129" w:lineRule="exact"/>
              <w:rPr>
                <w:rFonts w:ascii="Arial" w:cs="Arial" w:eastAsia="Arial" w:hAnsi="Arial"/>
                <w:sz w:val="14"/>
                <w:szCs w:val="14"/>
                <w:color w:val="0000EE"/>
                <w:w w:val="75"/>
              </w:rPr>
            </w:pPr>
            <w:hyperlink w:anchor="page46">
              <w:r>
                <w:rPr>
                  <w:rFonts w:ascii="Arial" w:cs="Arial" w:eastAsia="Arial" w:hAnsi="Arial"/>
                  <w:sz w:val="14"/>
                  <w:szCs w:val="14"/>
                  <w:color w:val="0000EE"/>
                  <w:w w:val="75"/>
                </w:rPr>
                <w:t>Legal</w:t>
              </w:r>
            </w:hyperlink>
          </w:p>
        </w:tc>
        <w:tc>
          <w:tcPr>
            <w:tcW w:w="7960" w:type="dxa"/>
            <w:vAlign w:val="bottom"/>
            <w:gridSpan w:val="17"/>
          </w:tcPr>
          <w:p>
            <w:pPr>
              <w:ind w:left="60"/>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Proceedings</w:t>
              </w:r>
            </w:hyperlink>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Risk Factors</w:t>
              </w:r>
            </w:hyperlink>
          </w:p>
        </w:tc>
        <w:tc>
          <w:tcPr>
            <w:tcW w:w="2260" w:type="dxa"/>
            <w:vAlign w:val="bottom"/>
            <w:gridSpan w:val="3"/>
          </w:tcPr>
          <w:p>
            <w:pPr>
              <w:spacing w:after="0"/>
              <w:rPr>
                <w:sz w:val="11"/>
                <w:szCs w:val="11"/>
                <w:color w:val="auto"/>
              </w:rPr>
            </w:pPr>
          </w:p>
        </w:tc>
        <w:tc>
          <w:tcPr>
            <w:tcW w:w="4980" w:type="dxa"/>
            <w:vAlign w:val="bottom"/>
            <w:gridSpan w:val="9"/>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60" w:type="dxa"/>
            <w:vAlign w:val="bottom"/>
            <w:tcBorders>
              <w:top w:val="single" w:sz="8" w:color="0000EE"/>
            </w:tcBorders>
            <w:gridSpan w:val="4"/>
          </w:tcPr>
          <w:p>
            <w:pPr>
              <w:spacing w:after="0" w:line="129" w:lineRule="exact"/>
              <w:rPr>
                <w:rFonts w:ascii="Arial" w:cs="Arial" w:eastAsia="Arial" w:hAnsi="Arial"/>
                <w:sz w:val="14"/>
                <w:szCs w:val="14"/>
                <w:color w:val="0000EE"/>
                <w:w w:val="79"/>
              </w:rPr>
            </w:pPr>
            <w:hyperlink w:anchor="page47">
              <w:r>
                <w:rPr>
                  <w:rFonts w:ascii="Arial" w:cs="Arial" w:eastAsia="Arial" w:hAnsi="Arial"/>
                  <w:sz w:val="14"/>
                  <w:szCs w:val="14"/>
                  <w:color w:val="0000EE"/>
                  <w:w w:val="79"/>
                </w:rPr>
                <w:t>Unregistered</w:t>
              </w:r>
            </w:hyperlink>
          </w:p>
        </w:tc>
        <w:tc>
          <w:tcPr>
            <w:tcW w:w="7580" w:type="dxa"/>
            <w:vAlign w:val="bottom"/>
            <w:gridSpan w:val="14"/>
          </w:tcPr>
          <w:p>
            <w:pPr>
              <w:ind w:left="60"/>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Sales of Equity Securities and Use of Proceeds</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Exhibits</w:t>
              </w:r>
            </w:hyperlink>
          </w:p>
        </w:tc>
        <w:tc>
          <w:tcPr>
            <w:tcW w:w="4980" w:type="dxa"/>
            <w:vAlign w:val="bottom"/>
            <w:gridSpan w:val="9"/>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29"/>
        </w:trPr>
        <w:tc>
          <w:tcPr>
            <w:tcW w:w="1800" w:type="dxa"/>
            <w:vAlign w:val="bottom"/>
            <w:gridSpan w:val="3"/>
          </w:tcPr>
          <w:p>
            <w:pPr>
              <w:spacing w:after="0" w:line="129" w:lineRule="exact"/>
              <w:rPr>
                <w:rFonts w:ascii="Arial" w:cs="Arial" w:eastAsia="Arial" w:hAnsi="Arial"/>
                <w:sz w:val="14"/>
                <w:szCs w:val="14"/>
                <w:b w:val="1"/>
                <w:bCs w:val="1"/>
                <w:color w:val="0000EE"/>
              </w:rPr>
            </w:pPr>
            <w:hyperlink w:anchor="page49">
              <w:r>
                <w:rPr>
                  <w:rFonts w:ascii="Arial" w:cs="Arial" w:eastAsia="Arial" w:hAnsi="Arial"/>
                  <w:sz w:val="14"/>
                  <w:szCs w:val="14"/>
                  <w:b w:val="1"/>
                  <w:bCs w:val="1"/>
                  <w:color w:val="0000EE"/>
                </w:rPr>
                <w:t>SIGNATURES</w:t>
              </w:r>
            </w:hyperlink>
          </w:p>
        </w:tc>
        <w:tc>
          <w:tcPr>
            <w:tcW w:w="2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Borders>
              <w:top w:val="single" w:sz="8" w:color="0000EE"/>
            </w:tcBorders>
          </w:tcPr>
          <w:p>
            <w:pPr>
              <w:spacing w:after="0" w:line="129" w:lineRule="exact"/>
              <w:rPr>
                <w:rFonts w:ascii="Arial" w:cs="Arial" w:eastAsia="Arial" w:hAnsi="Arial"/>
                <w:sz w:val="14"/>
                <w:szCs w:val="14"/>
                <w:color w:val="0000EE"/>
                <w:w w:val="95"/>
              </w:rPr>
            </w:pPr>
            <w:hyperlink w:anchor="page50">
              <w:r>
                <w:rPr>
                  <w:rFonts w:ascii="Arial" w:cs="Arial" w:eastAsia="Arial" w:hAnsi="Arial"/>
                  <w:sz w:val="14"/>
                  <w:szCs w:val="14"/>
                  <w:color w:val="0000EE"/>
                  <w:w w:val="95"/>
                </w:rPr>
                <w:t>NBCUniversal</w:t>
              </w:r>
            </w:hyperlink>
          </w:p>
        </w:tc>
        <w:tc>
          <w:tcPr>
            <w:tcW w:w="9160" w:type="dxa"/>
            <w:vAlign w:val="bottom"/>
            <w:gridSpan w:val="19"/>
          </w:tcPr>
          <w:p>
            <w:pPr>
              <w:spacing w:after="0" w:line="129" w:lineRule="exact"/>
              <w:rPr>
                <w:rFonts w:ascii="Arial" w:cs="Arial" w:eastAsia="Arial" w:hAnsi="Arial"/>
                <w:sz w:val="14"/>
                <w:szCs w:val="14"/>
                <w:color w:val="0000EE"/>
              </w:rPr>
            </w:pPr>
            <w:hyperlink w:anchor="page50">
              <w:r>
                <w:rPr>
                  <w:rFonts w:ascii="Arial" w:cs="Arial" w:eastAsia="Arial" w:hAnsi="Arial"/>
                  <w:sz w:val="14"/>
                  <w:szCs w:val="14"/>
                  <w:color w:val="0000EE"/>
                </w:rPr>
                <w:t>Media, LLC Financial Statements</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Corporation as “Comcast;” Comcast and its consolidated subsidiaries, including NBCUniversal and its consolidated subsidiaries, as “we,” “us” and “our;” Comcast Cable Communications, LLC and its consolidated subsidiaries as “Comcast Cable;” Comcast Holdings Corporation as “Comcast Holdings;” and NBCUniversal, LLC as “NBCUniversal Holdings.”</w:t>
      </w:r>
    </w:p>
    <w:p>
      <w:pPr>
        <w:spacing w:after="0" w:line="5"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This Quarterly Report on Form 10-Q is for the three and six months ended June 30, 2014.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w:t>
      </w:r>
    </w:p>
    <w:p>
      <w:pPr>
        <w:spacing w:after="0" w:line="18"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2"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businesses</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which is difficult to predict, and its businesses may be adversely affected if its content fails to achieve sufficient consumer acceptance or the costs to create or acquire content increase</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NBCUniversal’s programming distribution agreements, or the renewal of these agreements on less favorable terms, could adversely affect its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acquisitions and other strategic transactions, including the proposed transactions with Time Warner Cable Inc. and Charter Communications, Inc., present many risks, and we may not realize the financial and strategic goals that were contemplated at the time of any transaction</w:t>
      </w:r>
    </w:p>
    <w:p>
      <w:pPr>
        <w:spacing w:after="0" w:line="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color w:val="auto"/>
                <w:w w:val="81"/>
              </w:rPr>
              <w:t>June 30,</w:t>
            </w:r>
          </w:p>
        </w:tc>
        <w:tc>
          <w:tcPr>
            <w:tcW w:w="1120" w:type="dxa"/>
            <w:vAlign w:val="bottom"/>
            <w:gridSpan w:val="2"/>
          </w:tcPr>
          <w:p>
            <w:pPr>
              <w:ind w:left="1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910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440" w:type="dxa"/>
            <w:vAlign w:val="bottom"/>
          </w:tcPr>
          <w:p>
            <w:pPr>
              <w:spacing w:after="0"/>
              <w:rPr>
                <w:sz w:val="13"/>
                <w:szCs w:val="13"/>
                <w:color w:val="auto"/>
              </w:rPr>
            </w:pPr>
          </w:p>
        </w:tc>
        <w:tc>
          <w:tcPr>
            <w:tcW w:w="760" w:type="dxa"/>
            <w:vAlign w:val="bottom"/>
          </w:tcPr>
          <w:p>
            <w:pPr>
              <w:jc w:val="right"/>
              <w:ind w:right="313"/>
              <w:spacing w:after="0" w:line="159" w:lineRule="exact"/>
              <w:rPr>
                <w:sz w:val="20"/>
                <w:szCs w:val="20"/>
                <w:color w:val="auto"/>
              </w:rPr>
            </w:pPr>
            <w:r>
              <w:rPr>
                <w:rFonts w:ascii="Arial" w:cs="Arial" w:eastAsia="Arial" w:hAnsi="Arial"/>
                <w:sz w:val="14"/>
                <w:szCs w:val="14"/>
                <w:color w:val="auto"/>
              </w:rPr>
              <w:t>2014</w:t>
            </w:r>
          </w:p>
        </w:tc>
        <w:tc>
          <w:tcPr>
            <w:tcW w:w="280" w:type="dxa"/>
            <w:vAlign w:val="bottom"/>
          </w:tcPr>
          <w:p>
            <w:pPr>
              <w:spacing w:after="0"/>
              <w:rPr>
                <w:sz w:val="13"/>
                <w:szCs w:val="13"/>
                <w:color w:val="auto"/>
              </w:rPr>
            </w:pPr>
          </w:p>
        </w:tc>
        <w:tc>
          <w:tcPr>
            <w:tcW w:w="840" w:type="dxa"/>
            <w:vAlign w:val="bottom"/>
          </w:tcPr>
          <w:p>
            <w:pPr>
              <w:jc w:val="right"/>
              <w:ind w:right="373"/>
              <w:spacing w:after="0" w:line="15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1,529</w:t>
            </w:r>
          </w:p>
        </w:tc>
        <w:tc>
          <w:tcPr>
            <w:tcW w:w="28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2,325</w:t>
            </w:r>
          </w:p>
        </w:tc>
        <w:tc>
          <w:tcPr>
            <w:tcW w:w="28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6,232</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4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905</w:t>
            </w:r>
          </w:p>
        </w:tc>
        <w:tc>
          <w:tcPr>
            <w:tcW w:w="28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4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1,781</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12,772</w:t>
            </w:r>
          </w:p>
        </w:tc>
        <w:tc>
          <w:tcPr>
            <w:tcW w:w="28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5,208</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3,072</w:t>
            </w:r>
          </w:p>
        </w:tc>
        <w:tc>
          <w:tcPr>
            <w:tcW w:w="28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$44,186 and $42,574</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29,970</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Franchise rights</w:t>
            </w:r>
          </w:p>
        </w:tc>
        <w:tc>
          <w:tcPr>
            <w:tcW w:w="4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27,323</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$9,466 and $8,874</w:t>
            </w:r>
          </w:p>
        </w:tc>
        <w:tc>
          <w:tcPr>
            <w:tcW w:w="4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17,233</w:t>
            </w:r>
          </w:p>
        </w:tc>
        <w:tc>
          <w:tcPr>
            <w:tcW w:w="28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17,329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4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2,517</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86"/>
              </w:rPr>
              <w:t>157,459</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2"/>
              </w:rPr>
              <w:t>158,813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5,432</w:t>
            </w:r>
          </w:p>
        </w:tc>
        <w:tc>
          <w:tcPr>
            <w:tcW w:w="28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4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1,364</w:t>
            </w:r>
          </w:p>
        </w:tc>
        <w:tc>
          <w:tcPr>
            <w:tcW w:w="28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847</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6,785</w:t>
            </w:r>
          </w:p>
        </w:tc>
        <w:tc>
          <w:tcPr>
            <w:tcW w:w="28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2,947</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17,375</w:t>
            </w:r>
          </w:p>
        </w:tc>
        <w:tc>
          <w:tcPr>
            <w:tcW w:w="28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43,602</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31,854</w:t>
            </w:r>
          </w:p>
        </w:tc>
        <w:tc>
          <w:tcPr>
            <w:tcW w:w="28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31,935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11,241</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1,055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Equity:</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w w:val="90"/>
              </w:rPr>
              <w:t>Class A common stock, $0.01 par value—authorized, 7,500,000,000 shares; issued, 2,515,037,192 and 2,503,535,883;</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40"/>
              <w:spacing w:after="0"/>
              <w:rPr>
                <w:sz w:val="20"/>
                <w:szCs w:val="20"/>
                <w:color w:val="auto"/>
              </w:rPr>
            </w:pPr>
            <w:r>
              <w:rPr>
                <w:rFonts w:ascii="Arial" w:cs="Arial" w:eastAsia="Arial" w:hAnsi="Arial"/>
                <w:sz w:val="18"/>
                <w:szCs w:val="18"/>
                <w:color w:val="auto"/>
              </w:rPr>
              <w:t>outstanding, 2,149,576,442 and 2,138,075,133</w:t>
            </w:r>
          </w:p>
        </w:tc>
        <w:tc>
          <w:tcPr>
            <w:tcW w:w="44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A Special common stock, $0.01 par value—authorized, 7,500,000,000 shares; issued, 500,016,982 and</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80" w:type="dxa"/>
            <w:vAlign w:val="bottom"/>
            <w:shd w:val="clear" w:color="auto" w:fill="E5E5E5"/>
          </w:tcPr>
          <w:p>
            <w:pPr>
              <w:ind w:left="640"/>
              <w:spacing w:after="0"/>
              <w:rPr>
                <w:sz w:val="20"/>
                <w:szCs w:val="20"/>
                <w:color w:val="auto"/>
              </w:rPr>
            </w:pPr>
            <w:r>
              <w:rPr>
                <w:rFonts w:ascii="Arial" w:cs="Arial" w:eastAsia="Arial" w:hAnsi="Arial"/>
                <w:sz w:val="18"/>
                <w:szCs w:val="18"/>
                <w:color w:val="auto"/>
              </w:rPr>
              <w:t>529,964,944; outstanding, 429,082,218 and 459,030,180</w:t>
            </w:r>
          </w:p>
        </w:tc>
        <w:tc>
          <w:tcPr>
            <w:tcW w:w="44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Class B common stock, $0.01 par value—authorized, 75,000,000 shares; issued and outstanding, 9,444,375</w:t>
            </w:r>
          </w:p>
        </w:tc>
        <w:tc>
          <w:tcPr>
            <w:tcW w:w="4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39,040</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20,432</w:t>
            </w:r>
          </w:p>
        </w:tc>
        <w:tc>
          <w:tcPr>
            <w:tcW w:w="28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19,235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(7,517)</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51,971</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361</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4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52,332</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51,058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86"/>
              </w:rPr>
              <w:t>157,459</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2"/>
              </w:rPr>
              <w:t>158,813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3"/>
          </w:tcPr>
          <w:p>
            <w:pPr>
              <w:jc w:val="right"/>
              <w:ind w:right="393"/>
              <w:spacing w:after="0"/>
              <w:rPr>
                <w:sz w:val="20"/>
                <w:szCs w:val="20"/>
                <w:color w:val="auto"/>
              </w:rPr>
            </w:pPr>
            <w:r>
              <w:rPr>
                <w:rFonts w:ascii="Arial" w:cs="Arial" w:eastAsia="Arial" w:hAnsi="Arial"/>
                <w:sz w:val="14"/>
                <w:szCs w:val="14"/>
                <w:color w:val="auto"/>
                <w:w w:val="94"/>
              </w:rPr>
              <w:t>Three Months Ended</w:t>
            </w:r>
          </w:p>
        </w:tc>
        <w:tc>
          <w:tcPr>
            <w:tcW w:w="280" w:type="dxa"/>
            <w:vAlign w:val="bottom"/>
          </w:tcPr>
          <w:p>
            <w:pPr>
              <w:spacing w:after="0"/>
              <w:rPr>
                <w:sz w:val="14"/>
                <w:szCs w:val="14"/>
                <w:color w:val="auto"/>
              </w:rPr>
            </w:pPr>
          </w:p>
        </w:tc>
        <w:tc>
          <w:tcPr>
            <w:tcW w:w="1500" w:type="dxa"/>
            <w:vAlign w:val="bottom"/>
            <w:gridSpan w:val="3"/>
          </w:tcPr>
          <w:p>
            <w:pPr>
              <w:jc w:val="right"/>
              <w:ind w:right="25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right"/>
              <w:ind w:right="495"/>
              <w:spacing w:after="0" w:line="142" w:lineRule="exact"/>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2"/>
                <w:szCs w:val="12"/>
                <w:color w:val="auto"/>
              </w:rPr>
            </w:pPr>
          </w:p>
        </w:tc>
        <w:tc>
          <w:tcPr>
            <w:tcW w:w="74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2013</w:t>
            </w:r>
          </w:p>
        </w:tc>
        <w:tc>
          <w:tcPr>
            <w:tcW w:w="280" w:type="dxa"/>
            <w:vAlign w:val="bottom"/>
          </w:tcPr>
          <w:p>
            <w:pPr>
              <w:spacing w:after="0"/>
              <w:rPr>
                <w:sz w:val="12"/>
                <w:szCs w:val="12"/>
                <w:color w:val="auto"/>
              </w:rPr>
            </w:pPr>
          </w:p>
        </w:tc>
        <w:tc>
          <w:tcPr>
            <w:tcW w:w="68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3"/>
              </w:rPr>
              <w:t>16,844</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87"/>
              </w:rPr>
              <w:t>16,270</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83"/>
              </w:rPr>
              <w:t>34,252</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31,580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4,968</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83"/>
              </w:rPr>
              <w:t>10,782</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4,570</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9,676</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9,036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1,307</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2,452</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1,583</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3,168</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407</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802</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83"/>
              </w:rPr>
              <w:t>13,040</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87"/>
              </w:rPr>
              <w:t>12,835</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3"/>
              </w:rPr>
              <w:t>26,880</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25,078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3,804</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3,435</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7,372</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(636)</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w w:val="91"/>
              </w:rPr>
              <w:t>(1,290)</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22</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23</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54</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(643)</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w w:val="91"/>
              </w:rPr>
              <w:t>(1,057)</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2,792</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6,315</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1"/>
              </w:rPr>
              <w:t>(1,234)</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4"/>
              </w:rPr>
              <w:t>(1,048)</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w w:val="91"/>
              </w:rPr>
              <w:t>(2,352)</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1,744</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3,963</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4"/>
              </w:rPr>
              <w:t>Net (income) loss attributable to noncontrolling interests and redeemable subsidiary preferred stock</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1,992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1,734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3,863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3,171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0.77</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0.66</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1.49</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5"/>
              <w:spacing w:after="0"/>
              <w:rPr>
                <w:sz w:val="20"/>
                <w:szCs w:val="20"/>
                <w:color w:val="auto"/>
              </w:rPr>
            </w:pPr>
            <w:r>
              <w:rPr>
                <w:rFonts w:ascii="Arial" w:cs="Arial" w:eastAsia="Arial" w:hAnsi="Arial"/>
                <w:sz w:val="18"/>
                <w:szCs w:val="18"/>
                <w:b w:val="1"/>
                <w:bCs w:val="1"/>
                <w:color w:val="auto"/>
              </w:rPr>
              <w:t>0.76</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153"/>
              <w:spacing w:after="0"/>
              <w:rPr>
                <w:sz w:val="20"/>
                <w:szCs w:val="20"/>
                <w:color w:val="auto"/>
              </w:rPr>
            </w:pPr>
            <w:r>
              <w:rPr>
                <w:rFonts w:ascii="Arial" w:cs="Arial" w:eastAsia="Arial" w:hAnsi="Arial"/>
                <w:sz w:val="18"/>
                <w:szCs w:val="18"/>
                <w:b w:val="1"/>
                <w:bCs w:val="1"/>
                <w:color w:val="auto"/>
              </w:rPr>
              <w:t>0.65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5"/>
              <w:spacing w:after="0"/>
              <w:rPr>
                <w:sz w:val="20"/>
                <w:szCs w:val="20"/>
                <w:color w:val="auto"/>
              </w:rPr>
            </w:pPr>
            <w:r>
              <w:rPr>
                <w:rFonts w:ascii="Arial" w:cs="Arial" w:eastAsia="Arial" w:hAnsi="Arial"/>
                <w:sz w:val="18"/>
                <w:szCs w:val="18"/>
                <w:b w:val="1"/>
                <w:bCs w:val="1"/>
                <w:color w:val="auto"/>
              </w:rPr>
              <w:t>1.47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0.225</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0.195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0.45</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0.39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000" w:type="dxa"/>
            <w:vAlign w:val="bottom"/>
            <w:gridSpan w:val="2"/>
          </w:tcPr>
          <w:p>
            <w:pPr>
              <w:jc w:val="right"/>
              <w:ind w:right="494"/>
              <w:spacing w:after="0"/>
              <w:rPr>
                <w:sz w:val="20"/>
                <w:szCs w:val="20"/>
                <w:color w:val="auto"/>
              </w:rPr>
            </w:pPr>
            <w:r>
              <w:rPr>
                <w:rFonts w:ascii="Arial" w:cs="Arial" w:eastAsia="Arial" w:hAnsi="Arial"/>
                <w:sz w:val="14"/>
                <w:szCs w:val="14"/>
                <w:color w:val="auto"/>
              </w:rPr>
              <w:t>Three Months</w:t>
            </w:r>
          </w:p>
        </w:tc>
        <w:tc>
          <w:tcPr>
            <w:tcW w:w="1620" w:type="dxa"/>
            <w:vAlign w:val="bottom"/>
            <w:gridSpan w:val="2"/>
          </w:tcPr>
          <w:p>
            <w:pPr>
              <w:jc w:val="right"/>
              <w:ind w:right="17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8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00" w:type="dxa"/>
            <w:vAlign w:val="bottom"/>
            <w:tcBorders>
              <w:bottom w:val="single" w:sz="8" w:color="auto"/>
            </w:tcBorders>
            <w:gridSpan w:val="2"/>
          </w:tcPr>
          <w:p>
            <w:pPr>
              <w:jc w:val="right"/>
              <w:ind w:right="474"/>
              <w:spacing w:after="0" w:line="159" w:lineRule="exact"/>
              <w:rPr>
                <w:sz w:val="20"/>
                <w:szCs w:val="20"/>
                <w:color w:val="auto"/>
              </w:rPr>
            </w:pPr>
            <w:r>
              <w:rPr>
                <w:rFonts w:ascii="Arial" w:cs="Arial" w:eastAsia="Arial" w:hAnsi="Arial"/>
                <w:sz w:val="14"/>
                <w:szCs w:val="14"/>
                <w:color w:val="auto"/>
              </w:rPr>
              <w:t>Ended June 30</w:t>
            </w:r>
          </w:p>
        </w:tc>
        <w:tc>
          <w:tcPr>
            <w:tcW w:w="1620" w:type="dxa"/>
            <w:vAlign w:val="bottom"/>
            <w:tcBorders>
              <w:bottom w:val="single" w:sz="8" w:color="auto"/>
            </w:tcBorders>
            <w:gridSpan w:val="2"/>
          </w:tcPr>
          <w:p>
            <w:pPr>
              <w:jc w:val="right"/>
              <w:ind w:right="474"/>
              <w:spacing w:after="0" w:line="15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780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2014</w:t>
            </w:r>
          </w:p>
        </w:tc>
        <w:tc>
          <w:tcPr>
            <w:tcW w:w="9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2013</w:t>
            </w:r>
          </w:p>
        </w:tc>
        <w:tc>
          <w:tcPr>
            <w:tcW w:w="8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color w:val="auto"/>
              </w:rPr>
              <w:t>2014</w:t>
            </w:r>
          </w:p>
        </w:tc>
        <w:tc>
          <w:tcPr>
            <w:tcW w:w="7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780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$2,025</w:t>
            </w:r>
          </w:p>
        </w:tc>
        <w:tc>
          <w:tcPr>
            <w:tcW w:w="9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$1,744</w:t>
            </w:r>
          </w:p>
        </w:tc>
        <w:tc>
          <w:tcPr>
            <w:tcW w:w="8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$3,963</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w w:val="94"/>
              </w:rPr>
              <w:t>Unrealized gains (losses) on marketable securities, net of deferred taxes of $(2), $(59), $(19) and $(71)</w:t>
            </w:r>
          </w:p>
        </w:tc>
        <w:tc>
          <w:tcPr>
            <w:tcW w:w="1060" w:type="dxa"/>
            <w:vAlign w:val="bottom"/>
          </w:tcPr>
          <w:p>
            <w:pPr>
              <w:jc w:val="right"/>
              <w:ind w:right="157"/>
              <w:spacing w:after="0"/>
              <w:rPr>
                <w:sz w:val="20"/>
                <w:szCs w:val="20"/>
                <w:color w:val="auto"/>
              </w:rPr>
            </w:pPr>
            <w:r>
              <w:rPr>
                <w:rFonts w:ascii="Arial" w:cs="Arial" w:eastAsia="Arial" w:hAnsi="Arial"/>
                <w:sz w:val="18"/>
                <w:szCs w:val="18"/>
                <w:color w:val="auto"/>
              </w:rPr>
              <w:t>4</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97</w:t>
            </w:r>
          </w:p>
        </w:tc>
        <w:tc>
          <w:tcPr>
            <w:tcW w:w="880" w:type="dxa"/>
            <w:vAlign w:val="bottom"/>
          </w:tcPr>
          <w:p>
            <w:pPr>
              <w:jc w:val="right"/>
              <w:ind w:right="117"/>
              <w:spacing w:after="0"/>
              <w:rPr>
                <w:sz w:val="20"/>
                <w:szCs w:val="20"/>
                <w:color w:val="auto"/>
              </w:rPr>
            </w:pPr>
            <w:r>
              <w:rPr>
                <w:rFonts w:ascii="Arial" w:cs="Arial" w:eastAsia="Arial" w:hAnsi="Arial"/>
                <w:sz w:val="18"/>
                <w:szCs w:val="18"/>
                <w:color w:val="auto"/>
              </w:rPr>
              <w:t>34</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780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 net of deferred taxes of $(2), $(1), $(1) and $20</w:t>
            </w:r>
          </w:p>
        </w:tc>
        <w:tc>
          <w:tcPr>
            <w:tcW w:w="10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4</w:t>
            </w:r>
          </w:p>
        </w:tc>
        <w:tc>
          <w:tcPr>
            <w:tcW w:w="9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w:t>
            </w:r>
          </w:p>
        </w:tc>
        <w:tc>
          <w:tcPr>
            <w:tcW w:w="8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6"/>
              </w:rPr>
              <w:t>Realized (gains) losses on marketable securities, net of deferred taxes of $28, $—, $58 and $12</w:t>
            </w:r>
          </w:p>
        </w:tc>
        <w:tc>
          <w:tcPr>
            <w:tcW w:w="10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(47)</w:t>
            </w:r>
          </w:p>
        </w:tc>
        <w:tc>
          <w:tcPr>
            <w:tcW w:w="9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(97)</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w w:val="97"/>
              </w:rPr>
              <w:t>Realized (gains) losses on cash flow hedges, net of deferred taxes of $10, $(1), $12 and $(28)</w:t>
            </w: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(17)</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880" w:type="dxa"/>
            <w:vAlign w:val="bottom"/>
          </w:tcPr>
          <w:p>
            <w:pPr>
              <w:jc w:val="right"/>
              <w:ind w:right="57"/>
              <w:spacing w:after="0"/>
              <w:rPr>
                <w:sz w:val="20"/>
                <w:szCs w:val="20"/>
                <w:color w:val="auto"/>
              </w:rPr>
            </w:pPr>
            <w:r>
              <w:rPr>
                <w:rFonts w:ascii="Arial" w:cs="Arial" w:eastAsia="Arial" w:hAnsi="Arial"/>
                <w:sz w:val="18"/>
                <w:szCs w:val="18"/>
                <w:color w:val="auto"/>
              </w:rPr>
              <w:t>(20)</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80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 $(1), $— and $(2)</w:t>
            </w:r>
          </w:p>
        </w:tc>
        <w:tc>
          <w:tcPr>
            <w:tcW w:w="10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w:t>
            </w:r>
          </w:p>
        </w:tc>
        <w:tc>
          <w:tcPr>
            <w:tcW w:w="9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w:t>
            </w:r>
          </w:p>
        </w:tc>
        <w:tc>
          <w:tcPr>
            <w:tcW w:w="8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$(6), $9, $(7) and $14</w:t>
            </w:r>
          </w:p>
        </w:tc>
        <w:tc>
          <w:tcPr>
            <w:tcW w:w="10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10</w:t>
            </w: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(14)</w:t>
            </w: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780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1,978</w:t>
            </w:r>
          </w:p>
        </w:tc>
        <w:tc>
          <w:tcPr>
            <w:tcW w:w="9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1,832</w:t>
            </w:r>
          </w:p>
        </w:tc>
        <w:tc>
          <w:tcPr>
            <w:tcW w:w="8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3,893</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w w:val="98"/>
              </w:rPr>
              <w:t>Net (income) loss attributable to noncontrolling interests and redeemable subsidiary preferred stock</w:t>
            </w: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(33)</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57"/>
              <w:spacing w:after="0"/>
              <w:rPr>
                <w:sz w:val="20"/>
                <w:szCs w:val="20"/>
                <w:color w:val="auto"/>
              </w:rPr>
            </w:pPr>
            <w:r>
              <w:rPr>
                <w:rFonts w:ascii="Arial" w:cs="Arial" w:eastAsia="Arial" w:hAnsi="Arial"/>
                <w:sz w:val="18"/>
                <w:szCs w:val="18"/>
                <w:color w:val="auto"/>
              </w:rPr>
              <w:t>(100)</w:t>
            </w:r>
          </w:p>
        </w:tc>
        <w:tc>
          <w:tcPr>
            <w:tcW w:w="74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7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0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0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$1,945</w:t>
            </w: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$1,822</w:t>
            </w: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$3,793</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$3,259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20" w:type="dxa"/>
            <w:vAlign w:val="bottom"/>
            <w:gridSpan w:val="3"/>
          </w:tcPr>
          <w:p>
            <w:pPr>
              <w:jc w:val="right"/>
              <w:ind w:right="453"/>
              <w:spacing w:after="0"/>
              <w:rPr>
                <w:sz w:val="20"/>
                <w:szCs w:val="20"/>
                <w:color w:val="auto"/>
              </w:rPr>
            </w:pPr>
            <w:r>
              <w:rPr>
                <w:rFonts w:ascii="Arial" w:cs="Arial" w:eastAsia="Arial" w:hAnsi="Arial"/>
                <w:sz w:val="14"/>
                <w:szCs w:val="14"/>
                <w:color w:val="auto"/>
              </w:rPr>
              <w:t>Six Months Ended</w:t>
            </w:r>
          </w:p>
        </w:tc>
      </w:tr>
      <w:tr>
        <w:trPr>
          <w:trHeight w:val="17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June 30</w:t>
            </w:r>
          </w:p>
        </w:tc>
        <w:tc>
          <w:tcPr>
            <w:tcW w:w="760" w:type="dxa"/>
            <w:vAlign w:val="bottom"/>
            <w:tcBorders>
              <w:bottom w:val="single" w:sz="8" w:color="auto"/>
            </w:tcBorders>
          </w:tcPr>
          <w:p>
            <w:pPr>
              <w:spacing w:after="0"/>
              <w:rPr>
                <w:sz w:val="14"/>
                <w:szCs w:val="14"/>
                <w:color w:val="auto"/>
              </w:rPr>
            </w:pPr>
          </w:p>
        </w:tc>
      </w:tr>
      <w:tr>
        <w:trPr>
          <w:trHeight w:val="143"/>
        </w:trPr>
        <w:tc>
          <w:tcPr>
            <w:tcW w:w="900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180" w:type="dxa"/>
            <w:vAlign w:val="bottom"/>
          </w:tcPr>
          <w:p>
            <w:pPr>
              <w:jc w:val="right"/>
              <w:ind w:right="134"/>
              <w:spacing w:after="0" w:line="143" w:lineRule="exact"/>
              <w:rPr>
                <w:sz w:val="20"/>
                <w:szCs w:val="20"/>
                <w:color w:val="auto"/>
              </w:rPr>
            </w:pPr>
            <w:r>
              <w:rPr>
                <w:rFonts w:ascii="Arial" w:cs="Arial" w:eastAsia="Arial" w:hAnsi="Arial"/>
                <w:sz w:val="14"/>
                <w:szCs w:val="14"/>
                <w:color w:val="auto"/>
              </w:rPr>
              <w:t>2014</w:t>
            </w:r>
          </w:p>
        </w:tc>
        <w:tc>
          <w:tcPr>
            <w:tcW w:w="480" w:type="dxa"/>
            <w:vAlign w:val="bottom"/>
          </w:tcPr>
          <w:p>
            <w:pPr>
              <w:spacing w:after="0"/>
              <w:rPr>
                <w:sz w:val="12"/>
                <w:szCs w:val="12"/>
                <w:color w:val="auto"/>
              </w:rPr>
            </w:pPr>
          </w:p>
        </w:tc>
        <w:tc>
          <w:tcPr>
            <w:tcW w:w="760" w:type="dxa"/>
            <w:vAlign w:val="bottom"/>
          </w:tcPr>
          <w:p>
            <w:pPr>
              <w:jc w:val="right"/>
              <w:ind w:right="313"/>
              <w:spacing w:after="0" w:line="143" w:lineRule="exact"/>
              <w:rPr>
                <w:sz w:val="20"/>
                <w:szCs w:val="20"/>
                <w:color w:val="auto"/>
              </w:rPr>
            </w:pPr>
            <w:r>
              <w:rPr>
                <w:rFonts w:ascii="Arial" w:cs="Arial" w:eastAsia="Arial" w:hAnsi="Arial"/>
                <w:sz w:val="14"/>
                <w:szCs w:val="14"/>
                <w:color w:val="auto"/>
              </w:rPr>
              <w:t>2013</w:t>
            </w:r>
          </w:p>
        </w:tc>
      </w:tr>
      <w:tr>
        <w:trPr>
          <w:trHeight w:val="210"/>
        </w:trPr>
        <w:tc>
          <w:tcPr>
            <w:tcW w:w="20" w:type="dxa"/>
            <w:vAlign w:val="bottom"/>
          </w:tcPr>
          <w:p>
            <w:pPr>
              <w:spacing w:after="0"/>
              <w:rPr>
                <w:sz w:val="18"/>
                <w:szCs w:val="18"/>
                <w:color w:val="auto"/>
              </w:rPr>
            </w:pPr>
          </w:p>
        </w:tc>
        <w:tc>
          <w:tcPr>
            <w:tcW w:w="898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$ 7,547</w:t>
            </w:r>
          </w:p>
        </w:tc>
        <w:tc>
          <w:tcPr>
            <w:tcW w:w="4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7,685</w:t>
            </w:r>
          </w:p>
        </w:tc>
      </w:tr>
      <w:tr>
        <w:trPr>
          <w:trHeight w:val="210"/>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(3,246)</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(2,867)</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180" w:type="dxa"/>
            <w:vAlign w:val="bottom"/>
          </w:tcPr>
          <w:p>
            <w:pPr>
              <w:jc w:val="right"/>
              <w:spacing w:after="0"/>
              <w:rPr>
                <w:sz w:val="20"/>
                <w:szCs w:val="20"/>
                <w:color w:val="auto"/>
              </w:rPr>
            </w:pPr>
            <w:r>
              <w:rPr>
                <w:rFonts w:ascii="Arial" w:cs="Arial" w:eastAsia="Arial" w:hAnsi="Arial"/>
                <w:sz w:val="18"/>
                <w:szCs w:val="18"/>
                <w:color w:val="auto"/>
              </w:rPr>
              <w:t>(477)</w:t>
            </w:r>
          </w:p>
        </w:tc>
        <w:tc>
          <w:tcPr>
            <w:tcW w:w="48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(444)</w:t>
            </w:r>
          </w:p>
        </w:tc>
      </w:tr>
      <w:tr>
        <w:trPr>
          <w:trHeight w:val="216"/>
        </w:trPr>
        <w:tc>
          <w:tcPr>
            <w:tcW w:w="20" w:type="dxa"/>
            <w:vAlign w:val="bottom"/>
          </w:tcPr>
          <w:p>
            <w:pPr>
              <w:spacing w:after="0"/>
              <w:rPr>
                <w:sz w:val="18"/>
                <w:szCs w:val="18"/>
                <w:color w:val="auto"/>
              </w:rPr>
            </w:pPr>
          </w:p>
        </w:tc>
        <w:tc>
          <w:tcPr>
            <w:tcW w:w="8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and construction of real estate properties</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(1,311)</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Acquisitions, net of cash acquired</w:t>
            </w:r>
          </w:p>
        </w:tc>
        <w:tc>
          <w:tcPr>
            <w:tcW w:w="1180" w:type="dxa"/>
            <w:vAlign w:val="bottom"/>
          </w:tcPr>
          <w:p>
            <w:pPr>
              <w:jc w:val="right"/>
              <w:spacing w:after="0"/>
              <w:rPr>
                <w:sz w:val="20"/>
                <w:szCs w:val="20"/>
                <w:color w:val="auto"/>
              </w:rPr>
            </w:pPr>
            <w:r>
              <w:rPr>
                <w:rFonts w:ascii="Arial" w:cs="Arial" w:eastAsia="Arial" w:hAnsi="Arial"/>
                <w:sz w:val="18"/>
                <w:szCs w:val="18"/>
                <w:color w:val="auto"/>
              </w:rPr>
              <w:t>(406)</w:t>
            </w:r>
          </w:p>
        </w:tc>
        <w:tc>
          <w:tcPr>
            <w:tcW w:w="48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8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sales of businesses and investments</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481</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Return of capital from investees</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8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(77)</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(641)</w:t>
            </w:r>
          </w:p>
        </w:tc>
      </w:tr>
      <w:tr>
        <w:trPr>
          <w:trHeight w:val="216"/>
        </w:trPr>
        <w:tc>
          <w:tcPr>
            <w:tcW w:w="20" w:type="dxa"/>
            <w:vAlign w:val="bottom"/>
          </w:tcPr>
          <w:p>
            <w:pPr>
              <w:spacing w:after="0"/>
              <w:rPr>
                <w:sz w:val="18"/>
                <w:szCs w:val="18"/>
                <w:color w:val="auto"/>
              </w:rPr>
            </w:pPr>
          </w:p>
        </w:tc>
        <w:tc>
          <w:tcPr>
            <w:tcW w:w="8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88</w:t>
            </w:r>
          </w:p>
        </w:tc>
      </w:tr>
      <w:tr>
        <w:trPr>
          <w:trHeight w:val="210"/>
        </w:trPr>
        <w:tc>
          <w:tcPr>
            <w:tcW w:w="20" w:type="dxa"/>
            <w:vAlign w:val="bottom"/>
          </w:tcPr>
          <w:p>
            <w:pPr>
              <w:spacing w:after="0"/>
              <w:rPr>
                <w:sz w:val="18"/>
                <w:szCs w:val="18"/>
                <w:color w:val="auto"/>
              </w:rPr>
            </w:pPr>
          </w:p>
        </w:tc>
        <w:tc>
          <w:tcPr>
            <w:tcW w:w="8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(3,888)</w:t>
            </w:r>
          </w:p>
        </w:tc>
        <w:tc>
          <w:tcPr>
            <w:tcW w:w="4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(4,960)</w:t>
            </w:r>
          </w:p>
        </w:tc>
      </w:tr>
      <w:tr>
        <w:trPr>
          <w:trHeight w:val="210"/>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(repayments of) short-term borrowings, net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(343)</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348</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1180" w:type="dxa"/>
            <w:vAlign w:val="bottom"/>
          </w:tcPr>
          <w:p>
            <w:pPr>
              <w:jc w:val="right"/>
              <w:spacing w:after="0"/>
              <w:rPr>
                <w:sz w:val="20"/>
                <w:szCs w:val="20"/>
                <w:color w:val="auto"/>
              </w:rPr>
            </w:pPr>
            <w:r>
              <w:rPr>
                <w:rFonts w:ascii="Arial" w:cs="Arial" w:eastAsia="Arial" w:hAnsi="Arial"/>
                <w:sz w:val="18"/>
                <w:szCs w:val="18"/>
                <w:color w:val="auto"/>
              </w:rPr>
              <w:t>2,187</w:t>
            </w:r>
          </w:p>
        </w:tc>
        <w:tc>
          <w:tcPr>
            <w:tcW w:w="48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2,933</w:t>
            </w:r>
          </w:p>
        </w:tc>
      </w:tr>
      <w:tr>
        <w:trPr>
          <w:trHeight w:val="216"/>
        </w:trPr>
        <w:tc>
          <w:tcPr>
            <w:tcW w:w="20" w:type="dxa"/>
            <w:vAlign w:val="bottom"/>
          </w:tcPr>
          <w:p>
            <w:pPr>
              <w:spacing w:after="0"/>
              <w:rPr>
                <w:sz w:val="18"/>
                <w:szCs w:val="18"/>
                <w:color w:val="auto"/>
              </w:rPr>
            </w:pPr>
          </w:p>
        </w:tc>
        <w:tc>
          <w:tcPr>
            <w:tcW w:w="8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(3,163)</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(2,195)</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Repurchases and retirements of 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8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Dividends paid</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(1,092)</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(942)</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Issuances of 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8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 of NBCUniversal noncontrolling common equity interest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6"/>
              </w:rPr>
              <w:t>(10,761)</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(117)</w:t>
            </w:r>
          </w:p>
        </w:tc>
        <w:tc>
          <w:tcPr>
            <w:tcW w:w="48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8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Settlement of Station Venture liability</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(602)</w:t>
            </w:r>
          </w:p>
        </w:tc>
      </w:tr>
      <w:tr>
        <w:trPr>
          <w:trHeight w:val="216"/>
        </w:trPr>
        <w:tc>
          <w:tcPr>
            <w:tcW w:w="20" w:type="dxa"/>
            <w:vAlign w:val="bottom"/>
          </w:tcPr>
          <w:p>
            <w:pPr>
              <w:spacing w:after="0"/>
              <w:rPr>
                <w:sz w:val="18"/>
                <w:szCs w:val="18"/>
                <w:color w:val="auto"/>
              </w:rPr>
            </w:pPr>
          </w:p>
        </w:tc>
        <w:tc>
          <w:tcPr>
            <w:tcW w:w="8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24</w:t>
            </w:r>
          </w:p>
        </w:tc>
      </w:tr>
      <w:tr>
        <w:trPr>
          <w:trHeight w:val="210"/>
        </w:trPr>
        <w:tc>
          <w:tcPr>
            <w:tcW w:w="20" w:type="dxa"/>
            <w:vAlign w:val="bottom"/>
          </w:tcPr>
          <w:p>
            <w:pPr>
              <w:spacing w:after="0"/>
              <w:rPr>
                <w:sz w:val="18"/>
                <w:szCs w:val="18"/>
                <w:color w:val="auto"/>
              </w:rPr>
            </w:pPr>
          </w:p>
        </w:tc>
        <w:tc>
          <w:tcPr>
            <w:tcW w:w="8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(3,848)</w:t>
            </w:r>
          </w:p>
        </w:tc>
        <w:tc>
          <w:tcPr>
            <w:tcW w:w="4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6"/>
              </w:rPr>
              <w:t>(12,287)</w:t>
            </w:r>
          </w:p>
        </w:tc>
      </w:tr>
      <w:tr>
        <w:trPr>
          <w:trHeight w:val="210"/>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c>
          <w:tcPr>
            <w:tcW w:w="48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(9,562)</w:t>
            </w:r>
          </w:p>
        </w:tc>
      </w:tr>
      <w:tr>
        <w:trPr>
          <w:trHeight w:val="216"/>
        </w:trPr>
        <w:tc>
          <w:tcPr>
            <w:tcW w:w="20" w:type="dxa"/>
            <w:vAlign w:val="bottom"/>
          </w:tcPr>
          <w:p>
            <w:pPr>
              <w:spacing w:after="0"/>
              <w:rPr>
                <w:sz w:val="18"/>
                <w:szCs w:val="18"/>
                <w:color w:val="auto"/>
              </w:rPr>
            </w:pPr>
          </w:p>
        </w:tc>
        <w:tc>
          <w:tcPr>
            <w:tcW w:w="8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1,718</w:t>
            </w:r>
          </w:p>
        </w:tc>
        <w:tc>
          <w:tcPr>
            <w:tcW w:w="4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94"/>
              </w:rPr>
              <w:t>10,951</w:t>
            </w:r>
          </w:p>
        </w:tc>
      </w:tr>
      <w:tr>
        <w:trPr>
          <w:trHeight w:val="217"/>
        </w:trPr>
        <w:tc>
          <w:tcPr>
            <w:tcW w:w="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$ 1,529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1,389</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right w:val="single" w:sz="8" w:color="auto"/>
            </w:tcBorders>
          </w:tcPr>
          <w:p>
            <w:pPr>
              <w:jc w:val="center"/>
              <w:ind w:right="372"/>
              <w:spacing w:after="0"/>
              <w:rPr>
                <w:sz w:val="20"/>
                <w:szCs w:val="20"/>
                <w:color w:val="auto"/>
              </w:rPr>
            </w:pPr>
            <w:r>
              <w:rPr>
                <w:rFonts w:ascii="Arial" w:cs="Arial" w:eastAsia="Arial" w:hAnsi="Arial"/>
                <w:sz w:val="14"/>
                <w:szCs w:val="14"/>
                <w:color w:val="auto"/>
                <w:w w:val="83"/>
              </w:rPr>
              <w:t>Redeemable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60" w:type="dxa"/>
            <w:vAlign w:val="bottom"/>
            <w:tcBorders>
              <w:right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Noncontrolling</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color w:val="auto"/>
                <w:w w:val="87"/>
              </w:rPr>
              <w:t>Common Stock</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right w:val="single" w:sz="8" w:color="auto"/>
            </w:tcBorders>
          </w:tcPr>
          <w:p>
            <w:pPr>
              <w:jc w:val="center"/>
              <w:ind w:right="352"/>
              <w:spacing w:after="0" w:line="146" w:lineRule="exact"/>
              <w:rPr>
                <w:sz w:val="20"/>
                <w:szCs w:val="20"/>
                <w:color w:val="auto"/>
              </w:rPr>
            </w:pPr>
            <w:r>
              <w:rPr>
                <w:rFonts w:ascii="Arial" w:cs="Arial" w:eastAsia="Arial" w:hAnsi="Arial"/>
                <w:sz w:val="14"/>
                <w:szCs w:val="14"/>
                <w:color w:val="auto"/>
                <w:w w:val="83"/>
              </w:rPr>
              <w:t>Interests and</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right w:val="single" w:sz="8" w:color="auto"/>
            </w:tcBorders>
          </w:tcPr>
          <w:p>
            <w:pPr>
              <w:jc w:val="center"/>
              <w:ind w:right="372"/>
              <w:spacing w:after="0" w:line="131" w:lineRule="exact"/>
              <w:rPr>
                <w:sz w:val="20"/>
                <w:szCs w:val="20"/>
                <w:color w:val="auto"/>
              </w:rPr>
            </w:pPr>
            <w:r>
              <w:rPr>
                <w:rFonts w:ascii="Arial" w:cs="Arial" w:eastAsia="Arial" w:hAnsi="Arial"/>
                <w:sz w:val="14"/>
                <w:szCs w:val="14"/>
                <w:color w:val="auto"/>
                <w:w w:val="83"/>
              </w:rPr>
              <w:t>Redeemable</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2"/>
          </w:tcPr>
          <w:p>
            <w:pPr>
              <w:ind w:left="160"/>
              <w:spacing w:after="0" w:line="131" w:lineRule="exact"/>
              <w:rPr>
                <w:sz w:val="20"/>
                <w:szCs w:val="20"/>
                <w:color w:val="auto"/>
              </w:rPr>
            </w:pPr>
            <w:r>
              <w:rPr>
                <w:rFonts w:ascii="Arial" w:cs="Arial" w:eastAsia="Arial" w:hAnsi="Arial"/>
                <w:sz w:val="14"/>
                <w:szCs w:val="14"/>
                <w:color w:val="auto"/>
              </w:rPr>
              <w:t>Additional</w:t>
            </w:r>
          </w:p>
        </w:tc>
        <w:tc>
          <w:tcPr>
            <w:tcW w:w="740" w:type="dxa"/>
            <w:vAlign w:val="bottom"/>
          </w:tcPr>
          <w:p>
            <w:pPr>
              <w:spacing w:after="0"/>
              <w:rPr>
                <w:sz w:val="11"/>
                <w:szCs w:val="11"/>
                <w:color w:val="auto"/>
              </w:rPr>
            </w:pPr>
          </w:p>
        </w:tc>
        <w:tc>
          <w:tcPr>
            <w:tcW w:w="740" w:type="dxa"/>
            <w:vAlign w:val="bottom"/>
            <w:gridSpan w:val="2"/>
          </w:tcPr>
          <w:p>
            <w:pPr>
              <w:ind w:left="120"/>
              <w:spacing w:after="0" w:line="131" w:lineRule="exact"/>
              <w:rPr>
                <w:sz w:val="20"/>
                <w:szCs w:val="20"/>
                <w:color w:val="auto"/>
              </w:rPr>
            </w:pPr>
            <w:r>
              <w:rPr>
                <w:rFonts w:ascii="Arial" w:cs="Arial" w:eastAsia="Arial" w:hAnsi="Arial"/>
                <w:sz w:val="14"/>
                <w:szCs w:val="14"/>
                <w:color w:val="auto"/>
              </w:rPr>
              <w:t>Treasury</w:t>
            </w:r>
          </w:p>
        </w:tc>
        <w:tc>
          <w:tcPr>
            <w:tcW w:w="280" w:type="dxa"/>
            <w:vAlign w:val="bottom"/>
          </w:tcPr>
          <w:p>
            <w:pPr>
              <w:spacing w:after="0"/>
              <w:rPr>
                <w:sz w:val="11"/>
                <w:szCs w:val="11"/>
                <w:color w:val="auto"/>
              </w:rPr>
            </w:pPr>
          </w:p>
        </w:tc>
        <w:tc>
          <w:tcPr>
            <w:tcW w:w="840" w:type="dxa"/>
            <w:vAlign w:val="bottom"/>
          </w:tcPr>
          <w:p>
            <w:pPr>
              <w:jc w:val="center"/>
              <w:ind w:right="272"/>
              <w:spacing w:after="0" w:line="131" w:lineRule="exact"/>
              <w:rPr>
                <w:sz w:val="20"/>
                <w:szCs w:val="20"/>
                <w:color w:val="auto"/>
              </w:rPr>
            </w:pPr>
            <w:r>
              <w:rPr>
                <w:rFonts w:ascii="Arial" w:cs="Arial" w:eastAsia="Arial" w:hAnsi="Arial"/>
                <w:sz w:val="14"/>
                <w:szCs w:val="14"/>
                <w:color w:val="auto"/>
                <w:w w:val="85"/>
              </w:rPr>
              <w:t>Other</w:t>
            </w:r>
          </w:p>
        </w:tc>
        <w:tc>
          <w:tcPr>
            <w:tcW w:w="160" w:type="dxa"/>
            <w:vAlign w:val="bottom"/>
          </w:tcPr>
          <w:p>
            <w:pPr>
              <w:spacing w:after="0"/>
              <w:rPr>
                <w:sz w:val="11"/>
                <w:szCs w:val="11"/>
                <w:color w:val="auto"/>
              </w:rPr>
            </w:pPr>
          </w:p>
        </w:tc>
        <w:tc>
          <w:tcPr>
            <w:tcW w:w="640" w:type="dxa"/>
            <w:vAlign w:val="bottom"/>
          </w:tcPr>
          <w:p>
            <w:pPr>
              <w:jc w:val="right"/>
              <w:ind w:right="192"/>
              <w:spacing w:after="0" w:line="131" w:lineRule="exact"/>
              <w:rPr>
                <w:sz w:val="20"/>
                <w:szCs w:val="20"/>
                <w:color w:val="auto"/>
              </w:rPr>
            </w:pPr>
            <w:r>
              <w:rPr>
                <w:rFonts w:ascii="Arial" w:cs="Arial" w:eastAsia="Arial" w:hAnsi="Arial"/>
                <w:sz w:val="14"/>
                <w:szCs w:val="14"/>
                <w:color w:val="auto"/>
              </w:rPr>
              <w:t>Non-</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right w:val="single" w:sz="8" w:color="auto"/>
            </w:tcBorders>
          </w:tcPr>
          <w:p>
            <w:pPr>
              <w:jc w:val="center"/>
              <w:ind w:right="372"/>
              <w:spacing w:after="0" w:line="149" w:lineRule="exact"/>
              <w:rPr>
                <w:sz w:val="20"/>
                <w:szCs w:val="20"/>
                <w:color w:val="auto"/>
              </w:rPr>
            </w:pPr>
            <w:r>
              <w:rPr>
                <w:rFonts w:ascii="Arial" w:cs="Arial" w:eastAsia="Arial" w:hAnsi="Arial"/>
                <w:sz w:val="14"/>
                <w:szCs w:val="14"/>
                <w:color w:val="auto"/>
                <w:w w:val="88"/>
              </w:rPr>
              <w:t>Subsidiary</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0"/>
              </w:rPr>
              <w:t>Paid-In</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Retained</w:t>
            </w:r>
          </w:p>
        </w:tc>
        <w:tc>
          <w:tcPr>
            <w:tcW w:w="7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Stock at</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9"/>
              </w:rPr>
              <w:t>Comprehensive</w:t>
            </w: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controlling</w:t>
            </w: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31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6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color w:val="auto"/>
              </w:rPr>
              <w:t>Preferred Stock</w:t>
            </w:r>
          </w:p>
        </w:tc>
        <w:tc>
          <w:tcPr>
            <w:tcW w:w="240" w:type="dxa"/>
            <w:vAlign w:val="bottom"/>
          </w:tcPr>
          <w:p>
            <w:pPr>
              <w:spacing w:after="0"/>
              <w:rPr>
                <w:sz w:val="15"/>
                <w:szCs w:val="15"/>
                <w:color w:val="auto"/>
              </w:rPr>
            </w:pPr>
          </w:p>
        </w:tc>
        <w:tc>
          <w:tcPr>
            <w:tcW w:w="440" w:type="dxa"/>
            <w:vAlign w:val="bottom"/>
          </w:tcPr>
          <w:p>
            <w:pPr>
              <w:jc w:val="center"/>
              <w:ind w:left="72"/>
              <w:spacing w:after="0"/>
              <w:rPr>
                <w:sz w:val="20"/>
                <w:szCs w:val="20"/>
                <w:color w:val="auto"/>
              </w:rPr>
            </w:pPr>
            <w:r>
              <w:rPr>
                <w:rFonts w:ascii="Arial" w:cs="Arial" w:eastAsia="Arial" w:hAnsi="Arial"/>
                <w:sz w:val="14"/>
                <w:szCs w:val="14"/>
                <w:color w:val="auto"/>
              </w:rPr>
              <w:t>A</w:t>
            </w:r>
          </w:p>
        </w:tc>
        <w:tc>
          <w:tcPr>
            <w:tcW w:w="920" w:type="dxa"/>
            <w:vAlign w:val="bottom"/>
            <w:gridSpan w:val="2"/>
          </w:tcPr>
          <w:p>
            <w:pPr>
              <w:ind w:left="200"/>
              <w:spacing w:after="0"/>
              <w:rPr>
                <w:sz w:val="20"/>
                <w:szCs w:val="20"/>
                <w:color w:val="auto"/>
              </w:rPr>
            </w:pPr>
            <w:r>
              <w:rPr>
                <w:rFonts w:ascii="Arial" w:cs="Arial" w:eastAsia="Arial" w:hAnsi="Arial"/>
                <w:sz w:val="14"/>
                <w:szCs w:val="14"/>
                <w:color w:val="auto"/>
              </w:rPr>
              <w:t>A Special</w:t>
            </w:r>
          </w:p>
        </w:tc>
        <w:tc>
          <w:tcPr>
            <w:tcW w:w="360" w:type="dxa"/>
            <w:vAlign w:val="bottom"/>
          </w:tcPr>
          <w:p>
            <w:pPr>
              <w:jc w:val="center"/>
              <w:spacing w:after="0"/>
              <w:rPr>
                <w:sz w:val="20"/>
                <w:szCs w:val="20"/>
                <w:color w:val="auto"/>
              </w:rPr>
            </w:pPr>
            <w:r>
              <w:rPr>
                <w:rFonts w:ascii="Arial" w:cs="Arial" w:eastAsia="Arial" w:hAnsi="Arial"/>
                <w:sz w:val="14"/>
                <w:szCs w:val="14"/>
                <w:color w:val="auto"/>
                <w:w w:val="85"/>
              </w:rPr>
              <w:t>B</w:t>
            </w:r>
          </w:p>
        </w:tc>
        <w:tc>
          <w:tcPr>
            <w:tcW w:w="24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color w:val="auto"/>
                <w:w w:val="91"/>
              </w:rPr>
              <w:t>Capital</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Earnings</w:t>
            </w:r>
          </w:p>
        </w:tc>
        <w:tc>
          <w:tcPr>
            <w:tcW w:w="200" w:type="dxa"/>
            <w:vAlign w:val="bottom"/>
          </w:tcPr>
          <w:p>
            <w:pPr>
              <w:spacing w:after="0"/>
              <w:rPr>
                <w:sz w:val="15"/>
                <w:szCs w:val="15"/>
                <w:color w:val="auto"/>
              </w:rPr>
            </w:pPr>
          </w:p>
        </w:tc>
        <w:tc>
          <w:tcPr>
            <w:tcW w:w="540" w:type="dxa"/>
            <w:vAlign w:val="bottom"/>
          </w:tcPr>
          <w:p>
            <w:pPr>
              <w:jc w:val="right"/>
              <w:ind w:right="192"/>
              <w:spacing w:after="0"/>
              <w:rPr>
                <w:sz w:val="20"/>
                <w:szCs w:val="20"/>
                <w:color w:val="auto"/>
              </w:rPr>
            </w:pPr>
            <w:r>
              <w:rPr>
                <w:rFonts w:ascii="Arial" w:cs="Arial" w:eastAsia="Arial" w:hAnsi="Arial"/>
                <w:sz w:val="14"/>
                <w:szCs w:val="14"/>
                <w:color w:val="auto"/>
                <w:w w:val="90"/>
              </w:rPr>
              <w:t>Cost</w:t>
            </w: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87"/>
              </w:rPr>
              <w:t>Income (Loss)</w:t>
            </w:r>
          </w:p>
        </w:tc>
        <w:tc>
          <w:tcPr>
            <w:tcW w:w="160" w:type="dxa"/>
            <w:vAlign w:val="bottom"/>
          </w:tcPr>
          <w:p>
            <w:pPr>
              <w:spacing w:after="0"/>
              <w:rPr>
                <w:sz w:val="15"/>
                <w:szCs w:val="15"/>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color w:val="auto"/>
                <w:w w:val="81"/>
              </w:rPr>
              <w:t>Interests</w:t>
            </w: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January 1, 2013</w:t>
            </w:r>
          </w:p>
        </w:tc>
        <w:tc>
          <w:tcPr>
            <w:tcW w:w="22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right w:val="single" w:sz="8" w:color="auto"/>
            </w:tcBorders>
            <w:shd w:val="clear" w:color="auto" w:fill="E5E5E5"/>
          </w:tcPr>
          <w:p>
            <w:pPr>
              <w:jc w:val="right"/>
              <w:ind w:right="292"/>
              <w:spacing w:after="0" w:line="142" w:lineRule="exact"/>
              <w:rPr>
                <w:sz w:val="20"/>
                <w:szCs w:val="20"/>
                <w:color w:val="auto"/>
              </w:rPr>
            </w:pPr>
            <w:r>
              <w:rPr>
                <w:rFonts w:ascii="Arial" w:cs="Arial" w:eastAsia="Arial" w:hAnsi="Arial"/>
                <w:sz w:val="14"/>
                <w:szCs w:val="14"/>
                <w:color w:val="auto"/>
              </w:rPr>
              <w:t>16,998</w:t>
            </w:r>
          </w:p>
        </w:tc>
        <w:tc>
          <w:tcPr>
            <w:tcW w:w="240" w:type="dxa"/>
            <w:vAlign w:val="bottom"/>
            <w:tcBorders>
              <w:top w:val="single" w:sz="8" w:color="auto"/>
            </w:tcBorders>
            <w:shd w:val="clear" w:color="auto" w:fill="E5E5E5"/>
          </w:tcPr>
          <w:p>
            <w:pPr>
              <w:spacing w:after="0"/>
              <w:rPr>
                <w:sz w:val="12"/>
                <w:szCs w:val="12"/>
                <w:color w:val="auto"/>
              </w:rPr>
            </w:pPr>
          </w:p>
        </w:tc>
        <w:tc>
          <w:tcPr>
            <w:tcW w:w="440" w:type="dxa"/>
            <w:vAlign w:val="bottom"/>
            <w:tcBorders>
              <w:top w:val="single" w:sz="8" w:color="auto"/>
            </w:tcBorders>
            <w:shd w:val="clear" w:color="auto" w:fill="E5E5E5"/>
          </w:tcPr>
          <w:p>
            <w:pPr>
              <w:jc w:val="center"/>
              <w:ind w:left="52"/>
              <w:spacing w:after="0" w:line="142" w:lineRule="exact"/>
              <w:rPr>
                <w:sz w:val="20"/>
                <w:szCs w:val="20"/>
                <w:color w:val="auto"/>
              </w:rPr>
            </w:pPr>
            <w:r>
              <w:rPr>
                <w:rFonts w:ascii="Arial" w:cs="Arial" w:eastAsia="Arial" w:hAnsi="Arial"/>
                <w:sz w:val="14"/>
                <w:szCs w:val="14"/>
                <w:color w:val="auto"/>
                <w:w w:val="85"/>
              </w:rPr>
              <w:t>$25</w:t>
            </w:r>
          </w:p>
        </w:tc>
        <w:tc>
          <w:tcPr>
            <w:tcW w:w="460" w:type="dxa"/>
            <w:vAlign w:val="bottom"/>
            <w:tcBorders>
              <w:top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6</w:t>
            </w:r>
          </w:p>
        </w:tc>
        <w:tc>
          <w:tcPr>
            <w:tcW w:w="360" w:type="dxa"/>
            <w:vAlign w:val="bottom"/>
            <w:tcBorders>
              <w:top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color w:val="auto"/>
                <w:w w:val="93"/>
              </w:rPr>
              <w:t>$ —</w:t>
            </w:r>
          </w:p>
        </w:tc>
        <w:tc>
          <w:tcPr>
            <w:tcW w:w="24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40,547</w:t>
            </w:r>
          </w:p>
        </w:tc>
        <w:tc>
          <w:tcPr>
            <w:tcW w:w="740" w:type="dxa"/>
            <w:vAlign w:val="bottom"/>
            <w:tcBorders>
              <w:top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$ 16,280</w:t>
            </w:r>
          </w:p>
        </w:tc>
        <w:tc>
          <w:tcPr>
            <w:tcW w:w="20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4"/>
              </w:rPr>
              <w:t>(7,517)</w:t>
            </w:r>
          </w:p>
        </w:tc>
        <w:tc>
          <w:tcPr>
            <w:tcW w:w="28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15</w:t>
            </w:r>
          </w:p>
        </w:tc>
        <w:tc>
          <w:tcPr>
            <w:tcW w:w="1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440</w:t>
            </w:r>
          </w:p>
        </w:tc>
        <w:tc>
          <w:tcPr>
            <w:tcW w:w="6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8"/>
              </w:rPr>
              <w:t>$49,796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2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296</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(212)</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22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(296)</w:t>
            </w:r>
          </w:p>
        </w:tc>
        <w:tc>
          <w:tcPr>
            <w:tcW w:w="7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(704)</w:t>
            </w: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2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49</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22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(1,026)</w:t>
            </w: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220" w:type="dxa"/>
            <w:vAlign w:val="bottom"/>
          </w:tcPr>
          <w:p>
            <w:pPr>
              <w:spacing w:after="0"/>
              <w:rPr>
                <w:sz w:val="12"/>
                <w:szCs w:val="12"/>
                <w:color w:val="auto"/>
              </w:rPr>
            </w:pPr>
          </w:p>
        </w:tc>
        <w:tc>
          <w:tcPr>
            <w:tcW w:w="1140" w:type="dxa"/>
            <w:vAlign w:val="bottom"/>
            <w:tcBorders>
              <w:right w:val="single" w:sz="8" w:color="auto"/>
            </w:tcBorders>
          </w:tcPr>
          <w:p>
            <w:pPr>
              <w:jc w:val="right"/>
              <w:ind w:right="252"/>
              <w:spacing w:after="0" w:line="149"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88</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w w:val="99"/>
              </w:rPr>
              <w:t>Purchase of NBCUniversal noncontrolling common</w:t>
            </w:r>
          </w:p>
        </w:tc>
        <w:tc>
          <w:tcPr>
            <w:tcW w:w="220" w:type="dxa"/>
            <w:vAlign w:val="bottom"/>
            <w:shd w:val="clear" w:color="auto" w:fill="E5E5E5"/>
          </w:tcPr>
          <w:p>
            <w:pPr>
              <w:spacing w:after="0"/>
              <w:rPr>
                <w:sz w:val="11"/>
                <w:szCs w:val="11"/>
                <w:color w:val="auto"/>
              </w:rPr>
            </w:pPr>
          </w:p>
        </w:tc>
        <w:tc>
          <w:tcPr>
            <w:tcW w:w="1140" w:type="dxa"/>
            <w:vAlign w:val="bottom"/>
            <w:tcBorders>
              <w:right w:val="single" w:sz="8" w:color="auto"/>
            </w:tcBorders>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460" w:type="dxa"/>
            <w:vAlign w:val="bottom"/>
            <w:shd w:val="clear" w:color="auto" w:fill="E5E5E5"/>
          </w:tcPr>
          <w:p>
            <w:pPr>
              <w:spacing w:after="0"/>
              <w:rPr>
                <w:sz w:val="11"/>
                <w:szCs w:val="11"/>
                <w:color w:val="auto"/>
              </w:rPr>
            </w:pPr>
          </w:p>
        </w:tc>
        <w:tc>
          <w:tcPr>
            <w:tcW w:w="460" w:type="dxa"/>
            <w:vAlign w:val="bottom"/>
            <w:shd w:val="clear" w:color="auto" w:fill="E5E5E5"/>
          </w:tcPr>
          <w:p>
            <w:pPr>
              <w:spacing w:after="0"/>
              <w:rPr>
                <w:sz w:val="11"/>
                <w:szCs w:val="11"/>
                <w:color w:val="auto"/>
              </w:rPr>
            </w:pPr>
          </w:p>
        </w:tc>
        <w:tc>
          <w:tcPr>
            <w:tcW w:w="36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equity interest</w:t>
            </w:r>
          </w:p>
        </w:tc>
        <w:tc>
          <w:tcPr>
            <w:tcW w:w="220" w:type="dxa"/>
            <w:vAlign w:val="bottom"/>
            <w:shd w:val="clear" w:color="auto" w:fill="E5E5E5"/>
          </w:tcPr>
          <w:p>
            <w:pPr>
              <w:spacing w:after="0"/>
              <w:rPr>
                <w:sz w:val="13"/>
                <w:szCs w:val="13"/>
                <w:color w:val="auto"/>
              </w:rPr>
            </w:pPr>
          </w:p>
        </w:tc>
        <w:tc>
          <w:tcPr>
            <w:tcW w:w="1140" w:type="dxa"/>
            <w:vAlign w:val="bottom"/>
            <w:tcBorders>
              <w:right w:val="single" w:sz="8" w:color="auto"/>
            </w:tcBorders>
            <w:shd w:val="clear" w:color="auto" w:fill="E5E5E5"/>
          </w:tcPr>
          <w:p>
            <w:pPr>
              <w:jc w:val="right"/>
              <w:ind w:right="252"/>
              <w:spacing w:after="0" w:line="159" w:lineRule="exact"/>
              <w:rPr>
                <w:sz w:val="20"/>
                <w:szCs w:val="20"/>
                <w:color w:val="auto"/>
              </w:rPr>
            </w:pPr>
            <w:r>
              <w:rPr>
                <w:rFonts w:ascii="Arial" w:cs="Arial" w:eastAsia="Arial" w:hAnsi="Arial"/>
                <w:sz w:val="14"/>
                <w:szCs w:val="14"/>
                <w:color w:val="auto"/>
              </w:rPr>
              <w:t>(17,006)</w:t>
            </w:r>
          </w:p>
        </w:tc>
        <w:tc>
          <w:tcPr>
            <w:tcW w:w="24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460" w:type="dxa"/>
            <w:vAlign w:val="bottom"/>
            <w:shd w:val="clear" w:color="auto" w:fill="E5E5E5"/>
          </w:tcPr>
          <w:p>
            <w:pPr>
              <w:spacing w:after="0"/>
              <w:rPr>
                <w:sz w:val="13"/>
                <w:szCs w:val="13"/>
                <w:color w:val="auto"/>
              </w:rPr>
            </w:pPr>
          </w:p>
        </w:tc>
        <w:tc>
          <w:tcPr>
            <w:tcW w:w="460" w:type="dxa"/>
            <w:vAlign w:val="bottom"/>
            <w:shd w:val="clear" w:color="auto" w:fill="E5E5E5"/>
          </w:tcPr>
          <w:p>
            <w:pPr>
              <w:spacing w:after="0"/>
              <w:rPr>
                <w:sz w:val="13"/>
                <w:szCs w:val="13"/>
                <w:color w:val="auto"/>
              </w:rPr>
            </w:pPr>
          </w:p>
        </w:tc>
        <w:tc>
          <w:tcPr>
            <w:tcW w:w="36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660" w:type="dxa"/>
            <w:vAlign w:val="bottom"/>
            <w:shd w:val="clear" w:color="auto" w:fill="E5E5E5"/>
          </w:tcPr>
          <w:p>
            <w:pPr>
              <w:jc w:val="right"/>
              <w:ind w:right="32"/>
              <w:spacing w:after="0" w:line="159" w:lineRule="exact"/>
              <w:rPr>
                <w:sz w:val="20"/>
                <w:szCs w:val="20"/>
                <w:color w:val="auto"/>
              </w:rPr>
            </w:pPr>
            <w:r>
              <w:rPr>
                <w:rFonts w:ascii="Arial" w:cs="Arial" w:eastAsia="Arial" w:hAnsi="Arial"/>
                <w:sz w:val="14"/>
                <w:szCs w:val="14"/>
                <w:color w:val="auto"/>
              </w:rPr>
              <w:t>(1,482)</w:t>
            </w:r>
          </w:p>
        </w:tc>
        <w:tc>
          <w:tcPr>
            <w:tcW w:w="7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40" w:type="dxa"/>
            <w:vAlign w:val="bottom"/>
            <w:shd w:val="clear" w:color="auto" w:fill="E5E5E5"/>
          </w:tcPr>
          <w:p>
            <w:pPr>
              <w:jc w:val="right"/>
              <w:ind w:right="52"/>
              <w:spacing w:after="0" w:line="159" w:lineRule="exact"/>
              <w:rPr>
                <w:sz w:val="20"/>
                <w:szCs w:val="20"/>
                <w:color w:val="auto"/>
              </w:rPr>
            </w:pPr>
            <w:r>
              <w:rPr>
                <w:rFonts w:ascii="Arial" w:cs="Arial" w:eastAsia="Arial" w:hAnsi="Arial"/>
                <w:sz w:val="14"/>
                <w:szCs w:val="14"/>
                <w:color w:val="auto"/>
              </w:rPr>
              <w:t>(26)</w:t>
            </w:r>
          </w:p>
        </w:tc>
        <w:tc>
          <w:tcPr>
            <w:tcW w:w="1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Redeemable subsidiary preferred stock</w:t>
            </w:r>
          </w:p>
        </w:tc>
        <w:tc>
          <w:tcPr>
            <w:tcW w:w="220" w:type="dxa"/>
            <w:vAlign w:val="bottom"/>
          </w:tcPr>
          <w:p>
            <w:pPr>
              <w:spacing w:after="0"/>
              <w:rPr>
                <w:sz w:val="12"/>
                <w:szCs w:val="12"/>
                <w:color w:val="auto"/>
              </w:rPr>
            </w:pPr>
          </w:p>
        </w:tc>
        <w:tc>
          <w:tcPr>
            <w:tcW w:w="1140" w:type="dxa"/>
            <w:vAlign w:val="bottom"/>
            <w:tcBorders>
              <w:right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725</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Contributions from (distributions to) noncontrolling</w:t>
            </w:r>
          </w:p>
        </w:tc>
        <w:tc>
          <w:tcPr>
            <w:tcW w:w="220" w:type="dxa"/>
            <w:vAlign w:val="bottom"/>
            <w:shd w:val="clear" w:color="auto" w:fill="E5E5E5"/>
          </w:tcPr>
          <w:p>
            <w:pPr>
              <w:spacing w:after="0"/>
              <w:rPr>
                <w:sz w:val="11"/>
                <w:szCs w:val="11"/>
                <w:color w:val="auto"/>
              </w:rPr>
            </w:pPr>
          </w:p>
        </w:tc>
        <w:tc>
          <w:tcPr>
            <w:tcW w:w="1140" w:type="dxa"/>
            <w:vAlign w:val="bottom"/>
            <w:tcBorders>
              <w:right w:val="single" w:sz="8" w:color="auto"/>
            </w:tcBorders>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460" w:type="dxa"/>
            <w:vAlign w:val="bottom"/>
            <w:shd w:val="clear" w:color="auto" w:fill="E5E5E5"/>
          </w:tcPr>
          <w:p>
            <w:pPr>
              <w:spacing w:after="0"/>
              <w:rPr>
                <w:sz w:val="11"/>
                <w:szCs w:val="11"/>
                <w:color w:val="auto"/>
              </w:rPr>
            </w:pPr>
          </w:p>
        </w:tc>
        <w:tc>
          <w:tcPr>
            <w:tcW w:w="460" w:type="dxa"/>
            <w:vAlign w:val="bottom"/>
            <w:shd w:val="clear" w:color="auto" w:fill="E5E5E5"/>
          </w:tcPr>
          <w:p>
            <w:pPr>
              <w:spacing w:after="0"/>
              <w:rPr>
                <w:sz w:val="11"/>
                <w:szCs w:val="11"/>
                <w:color w:val="auto"/>
              </w:rPr>
            </w:pPr>
          </w:p>
        </w:tc>
        <w:tc>
          <w:tcPr>
            <w:tcW w:w="36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interests, net</w:t>
            </w:r>
          </w:p>
        </w:tc>
        <w:tc>
          <w:tcPr>
            <w:tcW w:w="220" w:type="dxa"/>
            <w:vAlign w:val="bottom"/>
            <w:shd w:val="clear" w:color="auto" w:fill="E5E5E5"/>
          </w:tcPr>
          <w:p>
            <w:pPr>
              <w:spacing w:after="0"/>
              <w:rPr>
                <w:sz w:val="13"/>
                <w:szCs w:val="13"/>
                <w:color w:val="auto"/>
              </w:rPr>
            </w:pPr>
          </w:p>
        </w:tc>
        <w:tc>
          <w:tcPr>
            <w:tcW w:w="1140" w:type="dxa"/>
            <w:vAlign w:val="bottom"/>
            <w:tcBorders>
              <w:right w:val="single" w:sz="8" w:color="auto"/>
            </w:tcBorders>
            <w:shd w:val="clear" w:color="auto" w:fill="E5E5E5"/>
          </w:tcPr>
          <w:p>
            <w:pPr>
              <w:jc w:val="right"/>
              <w:ind w:right="252"/>
              <w:spacing w:after="0" w:line="159" w:lineRule="exact"/>
              <w:rPr>
                <w:sz w:val="20"/>
                <w:szCs w:val="20"/>
                <w:color w:val="auto"/>
              </w:rPr>
            </w:pPr>
            <w:r>
              <w:rPr>
                <w:rFonts w:ascii="Arial" w:cs="Arial" w:eastAsia="Arial" w:hAnsi="Arial"/>
                <w:sz w:val="14"/>
                <w:szCs w:val="14"/>
                <w:color w:val="auto"/>
              </w:rPr>
              <w:t>(12)</w:t>
            </w:r>
          </w:p>
        </w:tc>
        <w:tc>
          <w:tcPr>
            <w:tcW w:w="24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460" w:type="dxa"/>
            <w:vAlign w:val="bottom"/>
            <w:shd w:val="clear" w:color="auto" w:fill="E5E5E5"/>
          </w:tcPr>
          <w:p>
            <w:pPr>
              <w:spacing w:after="0"/>
              <w:rPr>
                <w:sz w:val="13"/>
                <w:szCs w:val="13"/>
                <w:color w:val="auto"/>
              </w:rPr>
            </w:pPr>
          </w:p>
        </w:tc>
        <w:tc>
          <w:tcPr>
            <w:tcW w:w="460" w:type="dxa"/>
            <w:vAlign w:val="bottom"/>
            <w:shd w:val="clear" w:color="auto" w:fill="E5E5E5"/>
          </w:tcPr>
          <w:p>
            <w:pPr>
              <w:spacing w:after="0"/>
              <w:rPr>
                <w:sz w:val="13"/>
                <w:szCs w:val="13"/>
                <w:color w:val="auto"/>
              </w:rPr>
            </w:pPr>
          </w:p>
        </w:tc>
        <w:tc>
          <w:tcPr>
            <w:tcW w:w="36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4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(84)</w:t>
            </w: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2"/>
                <w:szCs w:val="12"/>
                <w:color w:val="auto"/>
              </w:rPr>
            </w:pPr>
          </w:p>
        </w:tc>
        <w:tc>
          <w:tcPr>
            <w:tcW w:w="1140" w:type="dxa"/>
            <w:vAlign w:val="bottom"/>
            <w:tcBorders>
              <w:right w:val="single" w:sz="8" w:color="auto"/>
            </w:tcBorders>
          </w:tcPr>
          <w:p>
            <w:pPr>
              <w:jc w:val="right"/>
              <w:ind w:right="252"/>
              <w:spacing w:after="0" w:line="149"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(123)</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220" w:type="dxa"/>
            <w:vAlign w:val="bottom"/>
            <w:tcBorders>
              <w:bottom w:val="single" w:sz="8" w:color="auto"/>
            </w:tcBorders>
            <w:shd w:val="clear" w:color="auto" w:fill="E5E5E5"/>
          </w:tcPr>
          <w:p>
            <w:pPr>
              <w:spacing w:after="0"/>
              <w:rPr>
                <w:sz w:val="12"/>
                <w:szCs w:val="12"/>
                <w:color w:val="auto"/>
              </w:rPr>
            </w:pPr>
          </w:p>
        </w:tc>
        <w:tc>
          <w:tcPr>
            <w:tcW w:w="1140" w:type="dxa"/>
            <w:vAlign w:val="bottom"/>
            <w:tcBorders>
              <w:bottom w:val="single" w:sz="8" w:color="auto"/>
              <w:right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171</w:t>
            </w:r>
          </w:p>
        </w:tc>
        <w:tc>
          <w:tcPr>
            <w:tcW w:w="24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spacing w:after="0"/>
              <w:rPr>
                <w:sz w:val="12"/>
                <w:szCs w:val="12"/>
                <w:color w:val="auto"/>
              </w:rPr>
            </w:pPr>
          </w:p>
        </w:tc>
        <w:tc>
          <w:tcPr>
            <w:tcW w:w="460" w:type="dxa"/>
            <w:vAlign w:val="bottom"/>
            <w:tcBorders>
              <w:bottom w:val="single" w:sz="8" w:color="auto"/>
            </w:tcBorders>
            <w:shd w:val="clear" w:color="auto" w:fill="E5E5E5"/>
          </w:tcPr>
          <w:p>
            <w:pPr>
              <w:spacing w:after="0"/>
              <w:rPr>
                <w:sz w:val="12"/>
                <w:szCs w:val="12"/>
                <w:color w:val="auto"/>
              </w:rPr>
            </w:pPr>
          </w:p>
        </w:tc>
        <w:tc>
          <w:tcPr>
            <w:tcW w:w="460" w:type="dxa"/>
            <w:vAlign w:val="bottom"/>
            <w:tcBorders>
              <w:bottom w:val="single" w:sz="8" w:color="auto"/>
            </w:tcBorders>
            <w:shd w:val="clear" w:color="auto" w:fill="E5E5E5"/>
          </w:tcPr>
          <w:p>
            <w:pPr>
              <w:spacing w:after="0"/>
              <w:rPr>
                <w:sz w:val="12"/>
                <w:szCs w:val="12"/>
                <w:color w:val="auto"/>
              </w:rPr>
            </w:pPr>
          </w:p>
        </w:tc>
        <w:tc>
          <w:tcPr>
            <w:tcW w:w="36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3,171</w:t>
            </w:r>
          </w:p>
        </w:tc>
        <w:tc>
          <w:tcPr>
            <w:tcW w:w="20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spacing w:after="0"/>
              <w:rPr>
                <w:sz w:val="12"/>
                <w:szCs w:val="12"/>
                <w:color w:val="auto"/>
              </w:rPr>
            </w:pPr>
          </w:p>
        </w:tc>
        <w:tc>
          <w:tcPr>
            <w:tcW w:w="280" w:type="dxa"/>
            <w:vAlign w:val="bottom"/>
            <w:tcBorders>
              <w:bottom w:val="single" w:sz="8" w:color="auto"/>
            </w:tcBorders>
            <w:shd w:val="clear" w:color="auto" w:fill="E5E5E5"/>
          </w:tcPr>
          <w:p>
            <w:pPr>
              <w:spacing w:after="0"/>
              <w:rPr>
                <w:sz w:val="12"/>
                <w:szCs w:val="12"/>
                <w:color w:val="auto"/>
              </w:rPr>
            </w:pPr>
          </w:p>
        </w:tc>
        <w:tc>
          <w:tcPr>
            <w:tcW w:w="84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47</w:t>
            </w:r>
          </w:p>
        </w:tc>
        <w:tc>
          <w:tcPr>
            <w:tcW w:w="62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June 30, 2013</w:t>
            </w:r>
          </w:p>
        </w:tc>
        <w:tc>
          <w:tcPr>
            <w:tcW w:w="22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right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853</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left="52"/>
              <w:spacing w:after="0" w:line="142" w:lineRule="exact"/>
              <w:rPr>
                <w:sz w:val="20"/>
                <w:szCs w:val="20"/>
                <w:color w:val="auto"/>
              </w:rPr>
            </w:pPr>
            <w:r>
              <w:rPr>
                <w:rFonts w:ascii="Arial" w:cs="Arial" w:eastAsia="Arial" w:hAnsi="Arial"/>
                <w:sz w:val="14"/>
                <w:szCs w:val="14"/>
                <w:b w:val="1"/>
                <w:bCs w:val="1"/>
                <w:color w:val="auto"/>
                <w:w w:val="85"/>
              </w:rPr>
              <w:t>$25</w:t>
            </w:r>
          </w:p>
        </w:tc>
        <w:tc>
          <w:tcPr>
            <w:tcW w:w="4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6</w:t>
            </w: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38,991</w:t>
            </w:r>
          </w:p>
        </w:tc>
        <w:tc>
          <w:tcPr>
            <w:tcW w:w="7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$ 17,509</w:t>
            </w:r>
          </w:p>
        </w:tc>
        <w:tc>
          <w:tcPr>
            <w:tcW w:w="2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2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77</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395</w:t>
            </w:r>
          </w:p>
        </w:tc>
        <w:tc>
          <w:tcPr>
            <w:tcW w:w="6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$49,486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Balance, January 1, 2014</w:t>
            </w:r>
          </w:p>
        </w:tc>
        <w:tc>
          <w:tcPr>
            <w:tcW w:w="220" w:type="dxa"/>
            <w:vAlign w:val="bottom"/>
            <w:shd w:val="clear" w:color="auto" w:fill="E5E5E5"/>
          </w:tcPr>
          <w:p>
            <w:pPr>
              <w:ind w:left="160"/>
              <w:spacing w:after="0"/>
              <w:rPr>
                <w:sz w:val="20"/>
                <w:szCs w:val="20"/>
                <w:color w:val="auto"/>
              </w:rPr>
            </w:pPr>
            <w:r>
              <w:rPr>
                <w:rFonts w:ascii="Arial" w:cs="Arial" w:eastAsia="Arial" w:hAnsi="Arial"/>
                <w:sz w:val="10"/>
                <w:szCs w:val="10"/>
                <w:color w:val="auto"/>
                <w:w w:val="71"/>
              </w:rPr>
              <w:t>$</w:t>
            </w:r>
          </w:p>
        </w:tc>
        <w:tc>
          <w:tcPr>
            <w:tcW w:w="1140" w:type="dxa"/>
            <w:vAlign w:val="bottom"/>
            <w:tcBorders>
              <w:right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957</w:t>
            </w:r>
          </w:p>
        </w:tc>
        <w:tc>
          <w:tcPr>
            <w:tcW w:w="240" w:type="dxa"/>
            <w:vAlign w:val="bottom"/>
            <w:shd w:val="clear" w:color="auto" w:fill="E5E5E5"/>
          </w:tcPr>
          <w:p>
            <w:pPr>
              <w:spacing w:after="0"/>
              <w:rPr>
                <w:sz w:val="12"/>
                <w:szCs w:val="12"/>
                <w:color w:val="auto"/>
              </w:rPr>
            </w:pPr>
          </w:p>
        </w:tc>
        <w:tc>
          <w:tcPr>
            <w:tcW w:w="440" w:type="dxa"/>
            <w:vAlign w:val="bottom"/>
            <w:shd w:val="clear" w:color="auto" w:fill="E5E5E5"/>
          </w:tcPr>
          <w:p>
            <w:pPr>
              <w:jc w:val="center"/>
              <w:ind w:left="52"/>
              <w:spacing w:after="0" w:line="149" w:lineRule="exact"/>
              <w:rPr>
                <w:sz w:val="20"/>
                <w:szCs w:val="20"/>
                <w:color w:val="auto"/>
              </w:rPr>
            </w:pPr>
            <w:r>
              <w:rPr>
                <w:rFonts w:ascii="Arial" w:cs="Arial" w:eastAsia="Arial" w:hAnsi="Arial"/>
                <w:sz w:val="14"/>
                <w:szCs w:val="14"/>
                <w:color w:val="auto"/>
                <w:w w:val="85"/>
              </w:rPr>
              <w:t>$25</w:t>
            </w:r>
          </w:p>
        </w:tc>
        <w:tc>
          <w:tcPr>
            <w:tcW w:w="4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5</w:t>
            </w:r>
          </w:p>
        </w:tc>
        <w:tc>
          <w:tcPr>
            <w:tcW w:w="36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3"/>
              </w:rPr>
              <w:t>$ —</w:t>
            </w:r>
          </w:p>
        </w:tc>
        <w:tc>
          <w:tcPr>
            <w:tcW w:w="24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38,890</w:t>
            </w:r>
          </w:p>
        </w:tc>
        <w:tc>
          <w:tcPr>
            <w:tcW w:w="7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$ 19,235</w:t>
            </w:r>
          </w:p>
        </w:tc>
        <w:tc>
          <w:tcPr>
            <w:tcW w:w="200" w:type="dxa"/>
            <w:vAlign w:val="bottom"/>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4"/>
              </w:rPr>
              <w:t>(7,517)</w:t>
            </w:r>
          </w:p>
        </w:tc>
        <w:tc>
          <w:tcPr>
            <w:tcW w:w="280" w:type="dxa"/>
            <w:vAlign w:val="bottom"/>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56</w:t>
            </w:r>
          </w:p>
        </w:tc>
        <w:tc>
          <w:tcPr>
            <w:tcW w:w="160" w:type="dxa"/>
            <w:vAlign w:val="bottom"/>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364</w:t>
            </w: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8"/>
              </w:rPr>
              <w:t>$51,058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2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442</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(343)</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22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(345)</w:t>
            </w:r>
          </w:p>
        </w:tc>
        <w:tc>
          <w:tcPr>
            <w:tcW w:w="7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(1,155)</w:t>
            </w: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2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60</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22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(1,168)</w:t>
            </w: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2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(70)</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w w:val="90"/>
              </w:rPr>
              <w:t>Issuance of subsidiary shares to noncontrolling interests</w:t>
            </w:r>
          </w:p>
        </w:tc>
        <w:tc>
          <w:tcPr>
            <w:tcW w:w="22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85</w:t>
            </w:r>
          </w:p>
        </w:tc>
        <w:tc>
          <w:tcPr>
            <w:tcW w:w="2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13</w:t>
            </w: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tcPr>
          <w:p>
            <w:pPr>
              <w:spacing w:after="0" w:line="138" w:lineRule="exact"/>
              <w:rPr>
                <w:sz w:val="20"/>
                <w:szCs w:val="20"/>
                <w:color w:val="auto"/>
              </w:rPr>
            </w:pPr>
            <w:r>
              <w:rPr>
                <w:rFonts w:ascii="Arial" w:cs="Arial" w:eastAsia="Arial" w:hAnsi="Arial"/>
                <w:sz w:val="14"/>
                <w:szCs w:val="14"/>
                <w:color w:val="auto"/>
              </w:rPr>
              <w:t>Contributions from (distributions to) noncontrolling</w:t>
            </w:r>
          </w:p>
        </w:tc>
        <w:tc>
          <w:tcPr>
            <w:tcW w:w="2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tcPr>
          <w:p>
            <w:pPr>
              <w:ind w:left="200"/>
              <w:spacing w:after="0" w:line="159" w:lineRule="exact"/>
              <w:rPr>
                <w:sz w:val="20"/>
                <w:szCs w:val="20"/>
                <w:color w:val="auto"/>
              </w:rPr>
            </w:pPr>
            <w:r>
              <w:rPr>
                <w:rFonts w:ascii="Arial" w:cs="Arial" w:eastAsia="Arial" w:hAnsi="Arial"/>
                <w:sz w:val="14"/>
                <w:szCs w:val="14"/>
                <w:color w:val="auto"/>
              </w:rPr>
              <w:t>interests, net</w:t>
            </w:r>
          </w:p>
        </w:tc>
        <w:tc>
          <w:tcPr>
            <w:tcW w:w="220" w:type="dxa"/>
            <w:vAlign w:val="bottom"/>
          </w:tcPr>
          <w:p>
            <w:pPr>
              <w:spacing w:after="0"/>
              <w:rPr>
                <w:sz w:val="13"/>
                <w:szCs w:val="13"/>
                <w:color w:val="auto"/>
              </w:rPr>
            </w:pPr>
          </w:p>
        </w:tc>
        <w:tc>
          <w:tcPr>
            <w:tcW w:w="1140" w:type="dxa"/>
            <w:vAlign w:val="bottom"/>
            <w:tcBorders>
              <w:right w:val="single" w:sz="8" w:color="auto"/>
            </w:tcBorders>
          </w:tcPr>
          <w:p>
            <w:pPr>
              <w:jc w:val="right"/>
              <w:ind w:right="252"/>
              <w:spacing w:after="0" w:line="15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(74)</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22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jc w:val="right"/>
              <w:ind w:right="252"/>
              <w:spacing w:after="0" w:line="149" w:lineRule="exact"/>
              <w:rPr>
                <w:sz w:val="20"/>
                <w:szCs w:val="20"/>
                <w:color w:val="auto"/>
              </w:rPr>
            </w:pPr>
            <w:r>
              <w:rPr>
                <w:rFonts w:ascii="Arial" w:cs="Arial" w:eastAsia="Arial" w:hAnsi="Arial"/>
                <w:sz w:val="14"/>
                <w:szCs w:val="14"/>
                <w:color w:val="auto"/>
              </w:rPr>
              <w:t>(14)</w:t>
            </w:r>
          </w:p>
        </w:tc>
        <w:tc>
          <w:tcPr>
            <w:tcW w:w="2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(7)</w:t>
            </w:r>
          </w:p>
        </w:tc>
        <w:tc>
          <w:tcPr>
            <w:tcW w:w="74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w:t>
            </w: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35</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3,863</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65</w:t>
            </w: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Balance, June 30, 2014</w:t>
            </w:r>
          </w:p>
        </w:tc>
        <w:tc>
          <w:tcPr>
            <w:tcW w:w="2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right w:val="single" w:sz="8" w:color="auto"/>
            </w:tcBorders>
            <w:shd w:val="clear" w:color="auto" w:fill="E5E5E5"/>
          </w:tcPr>
          <w:p>
            <w:pPr>
              <w:jc w:val="right"/>
              <w:ind w:right="292"/>
              <w:spacing w:after="0" w:line="142" w:lineRule="exact"/>
              <w:rPr>
                <w:sz w:val="20"/>
                <w:szCs w:val="20"/>
                <w:color w:val="auto"/>
              </w:rPr>
            </w:pPr>
            <w:r>
              <w:rPr>
                <w:rFonts w:ascii="Arial" w:cs="Arial" w:eastAsia="Arial" w:hAnsi="Arial"/>
                <w:sz w:val="14"/>
                <w:szCs w:val="14"/>
                <w:b w:val="1"/>
                <w:bCs w:val="1"/>
                <w:color w:val="auto"/>
              </w:rPr>
              <w:t>1,055</w:t>
            </w:r>
          </w:p>
        </w:tc>
        <w:tc>
          <w:tcPr>
            <w:tcW w:w="24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jc w:val="center"/>
              <w:ind w:left="52"/>
              <w:spacing w:after="0" w:line="142" w:lineRule="exact"/>
              <w:rPr>
                <w:sz w:val="20"/>
                <w:szCs w:val="20"/>
                <w:color w:val="auto"/>
              </w:rPr>
            </w:pPr>
            <w:r>
              <w:rPr>
                <w:rFonts w:ascii="Arial" w:cs="Arial" w:eastAsia="Arial" w:hAnsi="Arial"/>
                <w:sz w:val="14"/>
                <w:szCs w:val="14"/>
                <w:b w:val="1"/>
                <w:bCs w:val="1"/>
                <w:color w:val="auto"/>
                <w:w w:val="85"/>
              </w:rPr>
              <w:t>$25</w:t>
            </w:r>
          </w:p>
        </w:tc>
        <w:tc>
          <w:tcPr>
            <w:tcW w:w="46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5</w:t>
            </w:r>
          </w:p>
        </w:tc>
        <w:tc>
          <w:tcPr>
            <w:tcW w:w="360" w:type="dxa"/>
            <w:vAlign w:val="bottom"/>
            <w:tcBorders>
              <w:bottom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b w:val="1"/>
                <w:bCs w:val="1"/>
                <w:color w:val="auto"/>
                <w:w w:val="93"/>
              </w:rPr>
              <w:t>$ —</w:t>
            </w:r>
          </w:p>
        </w:tc>
        <w:tc>
          <w:tcPr>
            <w:tcW w:w="2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39,040</w:t>
            </w:r>
          </w:p>
        </w:tc>
        <w:tc>
          <w:tcPr>
            <w:tcW w:w="74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$ 20,432</w:t>
            </w:r>
          </w:p>
        </w:tc>
        <w:tc>
          <w:tcPr>
            <w:tcW w:w="20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28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E5E5E5"/>
          </w:tcPr>
          <w:p>
            <w:pPr>
              <w:jc w:val="right"/>
              <w:ind w:right="52"/>
              <w:spacing w:after="0" w:line="142" w:lineRule="exact"/>
              <w:rPr>
                <w:sz w:val="20"/>
                <w:szCs w:val="20"/>
                <w:color w:val="auto"/>
              </w:rPr>
            </w:pPr>
            <w:r>
              <w:rPr>
                <w:rFonts w:ascii="Arial" w:cs="Arial" w:eastAsia="Arial" w:hAnsi="Arial"/>
                <w:sz w:val="14"/>
                <w:szCs w:val="14"/>
                <w:b w:val="1"/>
                <w:bCs w:val="1"/>
                <w:color w:val="auto"/>
              </w:rPr>
              <w:t>(14)</w:t>
            </w:r>
          </w:p>
        </w:tc>
        <w:tc>
          <w:tcPr>
            <w:tcW w:w="1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361</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$52,332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year-end condensed consolidated balance sheet was derived from audited financial statements but does not include all disclosures required by generally accepted accounting principles in the United States of America (“GAAP”). For a more complete discussion of our accounting policies and certain other information, refer to our consolidated financial statements included in our 2013 Annual Report on Form 10-K.</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2014, the Financial Accounting Standards Board (“FASB”) updated the accounting guidance related to discontinued operations. The updated accounting guidance provides a narrower definition of discontinued operations than existing GAAP. The updated accounting guidance requires that only disposals of components of an entity, or groups of components, that represent a strategic shift that has or will have a material effect on the reporting entity’s operations be reported in the financial statements as discontinued operations. The updated accounting guidance also provides guidance on the financial statement presentations and disclosures of discontinued operations. The updated accounting guidance will be effective prospectively for us on January 1, 2015, with early adoption permitted in 2014.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The updated accounting guidance will be effective for us on January 1, 2017, and early adoption is not permitted. The updated accounting guidance allows for either a full retrospective adoption or modified retrospective adoption. We are currently in the process of determining the impact that the updated accounting guidance will have on our consolidated financial statements and our method of adoption.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rPr>
              <w:t>Three Months Ended June 30</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4"/>
              <w:spacing w:after="0" w:line="131" w:lineRule="exact"/>
              <w:rPr>
                <w:sz w:val="20"/>
                <w:szCs w:val="20"/>
                <w:color w:val="auto"/>
              </w:rPr>
            </w:pPr>
            <w:r>
              <w:rPr>
                <w:rFonts w:ascii="Arial" w:cs="Arial" w:eastAsia="Arial" w:hAnsi="Arial"/>
                <w:sz w:val="14"/>
                <w:szCs w:val="14"/>
                <w:color w:val="auto"/>
                <w:w w:val="86"/>
              </w:rPr>
              <w:t>Net Income</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4"/>
              <w:spacing w:after="0" w:line="149" w:lineRule="exact"/>
              <w:rPr>
                <w:sz w:val="20"/>
                <w:szCs w:val="20"/>
                <w:color w:val="auto"/>
              </w:rPr>
            </w:pPr>
            <w:r>
              <w:rPr>
                <w:rFonts w:ascii="Arial" w:cs="Arial" w:eastAsia="Arial" w:hAnsi="Arial"/>
                <w:sz w:val="14"/>
                <w:szCs w:val="14"/>
                <w:color w:val="auto"/>
                <w:w w:val="90"/>
              </w:rPr>
              <w:t>Attributable to</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4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4"/>
              <w:spacing w:after="0" w:line="159" w:lineRule="exact"/>
              <w:rPr>
                <w:sz w:val="20"/>
                <w:szCs w:val="20"/>
                <w:color w:val="auto"/>
              </w:rPr>
            </w:pPr>
            <w:r>
              <w:rPr>
                <w:rFonts w:ascii="Arial" w:cs="Arial" w:eastAsia="Arial" w:hAnsi="Arial"/>
                <w:sz w:val="14"/>
                <w:szCs w:val="14"/>
                <w:color w:val="auto"/>
                <w:w w:val="90"/>
              </w:rPr>
              <w:t>Corporation</w:t>
            </w:r>
          </w:p>
        </w:tc>
        <w:tc>
          <w:tcPr>
            <w:tcW w:w="840" w:type="dxa"/>
            <w:vAlign w:val="bottom"/>
            <w:tcBorders>
              <w:bottom w:val="single" w:sz="8" w:color="auto"/>
            </w:tcBorders>
          </w:tcPr>
          <w:p>
            <w:pPr>
              <w:jc w:val="right"/>
              <w:ind w:right="140"/>
              <w:spacing w:after="0" w:line="159" w:lineRule="exact"/>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1,992</w:t>
            </w:r>
          </w:p>
        </w:tc>
        <w:tc>
          <w:tcPr>
            <w:tcW w:w="840" w:type="dxa"/>
            <w:vAlign w:val="bottom"/>
            <w:shd w:val="clear" w:color="auto" w:fill="E5E5E5"/>
          </w:tcPr>
          <w:p>
            <w:pPr>
              <w:jc w:val="right"/>
              <w:ind w:right="80"/>
              <w:spacing w:after="0"/>
              <w:rPr>
                <w:sz w:val="20"/>
                <w:szCs w:val="20"/>
                <w:color w:val="auto"/>
              </w:rPr>
            </w:pPr>
            <w:r>
              <w:rPr>
                <w:rFonts w:ascii="Arial" w:cs="Arial" w:eastAsia="Arial" w:hAnsi="Arial"/>
                <w:sz w:val="18"/>
                <w:szCs w:val="18"/>
                <w:color w:val="auto"/>
              </w:rPr>
              <w:t>2,594</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0.77</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1,734</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2,631</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0.66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34</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1,992</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2,628</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0.76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1,734</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2,666</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0.65</w:t>
            </w:r>
          </w:p>
        </w:tc>
      </w:tr>
      <w:tr>
        <w:trPr>
          <w:trHeight w:val="284"/>
        </w:trPr>
        <w:tc>
          <w:tcPr>
            <w:tcW w:w="5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color w:val="auto"/>
              </w:rPr>
              <w:t>Six Months Ended June 30</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4"/>
              <w:spacing w:after="0" w:line="131" w:lineRule="exact"/>
              <w:rPr>
                <w:sz w:val="20"/>
                <w:szCs w:val="20"/>
                <w:color w:val="auto"/>
              </w:rPr>
            </w:pPr>
            <w:r>
              <w:rPr>
                <w:rFonts w:ascii="Arial" w:cs="Arial" w:eastAsia="Arial" w:hAnsi="Arial"/>
                <w:sz w:val="14"/>
                <w:szCs w:val="14"/>
                <w:color w:val="auto"/>
                <w:w w:val="86"/>
              </w:rPr>
              <w:t>Net Income</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4"/>
              <w:spacing w:after="0" w:line="149" w:lineRule="exact"/>
              <w:rPr>
                <w:sz w:val="20"/>
                <w:szCs w:val="20"/>
                <w:color w:val="auto"/>
              </w:rPr>
            </w:pPr>
            <w:r>
              <w:rPr>
                <w:rFonts w:ascii="Arial" w:cs="Arial" w:eastAsia="Arial" w:hAnsi="Arial"/>
                <w:sz w:val="14"/>
                <w:szCs w:val="14"/>
                <w:color w:val="auto"/>
                <w:w w:val="90"/>
              </w:rPr>
              <w:t>Attributable to</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4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4"/>
              <w:spacing w:after="0" w:line="159" w:lineRule="exact"/>
              <w:rPr>
                <w:sz w:val="20"/>
                <w:szCs w:val="20"/>
                <w:color w:val="auto"/>
              </w:rPr>
            </w:pPr>
            <w:r>
              <w:rPr>
                <w:rFonts w:ascii="Arial" w:cs="Arial" w:eastAsia="Arial" w:hAnsi="Arial"/>
                <w:sz w:val="14"/>
                <w:szCs w:val="14"/>
                <w:color w:val="auto"/>
                <w:w w:val="90"/>
              </w:rPr>
              <w:t>Corporation</w:t>
            </w:r>
          </w:p>
        </w:tc>
        <w:tc>
          <w:tcPr>
            <w:tcW w:w="840" w:type="dxa"/>
            <w:vAlign w:val="bottom"/>
            <w:tcBorders>
              <w:bottom w:val="single" w:sz="8" w:color="auto"/>
            </w:tcBorders>
          </w:tcPr>
          <w:p>
            <w:pPr>
              <w:jc w:val="right"/>
              <w:ind w:right="140"/>
              <w:spacing w:after="0" w:line="159" w:lineRule="exact"/>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3,863</w:t>
            </w:r>
          </w:p>
        </w:tc>
        <w:tc>
          <w:tcPr>
            <w:tcW w:w="840" w:type="dxa"/>
            <w:vAlign w:val="bottom"/>
            <w:shd w:val="clear" w:color="auto" w:fill="E5E5E5"/>
          </w:tcPr>
          <w:p>
            <w:pPr>
              <w:jc w:val="right"/>
              <w:ind w:right="80"/>
              <w:spacing w:after="0"/>
              <w:rPr>
                <w:sz w:val="20"/>
                <w:szCs w:val="20"/>
                <w:color w:val="auto"/>
              </w:rPr>
            </w:pPr>
            <w:r>
              <w:rPr>
                <w:rFonts w:ascii="Arial" w:cs="Arial" w:eastAsia="Arial" w:hAnsi="Arial"/>
                <w:sz w:val="18"/>
                <w:szCs w:val="18"/>
                <w:color w:val="auto"/>
              </w:rPr>
              <w:t>2,598</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1.49</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3,171</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2,633</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1.20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38</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39</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3,863</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2,636</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1.47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3,171</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2,672</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1.19</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w:t>
      </w:r>
    </w:p>
    <w:p>
      <w:pPr>
        <w:spacing w:after="0" w:line="4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three and six months ended June 30, 2014, diluted EPS excluded 16 million and 9 million, respectively, of potential common shares related to our share-based compensation plans, because the inclusion of the potential common shares would have had an antidilutive effect. For the three and six months ended June 30, 2013, diluted EPS excluded 18 million and 10 million, respectively, of potential common shares.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Merger</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On February 12, 2014, we entered into an agreement and plan of merger (the “merger agreement”) with Time Warner Cable Inc. (“Time Warner Cable”). As a result of the merger agreement, we will acquire 100% of Time Warner Cable’s outstanding shares of common stock in exchange for shares of our Class A common stock (the “Time Warner Cable merger”). Time Warner Cable stockholders will receive, in exchange for each share of Time Warner Cable common stock owned immediately prior to the Time Warner Cable merger, 2.875 shares of our Class A common stock. Time Warner Cable stockholders will then own approximately 23% of our common stock, an estimate based on the number of shares outstanding as of the date of the merger agreement. Because the exchange ratio was fixed at the time of the merger agreement and the market value of our Class A common stock will continue to fluctuate, the number of shares of Class A common stock to be issued and the total value of the consideration exchanged will not be determinable until the closing date. Following the close of the Time Warner Cable merger, Time Warner Cable will be our wholly owned subsidiary. The Time Warner Cable merger remains subject to shareholder approval at both companies, regulatory review and other customary conditions. It is reasonably possible that the Time Warner Cable merger will close by the end of 2014.</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Transactions</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terms of the merger agreement contemplate that we are prepared to divest systems serving up to approximately 3 million video customers of the combined company to reduce competitive concerns. As a result of this commitment, on April 25, 2014, we entered into a transactions agreement with Charter Communications, Inc. (“Charter”) that, if consummated, would satisfy our divestiture undertaking. Under the transactions agreement, following the close of the Time Warner Cable merger and subject to various conditions, we would divest cable systems resulting in a net disposition of approximately 3.9 million video customers through three transactions: (1) a spin-off of cable systems serving approximately 2.5 million of our video customers (the “spin-off transaction”) into a newly formed public entity (“SpinCo”), (2) an exchange of cable systems serving approximately 1.5 million Time Warner Cable video customers for cable systems serving approximately 1.7 million Charter video customers, and (3) a sale to Charter of cable systems serving approximately 1.5 million Time Warner Cable video customers for cash (collectively, the “divestiture transactions”).</w:t>
      </w:r>
    </w:p>
    <w:p>
      <w:pPr>
        <w:spacing w:after="0" w:line="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the spin-off transaction and prior to the spin-off, it is expected that SpinCo will incur new debt to fund a distribution to us in the form of cash and notes, which will enable us to retire a portion of our debt. In the spin-off transaction, we will distribute common stock of SpinCo pro rata to the holders of all of our outstanding common stock, including the former Time Warner Cable stockholders who continue to hold shares through the record date of the spin-off transaction. After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New Charter will then acquire an interest in SpinCo by issuing New Charter stock in exchange for a portion of the outstanding SpinCo stock, following which Comcast shareholders, including the former Time Warner Cable stockholders, are expected to own approximately 67% of SpinCo and New Charter is expected to own approximately 33% of SpinCo.</w:t>
      </w:r>
    </w:p>
    <w:p>
      <w:pPr>
        <w:spacing w:after="0" w:line="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close of the divestiture transactions is subject to the completion of the Time Warner Cable merger, Charter stockholder approval, completion of the SpinCo financing transactions, regulatory approvals and other customary conditions. The Time Warner Cable merger and the divestiture transactions are subject to separate conditions, and the Time Warner Cable merger can be completed regardless of whether the divestiture transactions are ultimately completed.</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5840" w:type="dxa"/>
            <w:vAlign w:val="bottom"/>
          </w:tcPr>
          <w:p>
            <w:pPr>
              <w:jc w:val="right"/>
              <w:ind w:right="255"/>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59"/>
        </w:trPr>
        <w:tc>
          <w:tcPr>
            <w:tcW w:w="44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840" w:type="dxa"/>
            <w:vAlign w:val="bottom"/>
            <w:tcBorders>
              <w:bottom w:val="single" w:sz="8" w:color="auto"/>
            </w:tcBorders>
          </w:tcPr>
          <w:p>
            <w:pPr>
              <w:jc w:val="right"/>
              <w:ind w:right="355"/>
              <w:spacing w:after="0" w:line="159" w:lineRule="exact"/>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4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5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5840" w:type="dxa"/>
            <w:vAlign w:val="bottom"/>
          </w:tcPr>
          <w:p>
            <w:pPr>
              <w:jc w:val="right"/>
              <w:ind w:right="235"/>
              <w:spacing w:after="0"/>
              <w:rPr>
                <w:sz w:val="20"/>
                <w:szCs w:val="20"/>
                <w:color w:val="auto"/>
              </w:rPr>
            </w:pPr>
            <w:r>
              <w:rPr>
                <w:rFonts w:ascii="Arial" w:cs="Arial" w:eastAsia="Arial" w:hAnsi="Arial"/>
                <w:sz w:val="18"/>
                <w:szCs w:val="18"/>
                <w:color w:val="auto"/>
              </w:rPr>
              <w:t>$1,356</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1,630</w:t>
            </w:r>
          </w:p>
        </w:tc>
      </w:tr>
      <w:tr>
        <w:trPr>
          <w:trHeight w:val="216"/>
        </w:trPr>
        <w:tc>
          <w:tcPr>
            <w:tcW w:w="4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58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65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70</w:t>
            </w:r>
          </w:p>
        </w:tc>
      </w:tr>
      <w:tr>
        <w:trPr>
          <w:trHeight w:val="216"/>
        </w:trPr>
        <w:tc>
          <w:tcPr>
            <w:tcW w:w="4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58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1,077</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658</w:t>
            </w:r>
          </w:p>
        </w:tc>
      </w:tr>
      <w:tr>
        <w:trPr>
          <w:trHeight w:val="210"/>
        </w:trPr>
        <w:tc>
          <w:tcPr>
            <w:tcW w:w="4400" w:type="dxa"/>
            <w:vAlign w:val="bottom"/>
            <w:shd w:val="clear" w:color="auto" w:fill="E5E5E5"/>
          </w:tcPr>
          <w:p>
            <w:pPr>
              <w:spacing w:after="0"/>
              <w:rPr>
                <w:sz w:val="18"/>
                <w:szCs w:val="18"/>
                <w:color w:val="auto"/>
              </w:rPr>
            </w:pPr>
          </w:p>
        </w:tc>
        <w:tc>
          <w:tcPr>
            <w:tcW w:w="58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2,498</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2,358</w:t>
            </w: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5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58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1,165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1,155</w:t>
            </w:r>
          </w:p>
        </w:tc>
      </w:tr>
      <w:tr>
        <w:trPr>
          <w:trHeight w:val="216"/>
        </w:trPr>
        <w:tc>
          <w:tcPr>
            <w:tcW w:w="4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58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361</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370</w:t>
            </w:r>
          </w:p>
        </w:tc>
      </w:tr>
      <w:tr>
        <w:trPr>
          <w:trHeight w:val="210"/>
        </w:trPr>
        <w:tc>
          <w:tcPr>
            <w:tcW w:w="4400" w:type="dxa"/>
            <w:vAlign w:val="bottom"/>
            <w:shd w:val="clear" w:color="auto" w:fill="E5E5E5"/>
          </w:tcPr>
          <w:p>
            <w:pPr>
              <w:spacing w:after="0"/>
              <w:rPr>
                <w:sz w:val="18"/>
                <w:szCs w:val="18"/>
                <w:color w:val="auto"/>
              </w:rPr>
            </w:pPr>
          </w:p>
        </w:tc>
        <w:tc>
          <w:tcPr>
            <w:tcW w:w="58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1,526</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1,525</w:t>
            </w: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58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2,089</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2,039</w:t>
            </w:r>
          </w:p>
        </w:tc>
      </w:tr>
      <w:tr>
        <w:trPr>
          <w:trHeight w:val="210"/>
        </w:trPr>
        <w:tc>
          <w:tcPr>
            <w:tcW w:w="4400" w:type="dxa"/>
            <w:vAlign w:val="bottom"/>
            <w:shd w:val="clear" w:color="auto" w:fill="E5E5E5"/>
          </w:tcPr>
          <w:p>
            <w:pPr>
              <w:spacing w:after="0"/>
              <w:rPr>
                <w:sz w:val="18"/>
                <w:szCs w:val="18"/>
                <w:color w:val="auto"/>
              </w:rPr>
            </w:pPr>
          </w:p>
        </w:tc>
        <w:tc>
          <w:tcPr>
            <w:tcW w:w="58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6,113</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5,922</w:t>
            </w: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58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905</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928</w:t>
            </w:r>
          </w:p>
        </w:tc>
      </w:tr>
      <w:tr>
        <w:trPr>
          <w:trHeight w:val="217"/>
        </w:trPr>
        <w:tc>
          <w:tcPr>
            <w:tcW w:w="4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584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rPr>
              <w:t>$5,208</w:t>
            </w:r>
          </w:p>
        </w:tc>
        <w:tc>
          <w:tcPr>
            <w:tcW w:w="4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4,994</w:t>
            </w:r>
          </w:p>
        </w:tc>
      </w:tr>
      <w:tr>
        <w:trPr>
          <w:trHeight w:val="363"/>
        </w:trPr>
        <w:tc>
          <w:tcPr>
            <w:tcW w:w="4400" w:type="dxa"/>
            <w:vAlign w:val="bottom"/>
          </w:tcPr>
          <w:p>
            <w:pPr>
              <w:spacing w:after="0"/>
              <w:rPr>
                <w:sz w:val="24"/>
                <w:szCs w:val="24"/>
                <w:color w:val="auto"/>
              </w:rPr>
            </w:pPr>
          </w:p>
        </w:tc>
        <w:tc>
          <w:tcPr>
            <w:tcW w:w="5840" w:type="dxa"/>
            <w:vAlign w:val="bottom"/>
          </w:tcPr>
          <w:p>
            <w:pPr>
              <w:jc w:val="right"/>
              <w:ind w:right="4395"/>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June 30,</w:t>
            </w:r>
          </w:p>
        </w:tc>
        <w:tc>
          <w:tcPr>
            <w:tcW w:w="5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70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rPr>
              <w:t>2014</w:t>
            </w:r>
          </w:p>
        </w:tc>
        <w:tc>
          <w:tcPr>
            <w:tcW w:w="5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708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$2,387</w:t>
            </w: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Equity Method:</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331</w:t>
            </w: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Hulu</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486</w:t>
            </w:r>
          </w:p>
        </w:tc>
        <w:tc>
          <w:tcPr>
            <w:tcW w:w="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1,004</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7080" w:type="dxa"/>
            <w:vAlign w:val="bottom"/>
            <w:shd w:val="clear" w:color="auto" w:fill="E5E5E5"/>
          </w:tcPr>
          <w:p>
            <w:pPr>
              <w:spacing w:after="0"/>
              <w:rPr>
                <w:sz w:val="20"/>
                <w:szCs w:val="20"/>
                <w:color w:val="auto"/>
              </w:rPr>
            </w:pPr>
            <w:r>
              <w:rPr>
                <w:rFonts w:ascii="Arial" w:cs="Arial" w:eastAsia="Arial" w:hAnsi="Arial"/>
                <w:sz w:val="18"/>
                <w:szCs w:val="18"/>
                <w:color w:val="auto"/>
              </w:rPr>
              <w:t>Cost Method:</w:t>
            </w: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AirTouch</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446</w:t>
            </w:r>
          </w:p>
        </w:tc>
        <w:tc>
          <w:tcPr>
            <w:tcW w:w="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2,006</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7080" w:type="dxa"/>
            <w:vAlign w:val="bottom"/>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5,397</w:t>
            </w: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5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$3,072</w:t>
            </w:r>
          </w:p>
        </w:tc>
        <w:tc>
          <w:tcPr>
            <w:tcW w:w="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3,770</w:t>
            </w:r>
          </w:p>
        </w:tc>
        <w:tc>
          <w:tcPr>
            <w:tcW w:w="0" w:type="dxa"/>
            <w:vAlign w:val="bottom"/>
          </w:tcPr>
          <w:p>
            <w:pPr>
              <w:spacing w:after="0"/>
              <w:rPr>
                <w:sz w:val="1"/>
                <w:szCs w:val="1"/>
                <w:color w:val="auto"/>
              </w:rPr>
            </w:pPr>
          </w:p>
        </w:tc>
      </w:tr>
      <w:tr>
        <w:trPr>
          <w:trHeight w:val="403"/>
        </w:trPr>
        <w:tc>
          <w:tcPr>
            <w:tcW w:w="7080" w:type="dxa"/>
            <w:vAlign w:val="bottom"/>
          </w:tcPr>
          <w:p>
            <w:pPr>
              <w:ind w:left="4440"/>
              <w:spacing w:after="0"/>
              <w:rPr>
                <w:sz w:val="20"/>
                <w:szCs w:val="20"/>
                <w:color w:val="auto"/>
              </w:rPr>
            </w:pPr>
            <w:r>
              <w:rPr>
                <w:rFonts w:ascii="Arial" w:cs="Arial" w:eastAsia="Arial" w:hAnsi="Arial"/>
                <w:sz w:val="18"/>
                <w:szCs w:val="18"/>
                <w:b w:val="1"/>
                <w:bCs w:val="1"/>
                <w:color w:val="auto"/>
              </w:rPr>
              <w:t>Investment Income (Loss), Net</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0" w:type="dxa"/>
            <w:vAlign w:val="bottom"/>
            <w:gridSpan w:val="3"/>
          </w:tcPr>
          <w:p>
            <w:pPr>
              <w:jc w:val="right"/>
              <w:ind w:right="295"/>
              <w:spacing w:after="0"/>
              <w:rPr>
                <w:sz w:val="20"/>
                <w:szCs w:val="20"/>
                <w:color w:val="auto"/>
              </w:rPr>
            </w:pPr>
            <w:r>
              <w:rPr>
                <w:rFonts w:ascii="Arial" w:cs="Arial" w:eastAsia="Arial" w:hAnsi="Arial"/>
                <w:sz w:val="14"/>
                <w:szCs w:val="14"/>
                <w:color w:val="auto"/>
                <w:w w:val="91"/>
              </w:rPr>
              <w:t>Three Months Ended</w:t>
            </w:r>
          </w:p>
        </w:tc>
        <w:tc>
          <w:tcPr>
            <w:tcW w:w="680" w:type="dxa"/>
            <w:vAlign w:val="bottom"/>
          </w:tcPr>
          <w:p>
            <w:pPr>
              <w:spacing w:after="0"/>
              <w:rPr>
                <w:sz w:val="22"/>
                <w:szCs w:val="22"/>
                <w:color w:val="auto"/>
              </w:rPr>
            </w:pPr>
          </w:p>
        </w:tc>
        <w:tc>
          <w:tcPr>
            <w:tcW w:w="1480" w:type="dxa"/>
            <w:vAlign w:val="bottom"/>
            <w:gridSpan w:val="3"/>
          </w:tcPr>
          <w:p>
            <w:pPr>
              <w:jc w:val="right"/>
              <w:ind w:right="354"/>
              <w:spacing w:after="0"/>
              <w:rPr>
                <w:sz w:val="20"/>
                <w:szCs w:val="20"/>
                <w:color w:val="auto"/>
              </w:rPr>
            </w:pPr>
            <w:r>
              <w:rPr>
                <w:rFonts w:ascii="Arial" w:cs="Arial" w:eastAsia="Arial" w:hAnsi="Arial"/>
                <w:sz w:val="14"/>
                <w:szCs w:val="14"/>
                <w:color w:val="auto"/>
                <w:w w:val="89"/>
              </w:rPr>
              <w:t>Six Months Ended</w:t>
            </w:r>
          </w:p>
        </w:tc>
        <w:tc>
          <w:tcPr>
            <w:tcW w:w="0" w:type="dxa"/>
            <w:vAlign w:val="bottom"/>
          </w:tcPr>
          <w:p>
            <w:pPr>
              <w:spacing w:after="0"/>
              <w:rPr>
                <w:sz w:val="1"/>
                <w:szCs w:val="1"/>
                <w:color w:val="auto"/>
              </w:rPr>
            </w:pPr>
          </w:p>
        </w:tc>
      </w:tr>
      <w:tr>
        <w:trPr>
          <w:trHeight w:val="173"/>
        </w:trPr>
        <w:tc>
          <w:tcPr>
            <w:tcW w:w="70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color w:val="auto"/>
                <w:w w:val="89"/>
              </w:rPr>
              <w:t>2014</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color w:val="auto"/>
                <w:w w:val="83"/>
              </w:rPr>
              <w:t>2013</w:t>
            </w:r>
          </w:p>
        </w:tc>
        <w:tc>
          <w:tcPr>
            <w:tcW w:w="1180" w:type="dxa"/>
            <w:vAlign w:val="bottom"/>
            <w:tcBorders>
              <w:bottom w:val="single" w:sz="8" w:color="auto"/>
            </w:tcBorders>
            <w:gridSpan w:val="2"/>
          </w:tcPr>
          <w:p>
            <w:pPr>
              <w:jc w:val="right"/>
              <w:ind w:right="217"/>
              <w:spacing w:after="0" w:line="142" w:lineRule="exact"/>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7080" w:type="dxa"/>
            <w:vAlign w:val="bottom"/>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90</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w:t>
            </w:r>
          </w:p>
        </w:tc>
        <w:tc>
          <w:tcPr>
            <w:tcW w:w="6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173</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580" w:type="dxa"/>
            <w:vAlign w:val="bottom"/>
          </w:tcPr>
          <w:p>
            <w:pPr>
              <w:spacing w:after="0"/>
              <w:rPr>
                <w:sz w:val="18"/>
                <w:szCs w:val="18"/>
                <w:color w:val="auto"/>
              </w:rPr>
            </w:pPr>
          </w:p>
        </w:tc>
        <w:tc>
          <w:tcPr>
            <w:tcW w:w="660" w:type="dxa"/>
            <w:vAlign w:val="bottom"/>
          </w:tcPr>
          <w:p>
            <w:pPr>
              <w:jc w:val="right"/>
              <w:ind w:right="78"/>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08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85</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247</w:t>
            </w:r>
          </w:p>
        </w:tc>
        <w:tc>
          <w:tcPr>
            <w:tcW w:w="6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(28)</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20"/>
                <w:szCs w:val="20"/>
                <w:color w:val="auto"/>
              </w:rPr>
            </w:pPr>
            <w:r>
              <w:rPr>
                <w:rFonts w:ascii="Arial" w:cs="Arial" w:eastAsia="Arial" w:hAnsi="Arial"/>
                <w:sz w:val="18"/>
                <w:szCs w:val="18"/>
                <w:color w:val="auto"/>
                <w:w w:val="94"/>
              </w:rPr>
              <w:t>Mark to market adjustments on derivative component of prepaid forward sale agreements and</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tcPr>
          <w:p>
            <w:pPr>
              <w:ind w:left="220"/>
              <w:spacing w:after="0"/>
              <w:rPr>
                <w:sz w:val="20"/>
                <w:szCs w:val="20"/>
                <w:color w:val="auto"/>
              </w:rPr>
            </w:pPr>
            <w:r>
              <w:rPr>
                <w:rFonts w:ascii="Arial" w:cs="Arial" w:eastAsia="Arial" w:hAnsi="Arial"/>
                <w:sz w:val="18"/>
                <w:szCs w:val="18"/>
                <w:color w:val="auto"/>
              </w:rPr>
              <w:t>indexed debt instruments</w:t>
            </w:r>
          </w:p>
        </w:tc>
        <w:tc>
          <w:tcPr>
            <w:tcW w:w="580" w:type="dxa"/>
            <w:vAlign w:val="bottom"/>
          </w:tcPr>
          <w:p>
            <w:pPr>
              <w:spacing w:after="0"/>
              <w:rPr>
                <w:sz w:val="19"/>
                <w:szCs w:val="19"/>
                <w:color w:val="auto"/>
              </w:rPr>
            </w:pPr>
          </w:p>
        </w:tc>
        <w:tc>
          <w:tcPr>
            <w:tcW w:w="660" w:type="dxa"/>
            <w:vAlign w:val="bottom"/>
          </w:tcPr>
          <w:p>
            <w:pPr>
              <w:jc w:val="right"/>
              <w:ind w:right="78"/>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(239)</w:t>
            </w:r>
          </w:p>
        </w:tc>
        <w:tc>
          <w:tcPr>
            <w:tcW w:w="680" w:type="dxa"/>
            <w:vAlign w:val="bottom"/>
          </w:tcPr>
          <w:p>
            <w:pPr>
              <w:spacing w:after="0"/>
              <w:rPr>
                <w:sz w:val="19"/>
                <w:szCs w:val="19"/>
                <w:color w:val="auto"/>
              </w:rPr>
            </w:pPr>
          </w:p>
        </w:tc>
        <w:tc>
          <w:tcPr>
            <w:tcW w:w="500" w:type="dxa"/>
            <w:vAlign w:val="bottom"/>
          </w:tcPr>
          <w:p>
            <w:pPr>
              <w:jc w:val="right"/>
              <w:ind w:right="77"/>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8"/>
        </w:trPr>
        <w:tc>
          <w:tcPr>
            <w:tcW w:w="708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28</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26</w:t>
            </w:r>
          </w:p>
        </w:tc>
        <w:tc>
          <w:tcPr>
            <w:tcW w:w="6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56</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(20)</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b w:val="1"/>
                <w:bCs w:val="1"/>
                <w:color w:val="auto"/>
              </w:rPr>
              <w:t>120</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13</w:t>
            </w: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233</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2014, the majority of our fair value method investments were equity securities held as collateral that were related to our obligations under prepaid forward sale agreements.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Forward Sale Agreements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260" w:type="dxa"/>
            <w:vAlign w:val="bottom"/>
            <w:gridSpan w:val="2"/>
          </w:tcPr>
          <w:p>
            <w:pPr>
              <w:jc w:val="right"/>
              <w:ind w:right="256"/>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59"/>
        </w:trPr>
        <w:tc>
          <w:tcPr>
            <w:tcW w:w="69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540" w:type="dxa"/>
            <w:vAlign w:val="bottom"/>
          </w:tcPr>
          <w:p>
            <w:pPr>
              <w:spacing w:after="0"/>
              <w:rPr>
                <w:sz w:val="13"/>
                <w:szCs w:val="13"/>
                <w:color w:val="auto"/>
              </w:rPr>
            </w:pPr>
          </w:p>
        </w:tc>
        <w:tc>
          <w:tcPr>
            <w:tcW w:w="720" w:type="dxa"/>
            <w:vAlign w:val="bottom"/>
          </w:tcPr>
          <w:p>
            <w:pPr>
              <w:jc w:val="right"/>
              <w:ind w:right="356"/>
              <w:spacing w:after="0" w:line="159" w:lineRule="exact"/>
              <w:rPr>
                <w:sz w:val="20"/>
                <w:szCs w:val="20"/>
                <w:color w:val="auto"/>
              </w:rPr>
            </w:pPr>
            <w:r>
              <w:rPr>
                <w:rFonts w:ascii="Arial" w:cs="Arial" w:eastAsia="Arial" w:hAnsi="Arial"/>
                <w:sz w:val="14"/>
                <w:szCs w:val="14"/>
                <w:color w:val="auto"/>
                <w:w w:val="83"/>
              </w:rPr>
              <w:t>2014</w:t>
            </w:r>
          </w:p>
        </w:tc>
        <w:tc>
          <w:tcPr>
            <w:tcW w:w="480" w:type="dxa"/>
            <w:vAlign w:val="bottom"/>
          </w:tcPr>
          <w:p>
            <w:pPr>
              <w:spacing w:after="0"/>
              <w:rPr>
                <w:sz w:val="13"/>
                <w:szCs w:val="13"/>
                <w:color w:val="auto"/>
              </w:rPr>
            </w:pPr>
          </w:p>
        </w:tc>
        <w:tc>
          <w:tcPr>
            <w:tcW w:w="700" w:type="dxa"/>
            <w:vAlign w:val="bottom"/>
          </w:tcPr>
          <w:p>
            <w:pPr>
              <w:jc w:val="right"/>
              <w:ind w:right="256"/>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20" w:type="dxa"/>
            <w:vAlign w:val="bottom"/>
          </w:tcPr>
          <w:p>
            <w:pPr>
              <w:spacing w:after="0"/>
              <w:rPr>
                <w:sz w:val="18"/>
                <w:szCs w:val="18"/>
                <w:color w:val="auto"/>
              </w:rPr>
            </w:pPr>
          </w:p>
        </w:tc>
        <w:tc>
          <w:tcPr>
            <w:tcW w:w="6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Assets:</w:t>
            </w:r>
          </w:p>
        </w:tc>
        <w:tc>
          <w:tcPr>
            <w:tcW w:w="25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Fair value equity securities held as collateral</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84"/>
              </w:rPr>
              <w:t>2,250</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3,959</w:t>
            </w:r>
          </w:p>
        </w:tc>
      </w:tr>
      <w:tr>
        <w:trPr>
          <w:trHeight w:val="210"/>
        </w:trPr>
        <w:tc>
          <w:tcPr>
            <w:tcW w:w="20" w:type="dxa"/>
            <w:vAlign w:val="bottom"/>
          </w:tcPr>
          <w:p>
            <w:pPr>
              <w:spacing w:after="0"/>
              <w:rPr>
                <w:sz w:val="18"/>
                <w:szCs w:val="18"/>
                <w:color w:val="auto"/>
              </w:rPr>
            </w:pPr>
          </w:p>
        </w:tc>
        <w:tc>
          <w:tcPr>
            <w:tcW w:w="6960" w:type="dxa"/>
            <w:vAlign w:val="bottom"/>
            <w:shd w:val="clear" w:color="auto" w:fill="E5E5E5"/>
          </w:tcPr>
          <w:p>
            <w:pPr>
              <w:spacing w:after="0"/>
              <w:rPr>
                <w:sz w:val="20"/>
                <w:szCs w:val="20"/>
                <w:color w:val="auto"/>
              </w:rPr>
            </w:pPr>
            <w:r>
              <w:rPr>
                <w:rFonts w:ascii="Arial" w:cs="Arial" w:eastAsia="Arial" w:hAnsi="Arial"/>
                <w:sz w:val="18"/>
                <w:szCs w:val="18"/>
                <w:color w:val="auto"/>
              </w:rPr>
              <w:t>Liabilities:</w:t>
            </w:r>
          </w:p>
        </w:tc>
        <w:tc>
          <w:tcPr>
            <w:tcW w:w="25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Obligations under prepaid forward sale agreements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rPr>
                <w:sz w:val="20"/>
                <w:szCs w:val="20"/>
                <w:color w:val="auto"/>
              </w:rPr>
            </w:pPr>
            <w:r>
              <w:rPr>
                <w:rFonts w:ascii="Arial" w:cs="Arial" w:eastAsia="Arial" w:hAnsi="Arial"/>
                <w:sz w:val="18"/>
                <w:szCs w:val="18"/>
                <w:color w:val="auto"/>
              </w:rPr>
              <w:t>470</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811</w:t>
            </w: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Derivative component of prepaid forward sale agreements</w:t>
            </w:r>
          </w:p>
        </w:tc>
        <w:tc>
          <w:tcPr>
            <w:tcW w:w="25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w w:val="84"/>
              </w:rPr>
              <w:t>1,586</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2,800</w:t>
            </w:r>
          </w:p>
        </w:tc>
      </w:tr>
      <w:tr>
        <w:trPr>
          <w:trHeight w:val="217"/>
        </w:trPr>
        <w:tc>
          <w:tcPr>
            <w:tcW w:w="20" w:type="dxa"/>
            <w:vAlign w:val="bottom"/>
            <w:tcBorders>
              <w:bottom w:val="single" w:sz="8" w:color="auto"/>
            </w:tcBorders>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84"/>
              </w:rPr>
              <w:t>2,056</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3,611</w:t>
            </w:r>
          </w:p>
        </w:tc>
      </w:tr>
    </w:tbl>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six months ended June 30, 2014, we settled $1.5 billion of obligations under certain of our prepaid forward sale agreements by delivering equity securities. As of June 30, 2014, our remaining prepaid forward sale obligations had an estimated fair value of $2.1 billion. The estimated fair value is based on Level 2 inputs using pricing models whose inputs are derived primarily from or corroborated by observable market data through correlation or other means for substantially the full term of the financial instrument.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hold two series of preferred stock of AirTouch Communications, Inc. (“AirTouch”), a subsidiary of Verizon Communications Inc., which are redeemable in April 2020. As of June 30, 2014, the estimated fair values of the AirTouch preferred stock and the associated liability related to the redeemable preferred shares issued by one of our consolidated subsidiaries were each $1.7 billion. The estimated fair values are based on Level 2 inputs using pricing models whose inputs are derived primarily from or corroborated by observable market data through correlation or other means for substantially the full term of the financial instrument.</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2014, our debt had a carrying value of $46.5 billion and an estimated fair value of $52.6 billion. The estimated fair value of our publicly traded debt is based on Level 1 inputs using quoted market values for the debt. The estimated fair value of debt for which there are no quoted market prices is based on Level 2 inputs using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2014, we issued $1.2 billion aggregate principal amount of 3.60% senior notes due 2024 and $1 billion aggregate principal amount of 4.75% senior notes due 2044. The proceeds from this offering were used for working capital and general corporate purposes, including the repayment of a portion of our outstanding commercial paper and our $900 million aggregate principal amount of 2.10% senior notes due April 2014 at maturity.</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2014, we repaid at maturity $1 billion aggregate principal amount of 5.30% senior notes due 2014. In February 2014, we repaid $1.25 billion of borrowings outstanding under NBCUniversal Enterprise Inc.’s (“NBCUniversal Enterprise”) revolving credit facility with the proceeds from $990 million of borrowings under its new commercial paper program and cash on hand.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June 30, 2014, amounts available under our consolidated revolving credit facilities, net of amounts outstanding under our commercial paper programs and outstanding letters of credit, totaled $6.3 billion, which included $340 million available under NBCUniversal Enterprise’s revolving credit facility.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February 2014, NBCUniversal Enterprise entered into a commercial paper program. The maximum borrowing capacity under this commercial paper program is $1.35 billion, and it is supported by NBCUniversal Enterprise’s existing $1.35 billion revolving credit facility due March 2018. The commercial paper program is fully and unconditionally guaranteed by us and our 100% owned cable holding company subsidiaries, Comcast Cable Communications, LLC (“CCCL Parent”), Comcast MO Group, Inc. (“Comcast MO Group”), Comcast Cable Holdings, LLC (“CCH”) and Comcast MO of Delaware, LLC (“Comcast MO of Delaware”) (collectively, the “cable guarantors”). As of June 30, 2014, NBCUniversal Enterprise had $1 billion face amount of commercial paper outstanding.</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are determined using pricing models that use significant inputs that are primarily unobservable, discounted cash flow methodologies or similar techniques, as well as financial instruments for which the determination of fair value requires significant management judgment or estimation. Our financial instruments that are accounted for at fair value on a recurring basis are presented in the table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Fair Value as of</w:t>
            </w: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2"/>
          </w:tcPr>
          <w:p>
            <w:pPr>
              <w:ind w:left="260"/>
              <w:spacing w:after="0" w:line="131"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61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692"/>
              <w:spacing w:after="0" w:line="159" w:lineRule="exact"/>
              <w:rPr>
                <w:sz w:val="20"/>
                <w:szCs w:val="20"/>
                <w:color w:val="auto"/>
              </w:rPr>
            </w:pPr>
            <w:r>
              <w:rPr>
                <w:rFonts w:ascii="Arial" w:cs="Arial" w:eastAsia="Arial" w:hAnsi="Arial"/>
                <w:sz w:val="14"/>
                <w:szCs w:val="14"/>
                <w:color w:val="auto"/>
              </w:rPr>
              <w:t>June 30, 2014</w:t>
            </w:r>
          </w:p>
        </w:tc>
        <w:tc>
          <w:tcPr>
            <w:tcW w:w="8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6"/>
              <w:spacing w:after="0" w:line="15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1140" w:type="dxa"/>
            <w:vAlign w:val="bottom"/>
            <w:gridSpan w:val="2"/>
          </w:tcPr>
          <w:p>
            <w:pPr>
              <w:jc w:val="right"/>
              <w:ind w:right="192"/>
              <w:spacing w:after="0" w:line="142" w:lineRule="exact"/>
              <w:rPr>
                <w:sz w:val="20"/>
                <w:szCs w:val="20"/>
                <w:color w:val="auto"/>
              </w:rPr>
            </w:pPr>
            <w:r>
              <w:rPr>
                <w:rFonts w:ascii="Arial" w:cs="Arial" w:eastAsia="Arial" w:hAnsi="Arial"/>
                <w:sz w:val="14"/>
                <w:szCs w:val="14"/>
                <w:color w:val="auto"/>
              </w:rPr>
              <w:t>Level 1</w:t>
            </w:r>
          </w:p>
        </w:tc>
        <w:tc>
          <w:tcPr>
            <w:tcW w:w="980" w:type="dxa"/>
            <w:vAlign w:val="bottom"/>
            <w:gridSpan w:val="2"/>
          </w:tcPr>
          <w:p>
            <w:pPr>
              <w:jc w:val="right"/>
              <w:ind w:right="174"/>
              <w:spacing w:after="0" w:line="142" w:lineRule="exact"/>
              <w:rPr>
                <w:sz w:val="20"/>
                <w:szCs w:val="20"/>
                <w:color w:val="auto"/>
              </w:rPr>
            </w:pPr>
            <w:r>
              <w:rPr>
                <w:rFonts w:ascii="Arial" w:cs="Arial" w:eastAsia="Arial" w:hAnsi="Arial"/>
                <w:sz w:val="14"/>
                <w:szCs w:val="14"/>
                <w:color w:val="auto"/>
              </w:rPr>
              <w:t>Level 2</w:t>
            </w:r>
          </w:p>
        </w:tc>
        <w:tc>
          <w:tcPr>
            <w:tcW w:w="1180" w:type="dxa"/>
            <w:vAlign w:val="bottom"/>
            <w:gridSpan w:val="2"/>
          </w:tcPr>
          <w:p>
            <w:pPr>
              <w:jc w:val="right"/>
              <w:ind w:right="352"/>
              <w:spacing w:after="0" w:line="142" w:lineRule="exact"/>
              <w:rPr>
                <w:sz w:val="20"/>
                <w:szCs w:val="20"/>
                <w:color w:val="auto"/>
              </w:rPr>
            </w:pPr>
            <w:r>
              <w:rPr>
                <w:rFonts w:ascii="Arial" w:cs="Arial" w:eastAsia="Arial" w:hAnsi="Arial"/>
                <w:sz w:val="14"/>
                <w:szCs w:val="14"/>
                <w:color w:val="auto"/>
              </w:rPr>
              <w:t>Level 3</w:t>
            </w:r>
          </w:p>
        </w:tc>
        <w:tc>
          <w:tcPr>
            <w:tcW w:w="84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Total</w:t>
            </w:r>
          </w:p>
        </w:tc>
        <w:tc>
          <w:tcPr>
            <w:tcW w:w="420" w:type="dxa"/>
            <w:vAlign w:val="bottom"/>
          </w:tcPr>
          <w:p>
            <w:pPr>
              <w:spacing w:after="0"/>
              <w:rPr>
                <w:sz w:val="12"/>
                <w:szCs w:val="12"/>
                <w:color w:val="auto"/>
              </w:rPr>
            </w:pPr>
          </w:p>
        </w:tc>
        <w:tc>
          <w:tcPr>
            <w:tcW w:w="700" w:type="dxa"/>
            <w:vAlign w:val="bottom"/>
          </w:tcPr>
          <w:p>
            <w:pPr>
              <w:jc w:val="right"/>
              <w:ind w:right="256"/>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Trading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2,248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$2,248</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9</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119</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10</w:t>
            </w:r>
          </w:p>
        </w:tc>
        <w:tc>
          <w:tcPr>
            <w:tcW w:w="8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138</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5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78</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rPr>
              <w:t>1</w:t>
            </w:r>
          </w:p>
        </w:tc>
        <w:tc>
          <w:tcPr>
            <w:tcW w:w="8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79</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2,257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305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11</w:t>
            </w: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$2,573</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4,536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Derivative component of prepaid forward sale agreements and indexed debt</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instruments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1,600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$1,600</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w:t>
            </w: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788</w:t>
            </w:r>
          </w:p>
        </w:tc>
        <w:tc>
          <w:tcPr>
            <w:tcW w:w="8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788</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5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664</w:t>
            </w: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664</w:t>
            </w:r>
          </w:p>
        </w:tc>
        <w:tc>
          <w:tcPr>
            <w:tcW w:w="42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84"/>
              </w:rPr>
              <w:t>1,612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4"/>
              </w:rPr>
              <w:t>1,452</w:t>
            </w: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$3,064</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4,263</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Redeemable Subsidiary Preferred Stock Financial Instrument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2014, the fair value of the NBCUniversal Enterprise redeemable subsidiary preferred stock was $759 million. The estimated fair value is based on Level 2 inputs using pricing models whose inputs are derived primarily from or corroborated by observable market data through correlation or other means for substantially the full term of the financial instrument.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 and Contingent Consideration</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estimated fair values of the contractual obligation and contingent consideration in the table above are primarily based on certain expected future discounted cash flows, the determination of which involves the use of significant unobservable inputs. The most significant unobservable inputs we use include our estimates of the future revenue we expect to generate from certain NBCUniversal businesses, which are related to our contractual obligation, and future net tax benefits that will affect payments to General Electric Company (“GE”), which are related to contingent consideration. The discount rates used in the measurements of fair value were between 5% and 13% and are based on the underlying risk associated with our estimate of future revenue, the terms of the respective contracts, and the uncertainty in the timing of our payments to GE. The fair value adjustments to contractual obligation and contingent consideration are sensitive to the assumptions related to future revenue and tax benefits, respectively, as well as to current interest rates, and therefore, the adjustments are recorded to other income (expense), net in our condensed consolidated statement of income.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Contractual Obligation and Contingent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6300" w:type="dxa"/>
            <w:vAlign w:val="bottom"/>
            <w:gridSpan w:val="2"/>
          </w:tcPr>
          <w:p>
            <w:pPr>
              <w:ind w:left="5180"/>
              <w:spacing w:after="0"/>
              <w:rPr>
                <w:sz w:val="20"/>
                <w:szCs w:val="20"/>
                <w:color w:val="auto"/>
              </w:rPr>
            </w:pPr>
            <w:r>
              <w:rPr>
                <w:rFonts w:ascii="Arial" w:cs="Arial" w:eastAsia="Arial" w:hAnsi="Arial"/>
                <w:sz w:val="14"/>
                <w:szCs w:val="14"/>
                <w:color w:val="auto"/>
              </w:rPr>
              <w:t>Contractual</w:t>
            </w:r>
          </w:p>
        </w:tc>
        <w:tc>
          <w:tcPr>
            <w:tcW w:w="1300" w:type="dxa"/>
            <w:vAlign w:val="bottom"/>
            <w:gridSpan w:val="2"/>
          </w:tcPr>
          <w:p>
            <w:pPr>
              <w:jc w:val="right"/>
              <w:ind w:right="112"/>
              <w:spacing w:after="0"/>
              <w:rPr>
                <w:sz w:val="20"/>
                <w:szCs w:val="20"/>
                <w:color w:val="auto"/>
              </w:rPr>
            </w:pPr>
            <w:r>
              <w:rPr>
                <w:rFonts w:ascii="Arial" w:cs="Arial" w:eastAsia="Arial" w:hAnsi="Arial"/>
                <w:sz w:val="14"/>
                <w:szCs w:val="14"/>
                <w:color w:val="auto"/>
              </w:rPr>
              <w:t>Contingent</w:t>
            </w:r>
          </w:p>
        </w:tc>
      </w:tr>
      <w:tr>
        <w:trPr>
          <w:trHeight w:val="159"/>
        </w:trPr>
        <w:tc>
          <w:tcPr>
            <w:tcW w:w="38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6300" w:type="dxa"/>
            <w:vAlign w:val="bottom"/>
            <w:tcBorders>
              <w:bottom w:val="single" w:sz="8" w:color="auto"/>
            </w:tcBorders>
            <w:gridSpan w:val="2"/>
          </w:tcPr>
          <w:p>
            <w:pPr>
              <w:jc w:val="right"/>
              <w:ind w:right="432"/>
              <w:spacing w:after="0" w:line="159" w:lineRule="exact"/>
              <w:rPr>
                <w:sz w:val="20"/>
                <w:szCs w:val="20"/>
                <w:color w:val="auto"/>
              </w:rPr>
            </w:pPr>
            <w:r>
              <w:rPr>
                <w:rFonts w:ascii="Arial" w:cs="Arial" w:eastAsia="Arial" w:hAnsi="Arial"/>
                <w:sz w:val="14"/>
                <w:szCs w:val="14"/>
                <w:color w:val="auto"/>
              </w:rPr>
              <w:t>Obligation</w:t>
            </w:r>
          </w:p>
        </w:tc>
        <w:tc>
          <w:tcPr>
            <w:tcW w:w="130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w w:val="99"/>
              </w:rPr>
              <w:t>Consideration</w:t>
            </w:r>
          </w:p>
        </w:tc>
      </w:tr>
      <w:tr>
        <w:trPr>
          <w:trHeight w:val="210"/>
        </w:trPr>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2013</w:t>
            </w:r>
          </w:p>
        </w:tc>
        <w:tc>
          <w:tcPr>
            <w:tcW w:w="5400" w:type="dxa"/>
            <w:vAlign w:val="bottom"/>
            <w:shd w:val="clear" w:color="auto" w:fill="E5E5E5"/>
          </w:tcPr>
          <w:p>
            <w:pPr>
              <w:ind w:left="5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rPr>
              <w:t>747</w:t>
            </w:r>
          </w:p>
        </w:tc>
        <w:tc>
          <w:tcPr>
            <w:tcW w:w="7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684</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Fair value adjustments</w:t>
            </w:r>
          </w:p>
        </w:tc>
        <w:tc>
          <w:tcPr>
            <w:tcW w:w="5400" w:type="dxa"/>
            <w:vAlign w:val="bottom"/>
          </w:tcPr>
          <w:p>
            <w:pPr>
              <w:spacing w:after="0"/>
              <w:rPr>
                <w:sz w:val="18"/>
                <w:szCs w:val="18"/>
                <w:color w:val="auto"/>
              </w:rPr>
            </w:pP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68</w:t>
            </w:r>
          </w:p>
        </w:tc>
        <w:tc>
          <w:tcPr>
            <w:tcW w:w="72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16"/>
        </w:trPr>
        <w:tc>
          <w:tcPr>
            <w:tcW w:w="3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5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color w:val="auto"/>
              </w:rPr>
              <w:t>(27)</w:t>
            </w:r>
          </w:p>
        </w:tc>
        <w:tc>
          <w:tcPr>
            <w:tcW w:w="7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r>
      <w:tr>
        <w:trPr>
          <w:trHeight w:val="217"/>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2014</w:t>
            </w:r>
          </w:p>
        </w:tc>
        <w:tc>
          <w:tcPr>
            <w:tcW w:w="5400" w:type="dxa"/>
            <w:vAlign w:val="bottom"/>
            <w:tcBorders>
              <w:bottom w:val="single" w:sz="8" w:color="auto"/>
            </w:tcBorders>
          </w:tcPr>
          <w:p>
            <w:pPr>
              <w:ind w:left="51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788</w:t>
            </w: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664</w:t>
            </w:r>
          </w:p>
        </w:tc>
      </w:tr>
      <w:tr>
        <w:trPr>
          <w:trHeight w:val="363"/>
        </w:trPr>
        <w:tc>
          <w:tcPr>
            <w:tcW w:w="3820" w:type="dxa"/>
            <w:vAlign w:val="bottom"/>
          </w:tcPr>
          <w:p>
            <w:pPr>
              <w:spacing w:after="0"/>
              <w:rPr>
                <w:sz w:val="24"/>
                <w:szCs w:val="24"/>
                <w:color w:val="auto"/>
              </w:rPr>
            </w:pPr>
          </w:p>
        </w:tc>
        <w:tc>
          <w:tcPr>
            <w:tcW w:w="5400" w:type="dxa"/>
            <w:vAlign w:val="bottom"/>
          </w:tcPr>
          <w:p>
            <w:pPr>
              <w:jc w:val="right"/>
              <w:ind w:right="3320"/>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share-based compensation primarily consists of awards of stock options and RSUs to certain employees and directors as part of our approach to long-term incentive compensation.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2014, we granted 16.4 million stock options and 5.4 million RSUs related to our annual management awards. The weighted-average fair values associated with these grants were $11.09 per stock option and $46.57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gridSpan w:val="3"/>
          </w:tcPr>
          <w:p>
            <w:pPr>
              <w:jc w:val="right"/>
              <w:ind w:right="376"/>
              <w:spacing w:after="0"/>
              <w:rPr>
                <w:sz w:val="20"/>
                <w:szCs w:val="20"/>
                <w:color w:val="auto"/>
              </w:rPr>
            </w:pPr>
            <w:r>
              <w:rPr>
                <w:rFonts w:ascii="Arial" w:cs="Arial" w:eastAsia="Arial" w:hAnsi="Arial"/>
                <w:sz w:val="14"/>
                <w:szCs w:val="14"/>
                <w:color w:val="auto"/>
                <w:w w:val="93"/>
              </w:rPr>
              <w:t>Three Months Ended</w:t>
            </w:r>
          </w:p>
        </w:tc>
        <w:tc>
          <w:tcPr>
            <w:tcW w:w="360" w:type="dxa"/>
            <w:vAlign w:val="bottom"/>
          </w:tcPr>
          <w:p>
            <w:pPr>
              <w:spacing w:after="0"/>
              <w:rPr>
                <w:sz w:val="14"/>
                <w:szCs w:val="14"/>
                <w:color w:val="auto"/>
              </w:rPr>
            </w:pPr>
          </w:p>
        </w:tc>
        <w:tc>
          <w:tcPr>
            <w:tcW w:w="1560" w:type="dxa"/>
            <w:vAlign w:val="bottom"/>
            <w:gridSpan w:val="3"/>
          </w:tcPr>
          <w:p>
            <w:pPr>
              <w:jc w:val="right"/>
              <w:ind w:right="29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2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8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w w:val="83"/>
              </w:rPr>
              <w:t>2014</w:t>
            </w:r>
          </w:p>
        </w:tc>
        <w:tc>
          <w:tcPr>
            <w:tcW w:w="6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w w:val="83"/>
              </w:rPr>
              <w:t>2013</w:t>
            </w: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w w:val="89"/>
              </w:rPr>
              <w:t>2014</w:t>
            </w:r>
          </w:p>
        </w:tc>
        <w:tc>
          <w:tcPr>
            <w:tcW w:w="6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36</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Restricted share units</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600" w:type="dxa"/>
            <w:vAlign w:val="bottom"/>
          </w:tcPr>
          <w:p>
            <w:pPr>
              <w:spacing w:after="0"/>
              <w:rPr>
                <w:sz w:val="18"/>
                <w:szCs w:val="18"/>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60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5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6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6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89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165</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2014, we had unrecognized pretax compensation expense of $392 million and $529 million related to nonvested stock options and nonvested RSUs,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June 30,</w:t>
            </w:r>
          </w:p>
        </w:tc>
        <w:tc>
          <w:tcPr>
            <w:tcW w:w="52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color w:val="auto"/>
                <w:w w:val="95"/>
              </w:rPr>
              <w:t>December 31,</w:t>
            </w:r>
          </w:p>
        </w:tc>
      </w:tr>
      <w:tr>
        <w:trPr>
          <w:trHeight w:val="159"/>
        </w:trPr>
        <w:tc>
          <w:tcPr>
            <w:tcW w:w="86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jc w:val="right"/>
              <w:ind w:right="61"/>
              <w:spacing w:after="0" w:line="159" w:lineRule="exact"/>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54"/>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$6,749</w:t>
            </w:r>
          </w:p>
        </w:tc>
        <w:tc>
          <w:tcPr>
            <w:tcW w:w="520" w:type="dxa"/>
            <w:vAlign w:val="bottom"/>
            <w:shd w:val="clear" w:color="auto" w:fill="E5E5E5"/>
          </w:tcPr>
          <w:p>
            <w:pPr>
              <w:spacing w:after="0"/>
              <w:rPr>
                <w:sz w:val="18"/>
                <w:szCs w:val="18"/>
                <w:color w:val="auto"/>
              </w:rPr>
            </w:pPr>
          </w:p>
        </w:tc>
        <w:tc>
          <w:tcPr>
            <w:tcW w:w="38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6,972</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1320" w:type="dxa"/>
            <w:vAlign w:val="bottom"/>
          </w:tcPr>
          <w:p>
            <w:pPr>
              <w:jc w:val="right"/>
              <w:spacing w:after="0"/>
              <w:rPr>
                <w:sz w:val="20"/>
                <w:szCs w:val="20"/>
                <w:color w:val="auto"/>
              </w:rPr>
            </w:pPr>
            <w:r>
              <w:rPr>
                <w:rFonts w:ascii="Arial" w:cs="Arial" w:eastAsia="Arial" w:hAnsi="Arial"/>
                <w:sz w:val="18"/>
                <w:szCs w:val="18"/>
                <w:color w:val="auto"/>
              </w:rPr>
              <w:t>290</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375</w:t>
            </w:r>
          </w:p>
        </w:tc>
      </w:tr>
      <w:tr>
        <w:trPr>
          <w:trHeight w:val="216"/>
        </w:trPr>
        <w:tc>
          <w:tcPr>
            <w:tcW w:w="8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1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227</w:t>
            </w:r>
          </w:p>
        </w:tc>
        <w:tc>
          <w:tcPr>
            <w:tcW w:w="52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221</w:t>
            </w:r>
          </w:p>
        </w:tc>
      </w:tr>
      <w:tr>
        <w:trPr>
          <w:trHeight w:val="217"/>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$6,232</w:t>
            </w: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6,376</w:t>
            </w:r>
          </w:p>
        </w:tc>
      </w:tr>
      <w:tr>
        <w:trPr>
          <w:trHeight w:val="403"/>
        </w:trPr>
        <w:tc>
          <w:tcPr>
            <w:tcW w:w="8620" w:type="dxa"/>
            <w:vAlign w:val="bottom"/>
          </w:tcPr>
          <w:p>
            <w:pPr>
              <w:ind w:left="3600"/>
              <w:spacing w:after="0"/>
              <w:rPr>
                <w:sz w:val="20"/>
                <w:szCs w:val="20"/>
                <w:color w:val="auto"/>
              </w:rPr>
            </w:pPr>
            <w:r>
              <w:rPr>
                <w:rFonts w:ascii="Arial" w:cs="Arial" w:eastAsia="Arial" w:hAnsi="Arial"/>
                <w:sz w:val="18"/>
                <w:szCs w:val="18"/>
                <w:b w:val="1"/>
                <w:bCs w:val="1"/>
                <w:color w:val="auto"/>
              </w:rPr>
              <w:t>Accumulated Other Comprehensive Income (Loss)</w:t>
            </w: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1"/>
        </w:trPr>
        <w:tc>
          <w:tcPr>
            <w:tcW w:w="8620" w:type="dxa"/>
            <w:vAlign w:val="bottom"/>
          </w:tcPr>
          <w:p>
            <w:pPr>
              <w:spacing w:after="0"/>
              <w:rPr>
                <w:sz w:val="22"/>
                <w:szCs w:val="22"/>
                <w:color w:val="auto"/>
              </w:rPr>
            </w:pPr>
          </w:p>
        </w:tc>
        <w:tc>
          <w:tcPr>
            <w:tcW w:w="1840" w:type="dxa"/>
            <w:vAlign w:val="bottom"/>
            <w:gridSpan w:val="2"/>
          </w:tcPr>
          <w:p>
            <w:pPr>
              <w:ind w:left="1240"/>
              <w:spacing w:after="0"/>
              <w:rPr>
                <w:sz w:val="20"/>
                <w:szCs w:val="20"/>
                <w:color w:val="auto"/>
              </w:rPr>
            </w:pPr>
            <w:r>
              <w:rPr>
                <w:rFonts w:ascii="Arial" w:cs="Arial" w:eastAsia="Arial" w:hAnsi="Arial"/>
                <w:sz w:val="14"/>
                <w:szCs w:val="14"/>
                <w:color w:val="auto"/>
              </w:rPr>
              <w:t>June 30,</w:t>
            </w:r>
          </w:p>
        </w:tc>
        <w:tc>
          <w:tcPr>
            <w:tcW w:w="960" w:type="dxa"/>
            <w:vAlign w:val="bottom"/>
            <w:gridSpan w:val="2"/>
          </w:tcPr>
          <w:p>
            <w:pPr>
              <w:ind w:left="280"/>
              <w:spacing w:after="0"/>
              <w:rPr>
                <w:sz w:val="20"/>
                <w:szCs w:val="20"/>
                <w:color w:val="auto"/>
              </w:rPr>
            </w:pPr>
            <w:r>
              <w:rPr>
                <w:rFonts w:ascii="Arial" w:cs="Arial" w:eastAsia="Arial" w:hAnsi="Arial"/>
                <w:sz w:val="14"/>
                <w:szCs w:val="14"/>
                <w:color w:val="auto"/>
              </w:rPr>
              <w:t>June 30,</w:t>
            </w:r>
          </w:p>
        </w:tc>
      </w:tr>
      <w:tr>
        <w:trPr>
          <w:trHeight w:val="159"/>
        </w:trPr>
        <w:tc>
          <w:tcPr>
            <w:tcW w:w="86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6"/>
              <w:spacing w:after="0" w:line="159" w:lineRule="exact"/>
              <w:rPr>
                <w:sz w:val="20"/>
                <w:szCs w:val="20"/>
                <w:color w:val="auto"/>
              </w:rPr>
            </w:pPr>
            <w:r>
              <w:rPr>
                <w:rFonts w:ascii="Arial" w:cs="Arial" w:eastAsia="Arial" w:hAnsi="Arial"/>
                <w:sz w:val="14"/>
                <w:szCs w:val="14"/>
                <w:color w:val="auto"/>
                <w:w w:val="83"/>
              </w:rPr>
              <w:t>2014</w:t>
            </w:r>
          </w:p>
        </w:tc>
        <w:tc>
          <w:tcPr>
            <w:tcW w:w="3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34"/>
              <w:spacing w:after="0" w:line="159" w:lineRule="exact"/>
              <w:rPr>
                <w:sz w:val="20"/>
                <w:szCs w:val="20"/>
                <w:color w:val="auto"/>
              </w:rPr>
            </w:pPr>
            <w:r>
              <w:rPr>
                <w:rFonts w:ascii="Arial" w:cs="Arial" w:eastAsia="Arial" w:hAnsi="Arial"/>
                <w:sz w:val="14"/>
                <w:szCs w:val="14"/>
                <w:color w:val="auto"/>
                <w:w w:val="76"/>
              </w:rPr>
              <w:t>2013</w:t>
            </w:r>
          </w:p>
        </w:tc>
      </w:tr>
      <w:tr>
        <w:trPr>
          <w:trHeight w:val="210"/>
        </w:trPr>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1320" w:type="dxa"/>
            <w:vAlign w:val="bottom"/>
            <w:shd w:val="clear" w:color="auto" w:fill="E5E5E5"/>
          </w:tcPr>
          <w:p>
            <w:pPr>
              <w:ind w:left="124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4</w:t>
            </w:r>
          </w:p>
        </w:tc>
        <w:tc>
          <w:tcPr>
            <w:tcW w:w="380" w:type="dxa"/>
            <w:vAlign w:val="bottom"/>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277</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1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(54)</w:t>
            </w:r>
          </w:p>
        </w:tc>
      </w:tr>
      <w:tr>
        <w:trPr>
          <w:trHeight w:val="216"/>
        </w:trPr>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1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70</w:t>
            </w:r>
          </w:p>
        </w:tc>
        <w:tc>
          <w:tcPr>
            <w:tcW w:w="3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95"/>
              </w:rPr>
              <w:t>(107)</w:t>
            </w:r>
          </w:p>
        </w:tc>
      </w:tr>
      <w:tr>
        <w:trPr>
          <w:trHeight w:val="216"/>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1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(39)</w:t>
            </w:r>
          </w:p>
        </w:tc>
      </w:tr>
      <w:tr>
        <w:trPr>
          <w:trHeight w:val="217"/>
        </w:trPr>
        <w:tc>
          <w:tcPr>
            <w:tcW w:w="8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1320" w:type="dxa"/>
            <w:vAlign w:val="bottom"/>
            <w:tcBorders>
              <w:bottom w:val="single" w:sz="8" w:color="auto"/>
            </w:tcBorders>
            <w:shd w:val="clear" w:color="auto" w:fill="E5E5E5"/>
          </w:tcPr>
          <w:p>
            <w:pPr>
              <w:ind w:left="1240"/>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77</w:t>
            </w:r>
          </w:p>
        </w:tc>
      </w:tr>
      <w:tr>
        <w:trPr>
          <w:trHeight w:val="363"/>
        </w:trPr>
        <w:tc>
          <w:tcPr>
            <w:tcW w:w="8620" w:type="dxa"/>
            <w:vAlign w:val="bottom"/>
          </w:tcPr>
          <w:p>
            <w:pPr>
              <w:ind w:left="5620"/>
              <w:spacing w:after="0"/>
              <w:rPr>
                <w:sz w:val="20"/>
                <w:szCs w:val="20"/>
                <w:color w:val="auto"/>
              </w:rPr>
            </w:pPr>
            <w:r>
              <w:rPr>
                <w:rFonts w:ascii="Arial" w:cs="Arial" w:eastAsia="Arial" w:hAnsi="Arial"/>
                <w:sz w:val="18"/>
                <w:szCs w:val="18"/>
                <w:color w:val="auto"/>
              </w:rPr>
              <w:t>12</w:t>
            </w: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gridSpan w:val="2"/>
          </w:tcPr>
          <w:p>
            <w:pPr>
              <w:jc w:val="right"/>
              <w:ind w:right="33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60" w:type="dxa"/>
            <w:vAlign w:val="bottom"/>
            <w:tcBorders>
              <w:bottom w:val="single" w:sz="8" w:color="auto"/>
            </w:tcBorders>
            <w:gridSpan w:val="2"/>
          </w:tcPr>
          <w:p>
            <w:pPr>
              <w:jc w:val="right"/>
              <w:ind w:right="634"/>
              <w:spacing w:after="0" w:line="15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936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color w:val="auto"/>
              </w:rPr>
              <w:t>2014</w:t>
            </w: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$ 3,963</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$ 3,389</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3,970</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266</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Noncash interest expense (income), net</w:t>
            </w:r>
          </w:p>
        </w:tc>
        <w:tc>
          <w:tcPr>
            <w:tcW w:w="11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87</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(54)</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11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50</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(113)</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118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(22)</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11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60</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Film and television costs, net</w:t>
            </w:r>
            <w:r>
              <w:rPr>
                <w:rFonts w:ascii="Arial" w:cs="Arial" w:eastAsia="Arial" w:hAnsi="Arial"/>
                <w:sz w:val="11"/>
                <w:szCs w:val="11"/>
                <w:color w:val="auto"/>
              </w:rPr>
              <w:t>(a)</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(28)</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18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(168)</w:t>
            </w:r>
          </w:p>
        </w:tc>
        <w:tc>
          <w:tcPr>
            <w:tcW w:w="8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(464)</w:t>
            </w: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7"/>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$ 7,547</w:t>
            </w:r>
          </w:p>
        </w:tc>
        <w:tc>
          <w:tcPr>
            <w:tcW w:w="8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$ 7,685</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line="239"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Comprised of additions to our film and television cost assets of $5,007 million and $3,330 million, net of film and television cost amortization of $4,979 million and $4,080 million in 2014 and 2013,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3"/>
          </w:tcPr>
          <w:p>
            <w:pPr>
              <w:jc w:val="right"/>
              <w:ind w:right="319"/>
              <w:spacing w:after="0"/>
              <w:rPr>
                <w:sz w:val="20"/>
                <w:szCs w:val="20"/>
                <w:color w:val="auto"/>
              </w:rPr>
            </w:pPr>
            <w:r>
              <w:rPr>
                <w:rFonts w:ascii="Arial" w:cs="Arial" w:eastAsia="Arial" w:hAnsi="Arial"/>
                <w:sz w:val="14"/>
                <w:szCs w:val="14"/>
                <w:color w:val="auto"/>
                <w:w w:val="90"/>
              </w:rPr>
              <w:t>Three Months Ended</w:t>
            </w:r>
          </w:p>
        </w:tc>
        <w:tc>
          <w:tcPr>
            <w:tcW w:w="1800" w:type="dxa"/>
            <w:vAlign w:val="bottom"/>
            <w:gridSpan w:val="2"/>
          </w:tcPr>
          <w:p>
            <w:pPr>
              <w:jc w:val="center"/>
              <w:ind w:left="42"/>
              <w:spacing w:after="0"/>
              <w:rPr>
                <w:sz w:val="20"/>
                <w:szCs w:val="20"/>
                <w:color w:val="auto"/>
              </w:rPr>
            </w:pPr>
            <w:r>
              <w:rPr>
                <w:rFonts w:ascii="Arial" w:cs="Arial" w:eastAsia="Arial" w:hAnsi="Arial"/>
                <w:sz w:val="14"/>
                <w:szCs w:val="14"/>
                <w:color w:val="auto"/>
                <w:w w:val="87"/>
              </w:rPr>
              <w:t>Six Months Ended</w:t>
            </w:r>
          </w:p>
        </w:tc>
        <w:tc>
          <w:tcPr>
            <w:tcW w:w="0" w:type="dxa"/>
            <w:vAlign w:val="bottom"/>
          </w:tcPr>
          <w:p>
            <w:pPr>
              <w:spacing w:after="0"/>
              <w:rPr>
                <w:sz w:val="1"/>
                <w:szCs w:val="1"/>
                <w:color w:val="auto"/>
              </w:rPr>
            </w:pPr>
          </w:p>
        </w:tc>
      </w:tr>
      <w:tr>
        <w:trPr>
          <w:trHeight w:val="159"/>
        </w:trPr>
        <w:tc>
          <w:tcPr>
            <w:tcW w:w="75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9"/>
              <w:spacing w:after="0" w:line="159" w:lineRule="exact"/>
              <w:rPr>
                <w:sz w:val="20"/>
                <w:szCs w:val="20"/>
                <w:color w:val="auto"/>
              </w:rPr>
            </w:pPr>
            <w:r>
              <w:rPr>
                <w:rFonts w:ascii="Arial" w:cs="Arial" w:eastAsia="Arial" w:hAnsi="Arial"/>
                <w:sz w:val="14"/>
                <w:szCs w:val="14"/>
                <w:color w:val="auto"/>
                <w:w w:val="80"/>
              </w:rPr>
              <w:t>June 30</w:t>
            </w:r>
          </w:p>
        </w:tc>
        <w:tc>
          <w:tcPr>
            <w:tcW w:w="6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562"/>
              <w:spacing w:after="0" w:line="159" w:lineRule="exact"/>
              <w:rPr>
                <w:sz w:val="20"/>
                <w:szCs w:val="20"/>
                <w:color w:val="auto"/>
              </w:rPr>
            </w:pPr>
            <w:r>
              <w:rPr>
                <w:rFonts w:ascii="Arial" w:cs="Arial" w:eastAsia="Arial" w:hAnsi="Arial"/>
                <w:sz w:val="14"/>
                <w:szCs w:val="14"/>
                <w:color w:val="auto"/>
                <w:w w:val="84"/>
              </w:rPr>
              <w:t>June 30</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w w:val="89"/>
              </w:rPr>
              <w:t>2014</w:t>
            </w:r>
          </w:p>
        </w:tc>
        <w:tc>
          <w:tcPr>
            <w:tcW w:w="5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color w:val="auto"/>
                <w:w w:val="89"/>
              </w:rPr>
              <w:t>2013</w:t>
            </w:r>
          </w:p>
        </w:tc>
        <w:tc>
          <w:tcPr>
            <w:tcW w:w="740" w:type="dxa"/>
            <w:vAlign w:val="bottom"/>
            <w:tcBorders>
              <w:bottom w:val="single" w:sz="8" w:color="auto"/>
            </w:tcBorders>
          </w:tcPr>
          <w:p>
            <w:pPr>
              <w:jc w:val="center"/>
              <w:ind w:left="142"/>
              <w:spacing w:after="0" w:line="142" w:lineRule="exact"/>
              <w:rPr>
                <w:sz w:val="20"/>
                <w:szCs w:val="20"/>
                <w:color w:val="auto"/>
              </w:rPr>
            </w:pPr>
            <w:r>
              <w:rPr>
                <w:rFonts w:ascii="Arial" w:cs="Arial" w:eastAsia="Arial" w:hAnsi="Arial"/>
                <w:sz w:val="14"/>
                <w:szCs w:val="14"/>
                <w:color w:val="auto"/>
                <w:w w:val="89"/>
              </w:rPr>
              <w:t>2014</w:t>
            </w:r>
          </w:p>
        </w:tc>
        <w:tc>
          <w:tcPr>
            <w:tcW w:w="1060" w:type="dxa"/>
            <w:vAlign w:val="bottom"/>
            <w:tcBorders>
              <w:bottom w:val="single" w:sz="8" w:color="auto"/>
            </w:tcBorders>
          </w:tcPr>
          <w:p>
            <w:pPr>
              <w:jc w:val="center"/>
              <w:ind w:left="262"/>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758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541</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515</w:t>
            </w:r>
          </w:p>
        </w:tc>
        <w:tc>
          <w:tcPr>
            <w:tcW w:w="740" w:type="dxa"/>
            <w:vAlign w:val="bottom"/>
            <w:shd w:val="clear" w:color="auto" w:fill="E5E5E5"/>
          </w:tcPr>
          <w:p>
            <w:pPr>
              <w:jc w:val="center"/>
              <w:ind w:left="122"/>
              <w:spacing w:after="0"/>
              <w:rPr>
                <w:sz w:val="20"/>
                <w:szCs w:val="20"/>
                <w:color w:val="auto"/>
              </w:rPr>
            </w:pPr>
            <w:r>
              <w:rPr>
                <w:rFonts w:ascii="Arial" w:cs="Arial" w:eastAsia="Arial" w:hAnsi="Arial"/>
                <w:sz w:val="18"/>
                <w:szCs w:val="18"/>
                <w:color w:val="auto"/>
                <w:w w:val="89"/>
              </w:rPr>
              <w:t>$ 1,164</w:t>
            </w:r>
          </w:p>
        </w:tc>
        <w:tc>
          <w:tcPr>
            <w:tcW w:w="1060" w:type="dxa"/>
            <w:vAlign w:val="bottom"/>
            <w:shd w:val="clear" w:color="auto" w:fill="E5E5E5"/>
          </w:tcPr>
          <w:p>
            <w:pPr>
              <w:jc w:val="center"/>
              <w:ind w:left="242"/>
              <w:spacing w:after="0"/>
              <w:rPr>
                <w:sz w:val="20"/>
                <w:szCs w:val="20"/>
                <w:color w:val="auto"/>
              </w:rPr>
            </w:pPr>
            <w:r>
              <w:rPr>
                <w:rFonts w:ascii="Arial" w:cs="Arial" w:eastAsia="Arial" w:hAnsi="Arial"/>
                <w:sz w:val="18"/>
                <w:szCs w:val="18"/>
                <w:color w:val="auto"/>
                <w:w w:val="89"/>
              </w:rPr>
              <w:t>$ 1,132</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1,718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w w:val="88"/>
              </w:rPr>
              <w:t>1,761</w:t>
            </w:r>
          </w:p>
        </w:tc>
        <w:tc>
          <w:tcPr>
            <w:tcW w:w="740" w:type="dxa"/>
            <w:vAlign w:val="bottom"/>
            <w:tcBorders>
              <w:bottom w:val="single" w:sz="8" w:color="auto"/>
            </w:tcBorders>
          </w:tcPr>
          <w:p>
            <w:pPr>
              <w:jc w:val="center"/>
              <w:ind w:left="122"/>
              <w:spacing w:after="0"/>
              <w:rPr>
                <w:sz w:val="20"/>
                <w:szCs w:val="20"/>
                <w:color w:val="auto"/>
              </w:rPr>
            </w:pPr>
            <w:r>
              <w:rPr>
                <w:rFonts w:ascii="Arial" w:cs="Arial" w:eastAsia="Arial" w:hAnsi="Arial"/>
                <w:sz w:val="18"/>
                <w:szCs w:val="18"/>
                <w:color w:val="auto"/>
                <w:w w:val="89"/>
              </w:rPr>
              <w:t>$ 1,904</w:t>
            </w:r>
          </w:p>
        </w:tc>
        <w:tc>
          <w:tcPr>
            <w:tcW w:w="1060" w:type="dxa"/>
            <w:vAlign w:val="bottom"/>
            <w:tcBorders>
              <w:bottom w:val="single" w:sz="8" w:color="auto"/>
            </w:tcBorders>
          </w:tcPr>
          <w:p>
            <w:pPr>
              <w:jc w:val="center"/>
              <w:ind w:left="242"/>
              <w:spacing w:after="0"/>
              <w:rPr>
                <w:sz w:val="20"/>
                <w:szCs w:val="20"/>
                <w:color w:val="auto"/>
              </w:rPr>
            </w:pPr>
            <w:r>
              <w:rPr>
                <w:rFonts w:ascii="Arial" w:cs="Arial" w:eastAsia="Arial" w:hAnsi="Arial"/>
                <w:sz w:val="18"/>
                <w:szCs w:val="18"/>
                <w:color w:val="auto"/>
                <w:w w:val="89"/>
              </w:rPr>
              <w:t>$ 2,222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2014:</w:t>
      </w:r>
    </w:p>
    <w:p>
      <w:pPr>
        <w:spacing w:after="0" w:line="77" w:lineRule="exact"/>
        <w:rPr>
          <w:sz w:val="20"/>
          <w:szCs w:val="20"/>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acquired $879 million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a liability of $583 million for a quarterly cash dividend of $0.225 per common share paid in July 2014</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used $1.5 billion of equity securities to settle our obligations under prepaid forward sale agreements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In June 2012, the U.S. Supreme Court granted our petition to review the Third Circuit Court of Appeals’ ruling and in March 2013, the Supreme Court ruled that the class had been improperly certified and reversed the judgment of the Third Circuit. The matter has been returned to the District Court for action consistent with the Supreme Court’s opinion. In August 2013, the plaintiffs in the Philadelphia Cluster case moved to certify a new, smaller class, which we opposed in January 2014. The parties have been discussing possible resolution of the Philadelphia Cluster case. Accordingly, in February 2014, the plaintiff filed an unopposed motion to stay the case, which the District Court granted. In April 2014, the District Court granted our unopposed motion to de-certify the Chicago Cluster class and the plaintiffs’ unopposed motion to amend the Pennsylvania case so as to dismiss claims relating to the Chicago Cluster. In April 2014, lead counsel for the Boston Cluster cases withdrew, and in June 2014, new counsel requested the Boston Cluster cases be transferred to the federal court in Boston, which we have opposed.</w:t>
      </w:r>
    </w:p>
    <w:p>
      <w:pPr>
        <w:spacing w:after="0" w:line="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most of the plaintiffs’ claims and to stay the remaining claims pending arbitration. 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June 2013, a comprehensive settlement agreement for all 23 cases was submitted to the District Court for preliminary approval. Regardless of whether this settlement agreement is approved, we do not expect these cases to have a material effect on our results of operations, cash flows or financial position.</w:t>
      </w:r>
    </w:p>
    <w:p>
      <w:pPr>
        <w:spacing w:after="0" w:line="3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believe the claims in each of the pending actions described above in this item are without merit, except as otherwise set forth above, and intend to defend the actions vigorously. We cannot predict the outcome of any of the actions described above, including a range of possible loss, or how the final resolution of any such actions would impact our results of operations or cash flows for any one period or our financial position. In addition, as any action nears a trial, there is an increased possibility that the action may be settled by the parties.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 consuming, costly and injure our reputation.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jc w:val="both"/>
        <w:ind w:left="1020" w:right="1240" w:hanging="215"/>
        <w:spacing w:after="0" w:line="26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the nation’s largest provider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(“cable services”) to residential customers under the XFINITY brand, and we also provide similar services to businesses and sell advertising.</w:t>
      </w:r>
    </w:p>
    <w:p>
      <w:pPr>
        <w:spacing w:after="0" w:line="37" w:lineRule="exact"/>
        <w:rPr>
          <w:rFonts w:ascii="Arial" w:cs="Arial" w:eastAsia="Arial" w:hAnsi="Arial"/>
          <w:sz w:val="18"/>
          <w:szCs w:val="18"/>
          <w:color w:val="auto"/>
        </w:rPr>
      </w:pPr>
    </w:p>
    <w:p>
      <w:pPr>
        <w:ind w:left="1020" w:right="1260" w:hanging="215"/>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our cable television production operations.</w:t>
      </w:r>
    </w:p>
    <w:p>
      <w:pPr>
        <w:spacing w:after="0" w:line="25" w:lineRule="exact"/>
        <w:rPr>
          <w:rFonts w:ascii="Arial" w:cs="Arial" w:eastAsia="Arial" w:hAnsi="Arial"/>
          <w:sz w:val="18"/>
          <w:szCs w:val="18"/>
          <w:color w:val="auto"/>
        </w:rPr>
      </w:pPr>
    </w:p>
    <w:p>
      <w:pPr>
        <w:ind w:left="1020" w:right="1260" w:hanging="215"/>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production operations.</w:t>
      </w:r>
    </w:p>
    <w:p>
      <w:pPr>
        <w:spacing w:after="0" w:line="25"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color w:val="auto"/>
              </w:rPr>
              <w:t>Three Months Ended June 30, 2014</w:t>
            </w: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0" w:type="dxa"/>
            <w:vAlign w:val="bottom"/>
            <w:gridSpan w:val="2"/>
          </w:tcPr>
          <w:p>
            <w:pPr>
              <w:ind w:left="480"/>
              <w:spacing w:after="0" w:line="131" w:lineRule="exact"/>
              <w:rPr>
                <w:sz w:val="20"/>
                <w:szCs w:val="20"/>
                <w:color w:val="auto"/>
              </w:rPr>
            </w:pPr>
            <w:r>
              <w:rPr>
                <w:rFonts w:ascii="Arial" w:cs="Arial" w:eastAsia="Arial" w:hAnsi="Arial"/>
                <w:sz w:val="14"/>
                <w:szCs w:val="14"/>
                <w:color w:val="auto"/>
              </w:rPr>
              <w:t>Operating Income (Loss)</w:t>
            </w:r>
          </w:p>
        </w:tc>
        <w:tc>
          <w:tcPr>
            <w:tcW w:w="152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Depreciation</w:t>
            </w:r>
          </w:p>
        </w:tc>
        <w:tc>
          <w:tcPr>
            <w:tcW w:w="1140" w:type="dxa"/>
            <w:vAlign w:val="bottom"/>
          </w:tcPr>
          <w:p>
            <w:pPr>
              <w:jc w:val="center"/>
              <w:ind w:right="77"/>
              <w:spacing w:after="0" w:line="131" w:lineRule="exact"/>
              <w:rPr>
                <w:sz w:val="20"/>
                <w:szCs w:val="20"/>
                <w:color w:val="auto"/>
              </w:rPr>
            </w:pPr>
            <w:r>
              <w:rPr>
                <w:rFonts w:ascii="Arial" w:cs="Arial" w:eastAsia="Arial" w:hAnsi="Arial"/>
                <w:sz w:val="14"/>
                <w:szCs w:val="14"/>
                <w:color w:val="auto"/>
                <w:w w:val="87"/>
              </w:rPr>
              <w:t>Operating</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1400" w:type="dxa"/>
            <w:vAlign w:val="bottom"/>
            <w:vMerge w:val="restart"/>
          </w:tcPr>
          <w:p>
            <w:pPr>
              <w:jc w:val="right"/>
              <w:ind w:right="13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200" w:type="dxa"/>
            <w:vAlign w:val="bottom"/>
            <w:gridSpan w:val="2"/>
          </w:tcPr>
          <w:p>
            <w:pPr>
              <w:ind w:left="480"/>
              <w:spacing w:after="0" w:line="133" w:lineRule="exact"/>
              <w:rPr>
                <w:sz w:val="20"/>
                <w:szCs w:val="20"/>
                <w:color w:val="auto"/>
              </w:rPr>
            </w:pPr>
            <w:r>
              <w:rPr>
                <w:rFonts w:ascii="Arial" w:cs="Arial" w:eastAsia="Arial" w:hAnsi="Arial"/>
                <w:sz w:val="14"/>
                <w:szCs w:val="14"/>
                <w:color w:val="auto"/>
              </w:rPr>
              <w:t>Before Depreciation and</w:t>
            </w:r>
          </w:p>
        </w:tc>
        <w:tc>
          <w:tcPr>
            <w:tcW w:w="500" w:type="dxa"/>
            <w:vAlign w:val="bottom"/>
          </w:tcPr>
          <w:p>
            <w:pPr>
              <w:spacing w:after="0"/>
              <w:rPr>
                <w:sz w:val="11"/>
                <w:szCs w:val="11"/>
                <w:color w:val="auto"/>
              </w:rPr>
            </w:pPr>
          </w:p>
        </w:tc>
        <w:tc>
          <w:tcPr>
            <w:tcW w:w="1020" w:type="dxa"/>
            <w:vAlign w:val="bottom"/>
          </w:tcPr>
          <w:p>
            <w:pPr>
              <w:jc w:val="right"/>
              <w:ind w:right="654"/>
              <w:spacing w:after="0" w:line="133" w:lineRule="exact"/>
              <w:rPr>
                <w:sz w:val="20"/>
                <w:szCs w:val="20"/>
                <w:color w:val="auto"/>
              </w:rPr>
            </w:pPr>
            <w:r>
              <w:rPr>
                <w:rFonts w:ascii="Arial" w:cs="Arial" w:eastAsia="Arial" w:hAnsi="Arial"/>
                <w:sz w:val="14"/>
                <w:szCs w:val="14"/>
                <w:color w:val="auto"/>
              </w:rPr>
              <w:t>and</w:t>
            </w:r>
          </w:p>
        </w:tc>
        <w:tc>
          <w:tcPr>
            <w:tcW w:w="1140" w:type="dxa"/>
            <w:vAlign w:val="bottom"/>
          </w:tcPr>
          <w:p>
            <w:pPr>
              <w:jc w:val="center"/>
              <w:ind w:right="77"/>
              <w:spacing w:after="0" w:line="133" w:lineRule="exact"/>
              <w:rPr>
                <w:sz w:val="20"/>
                <w:szCs w:val="20"/>
                <w:color w:val="auto"/>
              </w:rPr>
            </w:pPr>
            <w:r>
              <w:rPr>
                <w:rFonts w:ascii="Arial" w:cs="Arial" w:eastAsia="Arial" w:hAnsi="Arial"/>
                <w:sz w:val="14"/>
                <w:szCs w:val="14"/>
                <w:color w:val="auto"/>
                <w:w w:val="91"/>
              </w:rPr>
              <w:t>Income</w:t>
            </w:r>
          </w:p>
        </w:tc>
        <w:tc>
          <w:tcPr>
            <w:tcW w:w="44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Amortization</w:t>
            </w: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87"/>
              </w:rPr>
              <w:t>(Loss)</w:t>
            </w: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04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$ 11,029</w:t>
            </w:r>
          </w:p>
        </w:tc>
        <w:tc>
          <w:tcPr>
            <w:tcW w:w="6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4,564</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1,604</w:t>
            </w:r>
          </w:p>
        </w:tc>
        <w:tc>
          <w:tcPr>
            <w:tcW w:w="114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$ 2,960</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NBCUniversal</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2,476</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914</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180</w:t>
            </w:r>
          </w:p>
        </w:tc>
        <w:tc>
          <w:tcPr>
            <w:tcW w:w="114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734</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1,816</w:t>
            </w:r>
          </w:p>
        </w:tc>
        <w:tc>
          <w:tcPr>
            <w:tcW w:w="640" w:type="dxa"/>
            <w:vAlign w:val="bottom"/>
          </w:tcPr>
          <w:p>
            <w:pPr>
              <w:spacing w:after="0"/>
              <w:rPr>
                <w:sz w:val="18"/>
                <w:szCs w:val="18"/>
                <w:color w:val="auto"/>
              </w:rPr>
            </w:pP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240</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27</w:t>
            </w:r>
          </w:p>
        </w:tc>
        <w:tc>
          <w:tcPr>
            <w:tcW w:w="1140" w:type="dxa"/>
            <w:vAlign w:val="bottom"/>
          </w:tcPr>
          <w:p>
            <w:pPr>
              <w:jc w:val="right"/>
              <w:ind w:right="297"/>
              <w:spacing w:after="0"/>
              <w:rPr>
                <w:sz w:val="20"/>
                <w:szCs w:val="20"/>
                <w:color w:val="auto"/>
              </w:rPr>
            </w:pPr>
            <w:r>
              <w:rPr>
                <w:rFonts w:ascii="Arial" w:cs="Arial" w:eastAsia="Arial" w:hAnsi="Arial"/>
                <w:sz w:val="18"/>
                <w:szCs w:val="18"/>
                <w:color w:val="auto"/>
              </w:rPr>
              <w:t>213</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1,176</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195</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5</w:t>
            </w:r>
          </w:p>
        </w:tc>
        <w:tc>
          <w:tcPr>
            <w:tcW w:w="114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190</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615</w:t>
            </w:r>
          </w:p>
        </w:tc>
        <w:tc>
          <w:tcPr>
            <w:tcW w:w="640" w:type="dxa"/>
            <w:vAlign w:val="bottom"/>
          </w:tcPr>
          <w:p>
            <w:pPr>
              <w:spacing w:after="0"/>
              <w:rPr>
                <w:sz w:val="18"/>
                <w:szCs w:val="18"/>
                <w:color w:val="auto"/>
              </w:rPr>
            </w:pP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244</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73</w:t>
            </w:r>
          </w:p>
        </w:tc>
        <w:tc>
          <w:tcPr>
            <w:tcW w:w="1140" w:type="dxa"/>
            <w:vAlign w:val="bottom"/>
          </w:tcPr>
          <w:p>
            <w:pPr>
              <w:jc w:val="right"/>
              <w:ind w:right="297"/>
              <w:spacing w:after="0"/>
              <w:rPr>
                <w:sz w:val="20"/>
                <w:szCs w:val="20"/>
                <w:color w:val="auto"/>
              </w:rPr>
            </w:pPr>
            <w:r>
              <w:rPr>
                <w:rFonts w:ascii="Arial" w:cs="Arial" w:eastAsia="Arial" w:hAnsi="Arial"/>
                <w:sz w:val="18"/>
                <w:szCs w:val="18"/>
                <w:color w:val="auto"/>
              </w:rPr>
              <w:t>171</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(159)</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85</w:t>
            </w:r>
          </w:p>
        </w:tc>
        <w:tc>
          <w:tcPr>
            <w:tcW w:w="114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(244)</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(71)</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6,016</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1,434</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370</w:t>
            </w:r>
          </w:p>
        </w:tc>
        <w:tc>
          <w:tcPr>
            <w:tcW w:w="114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1,064</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Corporate and Other</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172</w:t>
            </w:r>
          </w:p>
        </w:tc>
        <w:tc>
          <w:tcPr>
            <w:tcW w:w="640" w:type="dxa"/>
            <w:vAlign w:val="bottom"/>
          </w:tcPr>
          <w:p>
            <w:pPr>
              <w:spacing w:after="0"/>
              <w:rPr>
                <w:sz w:val="18"/>
                <w:szCs w:val="18"/>
                <w:color w:val="auto"/>
              </w:rPr>
            </w:pPr>
          </w:p>
        </w:tc>
        <w:tc>
          <w:tcPr>
            <w:tcW w:w="1560" w:type="dxa"/>
            <w:vAlign w:val="bottom"/>
          </w:tcPr>
          <w:p>
            <w:pPr>
              <w:jc w:val="right"/>
              <w:ind w:right="216"/>
              <w:spacing w:after="0"/>
              <w:rPr>
                <w:sz w:val="20"/>
                <w:szCs w:val="20"/>
                <w:color w:val="auto"/>
              </w:rPr>
            </w:pPr>
            <w:r>
              <w:rPr>
                <w:rFonts w:ascii="Arial" w:cs="Arial" w:eastAsia="Arial" w:hAnsi="Arial"/>
                <w:sz w:val="18"/>
                <w:szCs w:val="18"/>
                <w:color w:val="auto"/>
              </w:rPr>
              <w:t>(182)</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26</w:t>
            </w:r>
          </w:p>
        </w:tc>
        <w:tc>
          <w:tcPr>
            <w:tcW w:w="1140" w:type="dxa"/>
            <w:vAlign w:val="bottom"/>
          </w:tcPr>
          <w:p>
            <w:pPr>
              <w:jc w:val="right"/>
              <w:ind w:right="237"/>
              <w:spacing w:after="0"/>
              <w:rPr>
                <w:sz w:val="20"/>
                <w:szCs w:val="20"/>
                <w:color w:val="auto"/>
              </w:rPr>
            </w:pPr>
            <w:r>
              <w:rPr>
                <w:rFonts w:ascii="Arial" w:cs="Arial" w:eastAsia="Arial" w:hAnsi="Arial"/>
                <w:sz w:val="18"/>
                <w:szCs w:val="18"/>
                <w:color w:val="auto"/>
              </w:rPr>
              <w:t>(208)</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40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(373)</w:t>
            </w:r>
          </w:p>
        </w:tc>
        <w:tc>
          <w:tcPr>
            <w:tcW w:w="64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5E5"/>
          </w:tcPr>
          <w:p>
            <w:pPr>
              <w:jc w:val="right"/>
              <w:ind w:right="237"/>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$ 16,844</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5,804</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2,000</w:t>
            </w:r>
          </w:p>
        </w:tc>
        <w:tc>
          <w:tcPr>
            <w:tcW w:w="114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$ 3,804</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1,798</w:t>
            </w:r>
          </w:p>
        </w:tc>
        <w:tc>
          <w:tcPr>
            <w:tcW w:w="0" w:type="dxa"/>
            <w:vAlign w:val="bottom"/>
          </w:tcPr>
          <w:p>
            <w:pPr>
              <w:spacing w:after="0"/>
              <w:rPr>
                <w:sz w:val="1"/>
                <w:szCs w:val="1"/>
                <w:color w:val="auto"/>
              </w:rPr>
            </w:pPr>
          </w:p>
        </w:tc>
      </w:tr>
      <w:tr>
        <w:trPr>
          <w:trHeight w:val="363"/>
        </w:trPr>
        <w:tc>
          <w:tcPr>
            <w:tcW w:w="4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15</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color w:val="auto"/>
              </w:rPr>
              <w:t>Three Months Ended June 30, 2013</w:t>
            </w: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0" w:type="dxa"/>
            <w:vAlign w:val="bottom"/>
            <w:gridSpan w:val="2"/>
          </w:tcPr>
          <w:p>
            <w:pPr>
              <w:ind w:left="480"/>
              <w:spacing w:after="0" w:line="131" w:lineRule="exact"/>
              <w:rPr>
                <w:sz w:val="20"/>
                <w:szCs w:val="20"/>
                <w:color w:val="auto"/>
              </w:rPr>
            </w:pPr>
            <w:r>
              <w:rPr>
                <w:rFonts w:ascii="Arial" w:cs="Arial" w:eastAsia="Arial" w:hAnsi="Arial"/>
                <w:sz w:val="14"/>
                <w:szCs w:val="14"/>
                <w:color w:val="auto"/>
              </w:rPr>
              <w:t>Operating Income (Loss)</w:t>
            </w:r>
          </w:p>
        </w:tc>
        <w:tc>
          <w:tcPr>
            <w:tcW w:w="1520" w:type="dxa"/>
            <w:vAlign w:val="bottom"/>
            <w:gridSpan w:val="2"/>
          </w:tcPr>
          <w:p>
            <w:pPr>
              <w:jc w:val="center"/>
              <w:ind w:right="54"/>
              <w:spacing w:after="0" w:line="131" w:lineRule="exact"/>
              <w:rPr>
                <w:sz w:val="20"/>
                <w:szCs w:val="20"/>
                <w:color w:val="auto"/>
              </w:rPr>
            </w:pPr>
            <w:r>
              <w:rPr>
                <w:rFonts w:ascii="Arial" w:cs="Arial" w:eastAsia="Arial" w:hAnsi="Arial"/>
                <w:sz w:val="14"/>
                <w:szCs w:val="14"/>
                <w:color w:val="auto"/>
                <w:w w:val="89"/>
              </w:rPr>
              <w:t>Depreciation</w:t>
            </w:r>
          </w:p>
        </w:tc>
        <w:tc>
          <w:tcPr>
            <w:tcW w:w="1140" w:type="dxa"/>
            <w:vAlign w:val="bottom"/>
          </w:tcPr>
          <w:p>
            <w:pPr>
              <w:jc w:val="center"/>
              <w:ind w:right="77"/>
              <w:spacing w:after="0" w:line="131" w:lineRule="exact"/>
              <w:rPr>
                <w:sz w:val="20"/>
                <w:szCs w:val="20"/>
                <w:color w:val="auto"/>
              </w:rPr>
            </w:pPr>
            <w:r>
              <w:rPr>
                <w:rFonts w:ascii="Arial" w:cs="Arial" w:eastAsia="Arial" w:hAnsi="Arial"/>
                <w:sz w:val="14"/>
                <w:szCs w:val="14"/>
                <w:color w:val="auto"/>
                <w:w w:val="87"/>
              </w:rPr>
              <w:t>Operating</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jc w:val="right"/>
              <w:ind w:right="13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200" w:type="dxa"/>
            <w:vAlign w:val="bottom"/>
            <w:gridSpan w:val="2"/>
          </w:tcPr>
          <w:p>
            <w:pPr>
              <w:ind w:left="480"/>
              <w:spacing w:after="0" w:line="133" w:lineRule="exact"/>
              <w:rPr>
                <w:sz w:val="20"/>
                <w:szCs w:val="20"/>
                <w:color w:val="auto"/>
              </w:rPr>
            </w:pPr>
            <w:r>
              <w:rPr>
                <w:rFonts w:ascii="Arial" w:cs="Arial" w:eastAsia="Arial" w:hAnsi="Arial"/>
                <w:sz w:val="14"/>
                <w:szCs w:val="14"/>
                <w:color w:val="auto"/>
              </w:rPr>
              <w:t>Before Depreciation and</w:t>
            </w:r>
          </w:p>
        </w:tc>
        <w:tc>
          <w:tcPr>
            <w:tcW w:w="500" w:type="dxa"/>
            <w:vAlign w:val="bottom"/>
          </w:tcPr>
          <w:p>
            <w:pPr>
              <w:spacing w:after="0"/>
              <w:rPr>
                <w:sz w:val="11"/>
                <w:szCs w:val="11"/>
                <w:color w:val="auto"/>
              </w:rPr>
            </w:pPr>
          </w:p>
        </w:tc>
        <w:tc>
          <w:tcPr>
            <w:tcW w:w="1020" w:type="dxa"/>
            <w:vAlign w:val="bottom"/>
          </w:tcPr>
          <w:p>
            <w:pPr>
              <w:jc w:val="center"/>
              <w:ind w:right="574"/>
              <w:spacing w:after="0" w:line="133" w:lineRule="exact"/>
              <w:rPr>
                <w:sz w:val="20"/>
                <w:szCs w:val="20"/>
                <w:color w:val="auto"/>
              </w:rPr>
            </w:pPr>
            <w:r>
              <w:rPr>
                <w:rFonts w:ascii="Arial" w:cs="Arial" w:eastAsia="Arial" w:hAnsi="Arial"/>
                <w:sz w:val="14"/>
                <w:szCs w:val="14"/>
                <w:color w:val="auto"/>
                <w:w w:val="85"/>
              </w:rPr>
              <w:t>and</w:t>
            </w:r>
          </w:p>
        </w:tc>
        <w:tc>
          <w:tcPr>
            <w:tcW w:w="1140" w:type="dxa"/>
            <w:vAlign w:val="bottom"/>
          </w:tcPr>
          <w:p>
            <w:pPr>
              <w:jc w:val="center"/>
              <w:ind w:right="77"/>
              <w:spacing w:after="0" w:line="133" w:lineRule="exact"/>
              <w:rPr>
                <w:sz w:val="20"/>
                <w:szCs w:val="20"/>
                <w:color w:val="auto"/>
              </w:rPr>
            </w:pPr>
            <w:r>
              <w:rPr>
                <w:rFonts w:ascii="Arial" w:cs="Arial" w:eastAsia="Arial" w:hAnsi="Arial"/>
                <w:sz w:val="14"/>
                <w:szCs w:val="14"/>
                <w:color w:val="auto"/>
                <w:w w:val="91"/>
              </w:rPr>
              <w:t>Income</w:t>
            </w:r>
          </w:p>
        </w:tc>
        <w:tc>
          <w:tcPr>
            <w:tcW w:w="44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4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Amortization</w:t>
            </w: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87"/>
              </w:rPr>
              <w:t>(Loss)</w:t>
            </w: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$ 10,467</w:t>
            </w:r>
          </w:p>
        </w:tc>
        <w:tc>
          <w:tcPr>
            <w:tcW w:w="6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4,335</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1,623</w:t>
            </w:r>
          </w:p>
        </w:tc>
        <w:tc>
          <w:tcPr>
            <w:tcW w:w="114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$ 2,712</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NBCUniversal</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2,413</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860</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182</w:t>
            </w:r>
          </w:p>
        </w:tc>
        <w:tc>
          <w:tcPr>
            <w:tcW w:w="114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678</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040" w:type="dxa"/>
            <w:vAlign w:val="bottom"/>
            <w:gridSpan w:val="2"/>
          </w:tcPr>
          <w:p>
            <w:pPr>
              <w:ind w:left="440"/>
              <w:spacing w:after="0"/>
              <w:rPr>
                <w:sz w:val="20"/>
                <w:szCs w:val="20"/>
                <w:color w:val="auto"/>
              </w:rPr>
            </w:pPr>
            <w:r>
              <w:rPr>
                <w:rFonts w:ascii="Arial" w:cs="Arial" w:eastAsia="Arial" w:hAnsi="Arial"/>
                <w:sz w:val="18"/>
                <w:szCs w:val="18"/>
                <w:color w:val="auto"/>
              </w:rPr>
              <w:t>Broadcast Television</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1,732</w:t>
            </w:r>
          </w:p>
        </w:tc>
        <w:tc>
          <w:tcPr>
            <w:tcW w:w="640" w:type="dxa"/>
            <w:vAlign w:val="bottom"/>
          </w:tcPr>
          <w:p>
            <w:pPr>
              <w:spacing w:after="0"/>
              <w:rPr>
                <w:sz w:val="18"/>
                <w:szCs w:val="18"/>
                <w:color w:val="auto"/>
              </w:rPr>
            </w:pP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206</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26</w:t>
            </w:r>
          </w:p>
        </w:tc>
        <w:tc>
          <w:tcPr>
            <w:tcW w:w="1140" w:type="dxa"/>
            <w:vAlign w:val="bottom"/>
          </w:tcPr>
          <w:p>
            <w:pPr>
              <w:jc w:val="right"/>
              <w:ind w:right="297"/>
              <w:spacing w:after="0"/>
              <w:rPr>
                <w:sz w:val="20"/>
                <w:szCs w:val="20"/>
                <w:color w:val="auto"/>
              </w:rPr>
            </w:pPr>
            <w:r>
              <w:rPr>
                <w:rFonts w:ascii="Arial" w:cs="Arial" w:eastAsia="Arial" w:hAnsi="Arial"/>
                <w:sz w:val="18"/>
                <w:szCs w:val="18"/>
                <w:color w:val="auto"/>
              </w:rPr>
              <w:t>180</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1,388</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33</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3</w:t>
            </w:r>
          </w:p>
        </w:tc>
        <w:tc>
          <w:tcPr>
            <w:tcW w:w="114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30</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40" w:type="dxa"/>
            <w:vAlign w:val="bottom"/>
            <w:gridSpan w:val="2"/>
          </w:tcPr>
          <w:p>
            <w:pPr>
              <w:ind w:left="440"/>
              <w:spacing w:after="0"/>
              <w:rPr>
                <w:sz w:val="20"/>
                <w:szCs w:val="20"/>
                <w:color w:val="auto"/>
              </w:rPr>
            </w:pPr>
            <w:r>
              <w:rPr>
                <w:rFonts w:ascii="Arial" w:cs="Arial" w:eastAsia="Arial" w:hAnsi="Arial"/>
                <w:sz w:val="18"/>
                <w:szCs w:val="18"/>
                <w:color w:val="auto"/>
              </w:rPr>
              <w:t>Theme Parks</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546</w:t>
            </w:r>
          </w:p>
        </w:tc>
        <w:tc>
          <w:tcPr>
            <w:tcW w:w="640" w:type="dxa"/>
            <w:vAlign w:val="bottom"/>
          </w:tcPr>
          <w:p>
            <w:pPr>
              <w:spacing w:after="0"/>
              <w:rPr>
                <w:sz w:val="18"/>
                <w:szCs w:val="18"/>
                <w:color w:val="auto"/>
              </w:rPr>
            </w:pP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73</w:t>
            </w:r>
          </w:p>
        </w:tc>
        <w:tc>
          <w:tcPr>
            <w:tcW w:w="1140" w:type="dxa"/>
            <w:vAlign w:val="bottom"/>
          </w:tcPr>
          <w:p>
            <w:pPr>
              <w:jc w:val="right"/>
              <w:ind w:right="297"/>
              <w:spacing w:after="0"/>
              <w:rPr>
                <w:sz w:val="20"/>
                <w:szCs w:val="20"/>
                <w:color w:val="auto"/>
              </w:rPr>
            </w:pPr>
            <w:r>
              <w:rPr>
                <w:rFonts w:ascii="Arial" w:cs="Arial" w:eastAsia="Arial" w:hAnsi="Arial"/>
                <w:sz w:val="18"/>
                <w:szCs w:val="18"/>
                <w:color w:val="auto"/>
              </w:rPr>
              <w:t>158</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(137)</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65</w:t>
            </w:r>
          </w:p>
        </w:tc>
        <w:tc>
          <w:tcPr>
            <w:tcW w:w="114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(202)</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(93)</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NBCUniversal</w:t>
            </w:r>
          </w:p>
        </w:tc>
        <w:tc>
          <w:tcPr>
            <w:tcW w:w="14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5,995</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1,191</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349</w:t>
            </w:r>
          </w:p>
        </w:tc>
        <w:tc>
          <w:tcPr>
            <w:tcW w:w="114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842</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136</w:t>
            </w:r>
          </w:p>
        </w:tc>
        <w:tc>
          <w:tcPr>
            <w:tcW w:w="640" w:type="dxa"/>
            <w:vAlign w:val="bottom"/>
          </w:tcPr>
          <w:p>
            <w:pPr>
              <w:spacing w:after="0"/>
              <w:rPr>
                <w:sz w:val="18"/>
                <w:szCs w:val="18"/>
                <w:color w:val="auto"/>
              </w:rPr>
            </w:pPr>
          </w:p>
        </w:tc>
        <w:tc>
          <w:tcPr>
            <w:tcW w:w="1560" w:type="dxa"/>
            <w:vAlign w:val="bottom"/>
          </w:tcPr>
          <w:p>
            <w:pPr>
              <w:jc w:val="right"/>
              <w:ind w:right="216"/>
              <w:spacing w:after="0"/>
              <w:rPr>
                <w:sz w:val="20"/>
                <w:szCs w:val="20"/>
                <w:color w:val="auto"/>
              </w:rPr>
            </w:pPr>
            <w:r>
              <w:rPr>
                <w:rFonts w:ascii="Arial" w:cs="Arial" w:eastAsia="Arial" w:hAnsi="Arial"/>
                <w:sz w:val="18"/>
                <w:szCs w:val="18"/>
                <w:color w:val="auto"/>
              </w:rPr>
              <w:t>(119)</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17</w:t>
            </w:r>
          </w:p>
        </w:tc>
        <w:tc>
          <w:tcPr>
            <w:tcW w:w="1140" w:type="dxa"/>
            <w:vAlign w:val="bottom"/>
          </w:tcPr>
          <w:p>
            <w:pPr>
              <w:jc w:val="right"/>
              <w:ind w:right="237"/>
              <w:spacing w:after="0"/>
              <w:rPr>
                <w:sz w:val="20"/>
                <w:szCs w:val="20"/>
                <w:color w:val="auto"/>
              </w:rPr>
            </w:pPr>
            <w:r>
              <w:rPr>
                <w:rFonts w:ascii="Arial" w:cs="Arial" w:eastAsia="Arial" w:hAnsi="Arial"/>
                <w:sz w:val="18"/>
                <w:szCs w:val="18"/>
                <w:color w:val="auto"/>
              </w:rPr>
              <w:t>(136)</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40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(328)</w:t>
            </w:r>
          </w:p>
        </w:tc>
        <w:tc>
          <w:tcPr>
            <w:tcW w:w="64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18</w:t>
            </w:r>
          </w:p>
        </w:tc>
        <w:tc>
          <w:tcPr>
            <w:tcW w:w="5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Comcast Consolidated</w:t>
            </w: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$ 16,270</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5,425</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1,990</w:t>
            </w:r>
          </w:p>
        </w:tc>
        <w:tc>
          <w:tcPr>
            <w:tcW w:w="114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$ 3,435</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1,506</w:t>
            </w:r>
          </w:p>
        </w:tc>
        <w:tc>
          <w:tcPr>
            <w:tcW w:w="0" w:type="dxa"/>
            <w:vAlign w:val="bottom"/>
          </w:tcPr>
          <w:p>
            <w:pPr>
              <w:spacing w:after="0"/>
              <w:rPr>
                <w:sz w:val="1"/>
                <w:szCs w:val="1"/>
                <w:color w:val="auto"/>
              </w:rPr>
            </w:pPr>
          </w:p>
        </w:tc>
      </w:tr>
      <w:tr>
        <w:trPr>
          <w:trHeight w:val="284"/>
        </w:trPr>
        <w:tc>
          <w:tcPr>
            <w:tcW w:w="4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color w:val="auto"/>
              </w:rPr>
              <w:t>Six Months Ended June 30, 2014</w:t>
            </w: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0" w:type="dxa"/>
            <w:vAlign w:val="bottom"/>
            <w:gridSpan w:val="2"/>
          </w:tcPr>
          <w:p>
            <w:pPr>
              <w:ind w:left="460"/>
              <w:spacing w:after="0" w:line="131" w:lineRule="exact"/>
              <w:rPr>
                <w:sz w:val="20"/>
                <w:szCs w:val="20"/>
                <w:color w:val="auto"/>
              </w:rPr>
            </w:pPr>
            <w:r>
              <w:rPr>
                <w:rFonts w:ascii="Arial" w:cs="Arial" w:eastAsia="Arial" w:hAnsi="Arial"/>
                <w:sz w:val="14"/>
                <w:szCs w:val="14"/>
                <w:color w:val="auto"/>
              </w:rPr>
              <w:t>Operating Income (Loss)</w:t>
            </w:r>
          </w:p>
        </w:tc>
        <w:tc>
          <w:tcPr>
            <w:tcW w:w="152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Depreciation</w:t>
            </w:r>
          </w:p>
        </w:tc>
        <w:tc>
          <w:tcPr>
            <w:tcW w:w="1140" w:type="dxa"/>
            <w:vAlign w:val="bottom"/>
          </w:tcPr>
          <w:p>
            <w:pPr>
              <w:jc w:val="center"/>
              <w:ind w:right="117"/>
              <w:spacing w:after="0" w:line="131" w:lineRule="exact"/>
              <w:rPr>
                <w:sz w:val="20"/>
                <w:szCs w:val="20"/>
                <w:color w:val="auto"/>
              </w:rPr>
            </w:pPr>
            <w:r>
              <w:rPr>
                <w:rFonts w:ascii="Arial" w:cs="Arial" w:eastAsia="Arial" w:hAnsi="Arial"/>
                <w:sz w:val="14"/>
                <w:szCs w:val="14"/>
                <w:color w:val="auto"/>
                <w:w w:val="87"/>
              </w:rPr>
              <w:t>Operating</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jc w:val="right"/>
              <w:ind w:right="15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200" w:type="dxa"/>
            <w:vAlign w:val="bottom"/>
            <w:gridSpan w:val="2"/>
          </w:tcPr>
          <w:p>
            <w:pPr>
              <w:ind w:left="480"/>
              <w:spacing w:after="0" w:line="133" w:lineRule="exact"/>
              <w:rPr>
                <w:sz w:val="20"/>
                <w:szCs w:val="20"/>
                <w:color w:val="auto"/>
              </w:rPr>
            </w:pPr>
            <w:r>
              <w:rPr>
                <w:rFonts w:ascii="Arial" w:cs="Arial" w:eastAsia="Arial" w:hAnsi="Arial"/>
                <w:sz w:val="14"/>
                <w:szCs w:val="14"/>
                <w:color w:val="auto"/>
              </w:rPr>
              <w:t>Before Depreciation and</w:t>
            </w:r>
          </w:p>
        </w:tc>
        <w:tc>
          <w:tcPr>
            <w:tcW w:w="500" w:type="dxa"/>
            <w:vAlign w:val="bottom"/>
          </w:tcPr>
          <w:p>
            <w:pPr>
              <w:spacing w:after="0"/>
              <w:rPr>
                <w:sz w:val="11"/>
                <w:szCs w:val="11"/>
                <w:color w:val="auto"/>
              </w:rPr>
            </w:pPr>
          </w:p>
        </w:tc>
        <w:tc>
          <w:tcPr>
            <w:tcW w:w="1020" w:type="dxa"/>
            <w:vAlign w:val="bottom"/>
          </w:tcPr>
          <w:p>
            <w:pPr>
              <w:jc w:val="center"/>
              <w:ind w:right="574"/>
              <w:spacing w:after="0" w:line="133" w:lineRule="exact"/>
              <w:rPr>
                <w:sz w:val="20"/>
                <w:szCs w:val="20"/>
                <w:color w:val="auto"/>
              </w:rPr>
            </w:pPr>
            <w:r>
              <w:rPr>
                <w:rFonts w:ascii="Arial" w:cs="Arial" w:eastAsia="Arial" w:hAnsi="Arial"/>
                <w:sz w:val="14"/>
                <w:szCs w:val="14"/>
                <w:color w:val="auto"/>
                <w:w w:val="85"/>
              </w:rPr>
              <w:t>and</w:t>
            </w:r>
          </w:p>
        </w:tc>
        <w:tc>
          <w:tcPr>
            <w:tcW w:w="1140" w:type="dxa"/>
            <w:vAlign w:val="bottom"/>
          </w:tcPr>
          <w:p>
            <w:pPr>
              <w:jc w:val="center"/>
              <w:ind w:right="97"/>
              <w:spacing w:after="0" w:line="133" w:lineRule="exact"/>
              <w:rPr>
                <w:sz w:val="20"/>
                <w:szCs w:val="20"/>
                <w:color w:val="auto"/>
              </w:rPr>
            </w:pPr>
            <w:r>
              <w:rPr>
                <w:rFonts w:ascii="Arial" w:cs="Arial" w:eastAsia="Arial" w:hAnsi="Arial"/>
                <w:sz w:val="14"/>
                <w:szCs w:val="14"/>
                <w:color w:val="auto"/>
                <w:w w:val="87"/>
              </w:rPr>
              <w:t>Income</w:t>
            </w:r>
          </w:p>
        </w:tc>
        <w:tc>
          <w:tcPr>
            <w:tcW w:w="44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4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Amortization</w:t>
            </w:r>
          </w:p>
        </w:tc>
        <w:tc>
          <w:tcPr>
            <w:tcW w:w="11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87"/>
              </w:rPr>
              <w:t>(Loss)</w:t>
            </w: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4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$ 21,786</w:t>
            </w:r>
          </w:p>
        </w:tc>
        <w:tc>
          <w:tcPr>
            <w:tcW w:w="6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8,964</w:t>
            </w:r>
          </w:p>
        </w:tc>
        <w:tc>
          <w:tcPr>
            <w:tcW w:w="50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3,188</w:t>
            </w:r>
          </w:p>
        </w:tc>
        <w:tc>
          <w:tcPr>
            <w:tcW w:w="114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rPr>
              <w:t>$ 5,776</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NBCUniversal</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4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4,981</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1,809</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369</w:t>
            </w:r>
          </w:p>
        </w:tc>
        <w:tc>
          <w:tcPr>
            <w:tcW w:w="114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rPr>
              <w:t>1,440</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040" w:type="dxa"/>
            <w:vAlign w:val="bottom"/>
            <w:gridSpan w:val="2"/>
          </w:tcPr>
          <w:p>
            <w:pPr>
              <w:ind w:left="440"/>
              <w:spacing w:after="0"/>
              <w:rPr>
                <w:sz w:val="20"/>
                <w:szCs w:val="20"/>
                <w:color w:val="auto"/>
              </w:rPr>
            </w:pPr>
            <w:r>
              <w:rPr>
                <w:rFonts w:ascii="Arial" w:cs="Arial" w:eastAsia="Arial" w:hAnsi="Arial"/>
                <w:sz w:val="18"/>
                <w:szCs w:val="18"/>
                <w:color w:val="auto"/>
              </w:rPr>
              <w:t>Broadcast Television</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4,437</w:t>
            </w:r>
          </w:p>
        </w:tc>
        <w:tc>
          <w:tcPr>
            <w:tcW w:w="64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362</w:t>
            </w:r>
          </w:p>
        </w:tc>
        <w:tc>
          <w:tcPr>
            <w:tcW w:w="50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8"/>
                <w:szCs w:val="18"/>
                <w:color w:val="auto"/>
              </w:rPr>
              <w:t>54</w:t>
            </w:r>
          </w:p>
        </w:tc>
        <w:tc>
          <w:tcPr>
            <w:tcW w:w="1140" w:type="dxa"/>
            <w:vAlign w:val="bottom"/>
          </w:tcPr>
          <w:p>
            <w:pPr>
              <w:jc w:val="right"/>
              <w:ind w:right="317"/>
              <w:spacing w:after="0"/>
              <w:rPr>
                <w:sz w:val="20"/>
                <w:szCs w:val="20"/>
                <w:color w:val="auto"/>
              </w:rPr>
            </w:pPr>
            <w:r>
              <w:rPr>
                <w:rFonts w:ascii="Arial" w:cs="Arial" w:eastAsia="Arial" w:hAnsi="Arial"/>
                <w:sz w:val="18"/>
                <w:szCs w:val="18"/>
                <w:color w:val="auto"/>
              </w:rPr>
              <w:t>308</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14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2,527</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483</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10</w:t>
            </w:r>
          </w:p>
        </w:tc>
        <w:tc>
          <w:tcPr>
            <w:tcW w:w="114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rPr>
              <w:t>473</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40" w:type="dxa"/>
            <w:vAlign w:val="bottom"/>
            <w:gridSpan w:val="2"/>
          </w:tcPr>
          <w:p>
            <w:pPr>
              <w:ind w:left="440"/>
              <w:spacing w:after="0"/>
              <w:rPr>
                <w:sz w:val="20"/>
                <w:szCs w:val="20"/>
                <w:color w:val="auto"/>
              </w:rPr>
            </w:pPr>
            <w:r>
              <w:rPr>
                <w:rFonts w:ascii="Arial" w:cs="Arial" w:eastAsia="Arial" w:hAnsi="Arial"/>
                <w:sz w:val="18"/>
                <w:szCs w:val="18"/>
                <w:color w:val="auto"/>
              </w:rPr>
              <w:t>Theme Parks</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1,102</w:t>
            </w:r>
          </w:p>
        </w:tc>
        <w:tc>
          <w:tcPr>
            <w:tcW w:w="64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414</w:t>
            </w:r>
          </w:p>
        </w:tc>
        <w:tc>
          <w:tcPr>
            <w:tcW w:w="50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8"/>
                <w:szCs w:val="18"/>
                <w:color w:val="auto"/>
              </w:rPr>
              <w:t>142</w:t>
            </w:r>
          </w:p>
        </w:tc>
        <w:tc>
          <w:tcPr>
            <w:tcW w:w="1140" w:type="dxa"/>
            <w:vAlign w:val="bottom"/>
          </w:tcPr>
          <w:p>
            <w:pPr>
              <w:jc w:val="right"/>
              <w:ind w:right="317"/>
              <w:spacing w:after="0"/>
              <w:rPr>
                <w:sz w:val="20"/>
                <w:szCs w:val="20"/>
                <w:color w:val="auto"/>
              </w:rPr>
            </w:pPr>
            <w:r>
              <w:rPr>
                <w:rFonts w:ascii="Arial" w:cs="Arial" w:eastAsia="Arial" w:hAnsi="Arial"/>
                <w:sz w:val="18"/>
                <w:szCs w:val="18"/>
                <w:color w:val="auto"/>
              </w:rPr>
              <w:t>272</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14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6</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(322)</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160</w:t>
            </w:r>
          </w:p>
        </w:tc>
        <w:tc>
          <w:tcPr>
            <w:tcW w:w="11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(482)</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4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(161)</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NBCUniversal</w:t>
            </w:r>
          </w:p>
        </w:tc>
        <w:tc>
          <w:tcPr>
            <w:tcW w:w="14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12,892</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2,745</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735</w:t>
            </w:r>
          </w:p>
        </w:tc>
        <w:tc>
          <w:tcPr>
            <w:tcW w:w="114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rPr>
              <w:t>2,010</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346</w:t>
            </w:r>
          </w:p>
        </w:tc>
        <w:tc>
          <w:tcPr>
            <w:tcW w:w="640" w:type="dxa"/>
            <w:vAlign w:val="bottom"/>
          </w:tcPr>
          <w:p>
            <w:pPr>
              <w:spacing w:after="0"/>
              <w:rPr>
                <w:sz w:val="18"/>
                <w:szCs w:val="18"/>
                <w:color w:val="auto"/>
              </w:rPr>
            </w:pPr>
          </w:p>
        </w:tc>
        <w:tc>
          <w:tcPr>
            <w:tcW w:w="1560" w:type="dxa"/>
            <w:vAlign w:val="bottom"/>
          </w:tcPr>
          <w:p>
            <w:pPr>
              <w:jc w:val="right"/>
              <w:ind w:right="236"/>
              <w:spacing w:after="0"/>
              <w:rPr>
                <w:sz w:val="20"/>
                <w:szCs w:val="20"/>
                <w:color w:val="auto"/>
              </w:rPr>
            </w:pPr>
            <w:r>
              <w:rPr>
                <w:rFonts w:ascii="Arial" w:cs="Arial" w:eastAsia="Arial" w:hAnsi="Arial"/>
                <w:sz w:val="18"/>
                <w:szCs w:val="18"/>
                <w:color w:val="auto"/>
              </w:rPr>
              <w:t>(335)</w:t>
            </w:r>
          </w:p>
        </w:tc>
        <w:tc>
          <w:tcPr>
            <w:tcW w:w="50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8"/>
                <w:szCs w:val="18"/>
                <w:color w:val="auto"/>
              </w:rPr>
              <w:t>47</w:t>
            </w:r>
          </w:p>
        </w:tc>
        <w:tc>
          <w:tcPr>
            <w:tcW w:w="1140" w:type="dxa"/>
            <w:vAlign w:val="bottom"/>
          </w:tcPr>
          <w:p>
            <w:pPr>
              <w:jc w:val="right"/>
              <w:ind w:right="257"/>
              <w:spacing w:after="0"/>
              <w:rPr>
                <w:sz w:val="20"/>
                <w:szCs w:val="20"/>
                <w:color w:val="auto"/>
              </w:rPr>
            </w:pPr>
            <w:r>
              <w:rPr>
                <w:rFonts w:ascii="Arial" w:cs="Arial" w:eastAsia="Arial" w:hAnsi="Arial"/>
                <w:sz w:val="18"/>
                <w:szCs w:val="18"/>
                <w:color w:val="auto"/>
              </w:rPr>
              <w:t>(382)</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4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(772)</w:t>
            </w:r>
          </w:p>
        </w:tc>
        <w:tc>
          <w:tcPr>
            <w:tcW w:w="64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(32)</w:t>
            </w:r>
          </w:p>
        </w:tc>
        <w:tc>
          <w:tcPr>
            <w:tcW w:w="5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9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5E5"/>
          </w:tcPr>
          <w:p>
            <w:pPr>
              <w:jc w:val="right"/>
              <w:ind w:right="257"/>
              <w:spacing w:after="0"/>
              <w:rPr>
                <w:sz w:val="20"/>
                <w:szCs w:val="20"/>
                <w:color w:val="auto"/>
              </w:rPr>
            </w:pPr>
            <w:r>
              <w:rPr>
                <w:rFonts w:ascii="Arial" w:cs="Arial" w:eastAsia="Arial" w:hAnsi="Arial"/>
                <w:sz w:val="18"/>
                <w:szCs w:val="18"/>
                <w:color w:val="auto"/>
              </w:rPr>
              <w:t>(32)</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Comcast Consolidated</w:t>
            </w: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$ 34,252</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11,342</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3,970</w:t>
            </w:r>
          </w:p>
        </w:tc>
        <w:tc>
          <w:tcPr>
            <w:tcW w:w="114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b w:val="1"/>
                <w:bCs w:val="1"/>
                <w:color w:val="auto"/>
              </w:rPr>
              <w:t>$ 7,372</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3,246</w:t>
            </w:r>
          </w:p>
        </w:tc>
        <w:tc>
          <w:tcPr>
            <w:tcW w:w="0" w:type="dxa"/>
            <w:vAlign w:val="bottom"/>
          </w:tcPr>
          <w:p>
            <w:pPr>
              <w:spacing w:after="0"/>
              <w:rPr>
                <w:sz w:val="1"/>
                <w:szCs w:val="1"/>
                <w:color w:val="auto"/>
              </w:rPr>
            </w:pPr>
          </w:p>
        </w:tc>
      </w:tr>
      <w:tr>
        <w:trPr>
          <w:trHeight w:val="284"/>
        </w:trPr>
        <w:tc>
          <w:tcPr>
            <w:tcW w:w="4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color w:val="auto"/>
              </w:rPr>
              <w:t>Six Months Ended June 30, 2013</w:t>
            </w: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0" w:type="dxa"/>
            <w:vAlign w:val="bottom"/>
            <w:gridSpan w:val="2"/>
          </w:tcPr>
          <w:p>
            <w:pPr>
              <w:ind w:left="460"/>
              <w:spacing w:after="0" w:line="131" w:lineRule="exact"/>
              <w:rPr>
                <w:sz w:val="20"/>
                <w:szCs w:val="20"/>
                <w:color w:val="auto"/>
              </w:rPr>
            </w:pPr>
            <w:r>
              <w:rPr>
                <w:rFonts w:ascii="Arial" w:cs="Arial" w:eastAsia="Arial" w:hAnsi="Arial"/>
                <w:sz w:val="14"/>
                <w:szCs w:val="14"/>
                <w:color w:val="auto"/>
              </w:rPr>
              <w:t>Operating Income (Loss)</w:t>
            </w:r>
          </w:p>
        </w:tc>
        <w:tc>
          <w:tcPr>
            <w:tcW w:w="152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Depreciation</w:t>
            </w:r>
          </w:p>
        </w:tc>
        <w:tc>
          <w:tcPr>
            <w:tcW w:w="1140" w:type="dxa"/>
            <w:vAlign w:val="bottom"/>
          </w:tcPr>
          <w:p>
            <w:pPr>
              <w:jc w:val="center"/>
              <w:ind w:right="117"/>
              <w:spacing w:after="0" w:line="131" w:lineRule="exact"/>
              <w:rPr>
                <w:sz w:val="20"/>
                <w:szCs w:val="20"/>
                <w:color w:val="auto"/>
              </w:rPr>
            </w:pPr>
            <w:r>
              <w:rPr>
                <w:rFonts w:ascii="Arial" w:cs="Arial" w:eastAsia="Arial" w:hAnsi="Arial"/>
                <w:sz w:val="14"/>
                <w:szCs w:val="14"/>
                <w:color w:val="auto"/>
                <w:w w:val="87"/>
              </w:rPr>
              <w:t>Operating</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jc w:val="right"/>
              <w:ind w:right="15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200" w:type="dxa"/>
            <w:vAlign w:val="bottom"/>
            <w:gridSpan w:val="2"/>
          </w:tcPr>
          <w:p>
            <w:pPr>
              <w:ind w:left="480"/>
              <w:spacing w:after="0" w:line="133" w:lineRule="exact"/>
              <w:rPr>
                <w:sz w:val="20"/>
                <w:szCs w:val="20"/>
                <w:color w:val="auto"/>
              </w:rPr>
            </w:pPr>
            <w:r>
              <w:rPr>
                <w:rFonts w:ascii="Arial" w:cs="Arial" w:eastAsia="Arial" w:hAnsi="Arial"/>
                <w:sz w:val="14"/>
                <w:szCs w:val="14"/>
                <w:color w:val="auto"/>
              </w:rPr>
              <w:t>Before Depreciation and</w:t>
            </w:r>
          </w:p>
        </w:tc>
        <w:tc>
          <w:tcPr>
            <w:tcW w:w="500" w:type="dxa"/>
            <w:vAlign w:val="bottom"/>
          </w:tcPr>
          <w:p>
            <w:pPr>
              <w:spacing w:after="0"/>
              <w:rPr>
                <w:sz w:val="11"/>
                <w:szCs w:val="11"/>
                <w:color w:val="auto"/>
              </w:rPr>
            </w:pPr>
          </w:p>
        </w:tc>
        <w:tc>
          <w:tcPr>
            <w:tcW w:w="1020" w:type="dxa"/>
            <w:vAlign w:val="bottom"/>
          </w:tcPr>
          <w:p>
            <w:pPr>
              <w:jc w:val="center"/>
              <w:ind w:right="574"/>
              <w:spacing w:after="0" w:line="133" w:lineRule="exact"/>
              <w:rPr>
                <w:sz w:val="20"/>
                <w:szCs w:val="20"/>
                <w:color w:val="auto"/>
              </w:rPr>
            </w:pPr>
            <w:r>
              <w:rPr>
                <w:rFonts w:ascii="Arial" w:cs="Arial" w:eastAsia="Arial" w:hAnsi="Arial"/>
                <w:sz w:val="14"/>
                <w:szCs w:val="14"/>
                <w:color w:val="auto"/>
                <w:w w:val="85"/>
              </w:rPr>
              <w:t>and</w:t>
            </w:r>
          </w:p>
        </w:tc>
        <w:tc>
          <w:tcPr>
            <w:tcW w:w="1140" w:type="dxa"/>
            <w:vAlign w:val="bottom"/>
          </w:tcPr>
          <w:p>
            <w:pPr>
              <w:jc w:val="center"/>
              <w:ind w:right="97"/>
              <w:spacing w:after="0" w:line="133" w:lineRule="exact"/>
              <w:rPr>
                <w:sz w:val="20"/>
                <w:szCs w:val="20"/>
                <w:color w:val="auto"/>
              </w:rPr>
            </w:pPr>
            <w:r>
              <w:rPr>
                <w:rFonts w:ascii="Arial" w:cs="Arial" w:eastAsia="Arial" w:hAnsi="Arial"/>
                <w:sz w:val="14"/>
                <w:szCs w:val="14"/>
                <w:color w:val="auto"/>
                <w:w w:val="87"/>
              </w:rPr>
              <w:t>Income</w:t>
            </w:r>
          </w:p>
        </w:tc>
        <w:tc>
          <w:tcPr>
            <w:tcW w:w="44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4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Amortization</w:t>
            </w:r>
          </w:p>
        </w:tc>
        <w:tc>
          <w:tcPr>
            <w:tcW w:w="11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87"/>
              </w:rPr>
              <w:t>(Loss)</w:t>
            </w: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4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$ 20,684</w:t>
            </w:r>
          </w:p>
        </w:tc>
        <w:tc>
          <w:tcPr>
            <w:tcW w:w="6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8,554</w:t>
            </w:r>
          </w:p>
        </w:tc>
        <w:tc>
          <w:tcPr>
            <w:tcW w:w="50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3,231</w:t>
            </w:r>
          </w:p>
        </w:tc>
        <w:tc>
          <w:tcPr>
            <w:tcW w:w="114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rPr>
              <w:t>$ 5,323</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NBCUniversal</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4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4,638</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1,719</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366</w:t>
            </w:r>
          </w:p>
        </w:tc>
        <w:tc>
          <w:tcPr>
            <w:tcW w:w="114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rPr>
              <w:t>1,353</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040" w:type="dxa"/>
            <w:vAlign w:val="bottom"/>
            <w:gridSpan w:val="2"/>
          </w:tcPr>
          <w:p>
            <w:pPr>
              <w:ind w:left="440"/>
              <w:spacing w:after="0"/>
              <w:rPr>
                <w:sz w:val="20"/>
                <w:szCs w:val="20"/>
                <w:color w:val="auto"/>
              </w:rPr>
            </w:pPr>
            <w:r>
              <w:rPr>
                <w:rFonts w:ascii="Arial" w:cs="Arial" w:eastAsia="Arial" w:hAnsi="Arial"/>
                <w:sz w:val="18"/>
                <w:szCs w:val="18"/>
                <w:color w:val="auto"/>
              </w:rPr>
              <w:t>Broadcast Television</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3,249</w:t>
            </w:r>
          </w:p>
        </w:tc>
        <w:tc>
          <w:tcPr>
            <w:tcW w:w="64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171</w:t>
            </w:r>
          </w:p>
        </w:tc>
        <w:tc>
          <w:tcPr>
            <w:tcW w:w="50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8"/>
                <w:szCs w:val="18"/>
                <w:color w:val="auto"/>
              </w:rPr>
              <w:t>51</w:t>
            </w:r>
          </w:p>
        </w:tc>
        <w:tc>
          <w:tcPr>
            <w:tcW w:w="1140" w:type="dxa"/>
            <w:vAlign w:val="bottom"/>
          </w:tcPr>
          <w:p>
            <w:pPr>
              <w:jc w:val="right"/>
              <w:ind w:right="317"/>
              <w:spacing w:after="0"/>
              <w:rPr>
                <w:sz w:val="20"/>
                <w:szCs w:val="20"/>
                <w:color w:val="auto"/>
              </w:rPr>
            </w:pPr>
            <w:r>
              <w:rPr>
                <w:rFonts w:ascii="Arial" w:cs="Arial" w:eastAsia="Arial" w:hAnsi="Arial"/>
                <w:sz w:val="18"/>
                <w:szCs w:val="18"/>
                <w:color w:val="auto"/>
              </w:rPr>
              <w:t>120</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14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2,604</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102</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7</w:t>
            </w:r>
          </w:p>
        </w:tc>
        <w:tc>
          <w:tcPr>
            <w:tcW w:w="114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rPr>
              <w:t>95</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40" w:type="dxa"/>
            <w:vAlign w:val="bottom"/>
            <w:gridSpan w:val="2"/>
          </w:tcPr>
          <w:p>
            <w:pPr>
              <w:ind w:left="440"/>
              <w:spacing w:after="0"/>
              <w:rPr>
                <w:sz w:val="20"/>
                <w:szCs w:val="20"/>
                <w:color w:val="auto"/>
              </w:rPr>
            </w:pPr>
            <w:r>
              <w:rPr>
                <w:rFonts w:ascii="Arial" w:cs="Arial" w:eastAsia="Arial" w:hAnsi="Arial"/>
                <w:sz w:val="18"/>
                <w:szCs w:val="18"/>
                <w:color w:val="auto"/>
              </w:rPr>
              <w:t>Theme Parks</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1,008</w:t>
            </w:r>
          </w:p>
        </w:tc>
        <w:tc>
          <w:tcPr>
            <w:tcW w:w="64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404</w:t>
            </w:r>
          </w:p>
        </w:tc>
        <w:tc>
          <w:tcPr>
            <w:tcW w:w="50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8"/>
                <w:szCs w:val="18"/>
                <w:color w:val="auto"/>
              </w:rPr>
              <w:t>145</w:t>
            </w:r>
          </w:p>
        </w:tc>
        <w:tc>
          <w:tcPr>
            <w:tcW w:w="1140" w:type="dxa"/>
            <w:vAlign w:val="bottom"/>
          </w:tcPr>
          <w:p>
            <w:pPr>
              <w:jc w:val="right"/>
              <w:ind w:right="317"/>
              <w:spacing w:after="0"/>
              <w:rPr>
                <w:sz w:val="20"/>
                <w:szCs w:val="20"/>
                <w:color w:val="auto"/>
              </w:rPr>
            </w:pPr>
            <w:r>
              <w:rPr>
                <w:rFonts w:ascii="Arial" w:cs="Arial" w:eastAsia="Arial" w:hAnsi="Arial"/>
                <w:sz w:val="18"/>
                <w:szCs w:val="18"/>
                <w:color w:val="auto"/>
              </w:rPr>
              <w:t>259</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14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18</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(249)</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124</w:t>
            </w:r>
          </w:p>
        </w:tc>
        <w:tc>
          <w:tcPr>
            <w:tcW w:w="1140" w:type="dxa"/>
            <w:vAlign w:val="bottom"/>
            <w:shd w:val="clear" w:color="auto" w:fill="E5E5E5"/>
          </w:tcPr>
          <w:p>
            <w:pPr>
              <w:jc w:val="right"/>
              <w:ind w:right="257"/>
              <w:spacing w:after="0"/>
              <w:rPr>
                <w:sz w:val="20"/>
                <w:szCs w:val="20"/>
                <w:color w:val="auto"/>
              </w:rPr>
            </w:pPr>
            <w:r>
              <w:rPr>
                <w:rFonts w:ascii="Arial" w:cs="Arial" w:eastAsia="Arial" w:hAnsi="Arial"/>
                <w:sz w:val="18"/>
                <w:szCs w:val="18"/>
                <w:color w:val="auto"/>
              </w:rPr>
              <w:t>(373)</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4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(182)</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NBCUniversal</w:t>
            </w:r>
          </w:p>
        </w:tc>
        <w:tc>
          <w:tcPr>
            <w:tcW w:w="14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11,335</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2,144</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94"/>
              <w:spacing w:after="0"/>
              <w:rPr>
                <w:sz w:val="20"/>
                <w:szCs w:val="20"/>
                <w:color w:val="auto"/>
              </w:rPr>
            </w:pPr>
            <w:r>
              <w:rPr>
                <w:rFonts w:ascii="Arial" w:cs="Arial" w:eastAsia="Arial" w:hAnsi="Arial"/>
                <w:sz w:val="18"/>
                <w:szCs w:val="18"/>
                <w:color w:val="auto"/>
              </w:rPr>
              <w:t>693</w:t>
            </w:r>
          </w:p>
        </w:tc>
        <w:tc>
          <w:tcPr>
            <w:tcW w:w="114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rPr>
              <w:t>1,451</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298</w:t>
            </w:r>
          </w:p>
        </w:tc>
        <w:tc>
          <w:tcPr>
            <w:tcW w:w="640" w:type="dxa"/>
            <w:vAlign w:val="bottom"/>
          </w:tcPr>
          <w:p>
            <w:pPr>
              <w:spacing w:after="0"/>
              <w:rPr>
                <w:sz w:val="18"/>
                <w:szCs w:val="18"/>
                <w:color w:val="auto"/>
              </w:rPr>
            </w:pPr>
          </w:p>
        </w:tc>
        <w:tc>
          <w:tcPr>
            <w:tcW w:w="1560" w:type="dxa"/>
            <w:vAlign w:val="bottom"/>
          </w:tcPr>
          <w:p>
            <w:pPr>
              <w:jc w:val="right"/>
              <w:ind w:right="236"/>
              <w:spacing w:after="0"/>
              <w:rPr>
                <w:sz w:val="20"/>
                <w:szCs w:val="20"/>
                <w:color w:val="auto"/>
              </w:rPr>
            </w:pPr>
            <w:r>
              <w:rPr>
                <w:rFonts w:ascii="Arial" w:cs="Arial" w:eastAsia="Arial" w:hAnsi="Arial"/>
                <w:sz w:val="18"/>
                <w:szCs w:val="18"/>
                <w:color w:val="auto"/>
              </w:rPr>
              <w:t>(202)</w:t>
            </w:r>
          </w:p>
        </w:tc>
        <w:tc>
          <w:tcPr>
            <w:tcW w:w="50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8"/>
                <w:szCs w:val="18"/>
                <w:color w:val="auto"/>
              </w:rPr>
              <w:t>32</w:t>
            </w:r>
          </w:p>
        </w:tc>
        <w:tc>
          <w:tcPr>
            <w:tcW w:w="1140" w:type="dxa"/>
            <w:vAlign w:val="bottom"/>
          </w:tcPr>
          <w:p>
            <w:pPr>
              <w:jc w:val="right"/>
              <w:ind w:right="257"/>
              <w:spacing w:after="0"/>
              <w:rPr>
                <w:sz w:val="20"/>
                <w:szCs w:val="20"/>
                <w:color w:val="auto"/>
              </w:rPr>
            </w:pPr>
            <w:r>
              <w:rPr>
                <w:rFonts w:ascii="Arial" w:cs="Arial" w:eastAsia="Arial" w:hAnsi="Arial"/>
                <w:sz w:val="18"/>
                <w:szCs w:val="18"/>
                <w:color w:val="auto"/>
              </w:rPr>
              <w:t>(234)</w:t>
            </w:r>
          </w:p>
        </w:tc>
        <w:tc>
          <w:tcPr>
            <w:tcW w:w="4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4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(737)</w:t>
            </w:r>
          </w:p>
        </w:tc>
        <w:tc>
          <w:tcPr>
            <w:tcW w:w="64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(37)</w:t>
            </w:r>
          </w:p>
        </w:tc>
        <w:tc>
          <w:tcPr>
            <w:tcW w:w="5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94"/>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auto"/>
            </w:tcBorders>
            <w:shd w:val="clear" w:color="auto" w:fill="E5E5E5"/>
          </w:tcPr>
          <w:p>
            <w:pPr>
              <w:jc w:val="right"/>
              <w:ind w:right="257"/>
              <w:spacing w:after="0"/>
              <w:rPr>
                <w:sz w:val="20"/>
                <w:szCs w:val="20"/>
                <w:color w:val="auto"/>
              </w:rPr>
            </w:pPr>
            <w:r>
              <w:rPr>
                <w:rFonts w:ascii="Arial" w:cs="Arial" w:eastAsia="Arial" w:hAnsi="Arial"/>
                <w:sz w:val="18"/>
                <w:szCs w:val="18"/>
                <w:color w:val="auto"/>
              </w:rPr>
              <w:t>(38)</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Comcast Consolidated</w:t>
            </w: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$ 31,580</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10,459</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3,957</w:t>
            </w:r>
          </w:p>
        </w:tc>
        <w:tc>
          <w:tcPr>
            <w:tcW w:w="114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b w:val="1"/>
                <w:bCs w:val="1"/>
                <w:color w:val="auto"/>
              </w:rPr>
              <w:t>$ 6,502</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2,867</w:t>
            </w:r>
          </w:p>
        </w:tc>
        <w:tc>
          <w:tcPr>
            <w:tcW w:w="0" w:type="dxa"/>
            <w:vAlign w:val="bottom"/>
          </w:tcPr>
          <w:p>
            <w:pPr>
              <w:spacing w:after="0"/>
              <w:rPr>
                <w:sz w:val="1"/>
                <w:szCs w:val="1"/>
                <w:color w:val="auto"/>
              </w:rPr>
            </w:pPr>
          </w:p>
        </w:tc>
      </w:tr>
      <w:tr>
        <w:trPr>
          <w:trHeight w:val="363"/>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16</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and six months ended June 30, 2014 and 2013, Cable Communications segment revenue was derived from the following sources:</w:t>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900" w:type="dxa"/>
            <w:vAlign w:val="bottom"/>
            <w:gridSpan w:val="2"/>
          </w:tcPr>
          <w:p>
            <w:pPr>
              <w:jc w:val="right"/>
              <w:ind w:right="732"/>
              <w:spacing w:after="0"/>
              <w:rPr>
                <w:sz w:val="20"/>
                <w:szCs w:val="20"/>
                <w:color w:val="auto"/>
              </w:rPr>
            </w:pPr>
            <w:r>
              <w:rPr>
                <w:rFonts w:ascii="Arial" w:cs="Arial" w:eastAsia="Arial" w:hAnsi="Arial"/>
                <w:sz w:val="14"/>
                <w:szCs w:val="14"/>
                <w:color w:val="auto"/>
              </w:rPr>
              <w:t>Three Months Ended</w:t>
            </w:r>
          </w:p>
        </w:tc>
        <w:tc>
          <w:tcPr>
            <w:tcW w:w="2200" w:type="dxa"/>
            <w:vAlign w:val="bottom"/>
            <w:gridSpan w:val="2"/>
          </w:tcPr>
          <w:p>
            <w:pPr>
              <w:jc w:val="right"/>
              <w:ind w:right="492"/>
              <w:spacing w:after="0"/>
              <w:rPr>
                <w:sz w:val="20"/>
                <w:szCs w:val="20"/>
                <w:color w:val="auto"/>
              </w:rPr>
            </w:pPr>
            <w:r>
              <w:rPr>
                <w:rFonts w:ascii="Arial" w:cs="Arial" w:eastAsia="Arial" w:hAnsi="Arial"/>
                <w:sz w:val="14"/>
                <w:szCs w:val="14"/>
                <w:color w:val="auto"/>
              </w:rPr>
              <w:t>Six Months Ended</w:t>
            </w:r>
          </w:p>
        </w:tc>
      </w:t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092"/>
              <w:spacing w:after="0"/>
              <w:rPr>
                <w:sz w:val="20"/>
                <w:szCs w:val="20"/>
                <w:color w:val="auto"/>
              </w:rPr>
            </w:pPr>
            <w:r>
              <w:rPr>
                <w:rFonts w:ascii="Arial" w:cs="Arial" w:eastAsia="Arial" w:hAnsi="Arial"/>
                <w:sz w:val="14"/>
                <w:szCs w:val="14"/>
                <w:color w:val="auto"/>
                <w:w w:val="84"/>
              </w:rPr>
              <w:t>June 30</w:t>
            </w:r>
          </w:p>
        </w:tc>
        <w:tc>
          <w:tcPr>
            <w:tcW w:w="9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w w:val="80"/>
              </w:rPr>
              <w:t>June 30</w:t>
            </w: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2014</w:t>
            </w:r>
          </w:p>
        </w:tc>
        <w:tc>
          <w:tcPr>
            <w:tcW w:w="16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2013</w:t>
            </w: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2014</w:t>
            </w: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2013</w:t>
            </w:r>
          </w:p>
        </w:tc>
      </w:tr>
      <w:tr>
        <w:trPr>
          <w:trHeight w:val="142"/>
        </w:trPr>
        <w:tc>
          <w:tcPr>
            <w:tcW w:w="20" w:type="dxa"/>
            <w:vAlign w:val="bottom"/>
          </w:tcPr>
          <w:p>
            <w:pPr>
              <w:spacing w:after="0"/>
              <w:rPr>
                <w:sz w:val="12"/>
                <w:szCs w:val="12"/>
                <w:color w:val="auto"/>
              </w:rPr>
            </w:pPr>
          </w:p>
        </w:tc>
        <w:tc>
          <w:tcPr>
            <w:tcW w:w="516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1300" w:type="dxa"/>
            <w:vAlign w:val="bottom"/>
            <w:shd w:val="clear" w:color="auto" w:fill="E5E5E5"/>
          </w:tcPr>
          <w:p>
            <w:pPr>
              <w:spacing w:after="0"/>
              <w:rPr>
                <w:sz w:val="12"/>
                <w:szCs w:val="12"/>
                <w:color w:val="auto"/>
              </w:rPr>
            </w:pPr>
          </w:p>
        </w:tc>
        <w:tc>
          <w:tcPr>
            <w:tcW w:w="160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28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420"/>
              <w:spacing w:after="0" w:line="149" w:lineRule="exact"/>
              <w:rPr>
                <w:sz w:val="20"/>
                <w:szCs w:val="20"/>
                <w:color w:val="auto"/>
              </w:rPr>
            </w:pPr>
            <w:r>
              <w:rPr>
                <w:rFonts w:ascii="Arial" w:cs="Arial" w:eastAsia="Arial" w:hAnsi="Arial"/>
                <w:sz w:val="14"/>
                <w:szCs w:val="14"/>
                <w:color w:val="auto"/>
              </w:rPr>
              <w:t>Video</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47.5%</w:t>
            </w:r>
          </w:p>
        </w:tc>
        <w:tc>
          <w:tcPr>
            <w:tcW w:w="16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49.4%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47.8%</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49.7%</w:t>
            </w:r>
          </w:p>
        </w:tc>
      </w:tr>
      <w:tr>
        <w:trPr>
          <w:trHeight w:val="149"/>
        </w:trPr>
        <w:tc>
          <w:tcPr>
            <w:tcW w:w="20" w:type="dxa"/>
            <w:vAlign w:val="bottom"/>
          </w:tcPr>
          <w:p>
            <w:pPr>
              <w:spacing w:after="0"/>
              <w:rPr>
                <w:sz w:val="12"/>
                <w:szCs w:val="12"/>
                <w:color w:val="auto"/>
              </w:rPr>
            </w:pPr>
          </w:p>
        </w:tc>
        <w:tc>
          <w:tcPr>
            <w:tcW w:w="5160" w:type="dxa"/>
            <w:vAlign w:val="bottom"/>
            <w:shd w:val="clear" w:color="auto" w:fill="E5E5E5"/>
          </w:tcPr>
          <w:p>
            <w:pPr>
              <w:ind w:left="420"/>
              <w:spacing w:after="0" w:line="149" w:lineRule="exact"/>
              <w:rPr>
                <w:sz w:val="20"/>
                <w:szCs w:val="20"/>
                <w:color w:val="auto"/>
              </w:rPr>
            </w:pPr>
            <w:r>
              <w:rPr>
                <w:rFonts w:ascii="Arial" w:cs="Arial" w:eastAsia="Arial" w:hAnsi="Arial"/>
                <w:sz w:val="14"/>
                <w:szCs w:val="14"/>
                <w:color w:val="auto"/>
              </w:rPr>
              <w:t>High-speed Internet</w:t>
            </w:r>
          </w:p>
        </w:tc>
        <w:tc>
          <w:tcPr>
            <w:tcW w:w="13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25.6%</w:t>
            </w:r>
          </w:p>
        </w:tc>
        <w:tc>
          <w:tcPr>
            <w:tcW w:w="1600" w:type="dxa"/>
            <w:vAlign w:val="bottom"/>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24.5%</w:t>
            </w:r>
          </w:p>
        </w:tc>
        <w:tc>
          <w:tcPr>
            <w:tcW w:w="9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25.6%</w:t>
            </w:r>
          </w:p>
        </w:tc>
        <w:tc>
          <w:tcPr>
            <w:tcW w:w="12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24.6%</w:t>
            </w:r>
          </w:p>
        </w:tc>
      </w:tr>
      <w:tr>
        <w:trPr>
          <w:trHeight w:val="149"/>
        </w:trPr>
        <w:tc>
          <w:tcPr>
            <w:tcW w:w="20" w:type="dxa"/>
            <w:vAlign w:val="bottom"/>
          </w:tcPr>
          <w:p>
            <w:pPr>
              <w:spacing w:after="0"/>
              <w:rPr>
                <w:sz w:val="12"/>
                <w:szCs w:val="12"/>
                <w:color w:val="auto"/>
              </w:rPr>
            </w:pPr>
          </w:p>
        </w:tc>
        <w:tc>
          <w:tcPr>
            <w:tcW w:w="5160" w:type="dxa"/>
            <w:vAlign w:val="bottom"/>
          </w:tcPr>
          <w:p>
            <w:pPr>
              <w:ind w:left="420"/>
              <w:spacing w:after="0" w:line="149" w:lineRule="exact"/>
              <w:rPr>
                <w:sz w:val="20"/>
                <w:szCs w:val="20"/>
                <w:color w:val="auto"/>
              </w:rPr>
            </w:pPr>
            <w:r>
              <w:rPr>
                <w:rFonts w:ascii="Arial" w:cs="Arial" w:eastAsia="Arial" w:hAnsi="Arial"/>
                <w:sz w:val="14"/>
                <w:szCs w:val="14"/>
                <w:color w:val="auto"/>
              </w:rPr>
              <w:t>Voice</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6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r>
      <w:tr>
        <w:trPr>
          <w:trHeight w:val="149"/>
        </w:trPr>
        <w:tc>
          <w:tcPr>
            <w:tcW w:w="20" w:type="dxa"/>
            <w:vAlign w:val="bottom"/>
          </w:tcPr>
          <w:p>
            <w:pPr>
              <w:spacing w:after="0"/>
              <w:rPr>
                <w:sz w:val="12"/>
                <w:szCs w:val="12"/>
                <w:color w:val="auto"/>
              </w:rPr>
            </w:pPr>
          </w:p>
        </w:tc>
        <w:tc>
          <w:tcPr>
            <w:tcW w:w="51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13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8.7%</w:t>
            </w:r>
          </w:p>
        </w:tc>
        <w:tc>
          <w:tcPr>
            <w:tcW w:w="1600" w:type="dxa"/>
            <w:vAlign w:val="bottom"/>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7.5%</w:t>
            </w:r>
          </w:p>
        </w:tc>
        <w:tc>
          <w:tcPr>
            <w:tcW w:w="9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8.6%</w:t>
            </w:r>
          </w:p>
        </w:tc>
        <w:tc>
          <w:tcPr>
            <w:tcW w:w="12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7.4%</w:t>
            </w:r>
          </w:p>
        </w:tc>
      </w:tr>
      <w:tr>
        <w:trPr>
          <w:trHeight w:val="149"/>
        </w:trPr>
        <w:tc>
          <w:tcPr>
            <w:tcW w:w="20" w:type="dxa"/>
            <w:vAlign w:val="bottom"/>
          </w:tcPr>
          <w:p>
            <w:pPr>
              <w:spacing w:after="0"/>
              <w:rPr>
                <w:sz w:val="12"/>
                <w:szCs w:val="12"/>
                <w:color w:val="auto"/>
              </w:rPr>
            </w:pPr>
          </w:p>
        </w:tc>
        <w:tc>
          <w:tcPr>
            <w:tcW w:w="516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6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5.3%</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r>
      <w:tr>
        <w:trPr>
          <w:trHeight w:val="149"/>
        </w:trPr>
        <w:tc>
          <w:tcPr>
            <w:tcW w:w="20" w:type="dxa"/>
            <w:vAlign w:val="bottom"/>
          </w:tcPr>
          <w:p>
            <w:pPr>
              <w:spacing w:after="0"/>
              <w:rPr>
                <w:sz w:val="12"/>
                <w:szCs w:val="12"/>
                <w:color w:val="auto"/>
              </w:rPr>
            </w:pPr>
          </w:p>
        </w:tc>
        <w:tc>
          <w:tcPr>
            <w:tcW w:w="516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13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4.4%</w:t>
            </w:r>
          </w:p>
        </w:tc>
        <w:tc>
          <w:tcPr>
            <w:tcW w:w="1600" w:type="dxa"/>
            <w:vAlign w:val="bottom"/>
            <w:tcBorders>
              <w:bottom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4.6%</w:t>
            </w:r>
          </w:p>
        </w:tc>
        <w:tc>
          <w:tcPr>
            <w:tcW w:w="9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4.4%</w:t>
            </w:r>
          </w:p>
        </w:tc>
        <w:tc>
          <w:tcPr>
            <w:tcW w:w="128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4.4%</w:t>
            </w:r>
          </w:p>
        </w:tc>
      </w:tr>
      <w:tr>
        <w:trPr>
          <w:trHeight w:val="149"/>
        </w:trPr>
        <w:tc>
          <w:tcPr>
            <w:tcW w:w="20" w:type="dxa"/>
            <w:vAlign w:val="bottom"/>
            <w:tcBorders>
              <w:bottom w:val="single" w:sz="8" w:color="auto"/>
            </w:tcBorders>
          </w:tcPr>
          <w:p>
            <w:pPr>
              <w:spacing w:after="0"/>
              <w:rPr>
                <w:sz w:val="12"/>
                <w:szCs w:val="12"/>
                <w:color w:val="auto"/>
              </w:rPr>
            </w:pPr>
          </w:p>
        </w:tc>
        <w:tc>
          <w:tcPr>
            <w:tcW w:w="5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6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100%</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78" w:lineRule="exact"/>
        <w:rPr>
          <w:sz w:val="20"/>
          <w:szCs w:val="20"/>
          <w:color w:val="auto"/>
        </w:rPr>
      </w:pPr>
    </w:p>
    <w:p>
      <w:pPr>
        <w:ind w:left="360"/>
        <w:spacing w:after="0" w:line="239" w:lineRule="auto"/>
        <w:rPr>
          <w:sz w:val="20"/>
          <w:szCs w:val="20"/>
          <w:color w:val="auto"/>
        </w:rPr>
      </w:pPr>
      <w:r>
        <w:rPr>
          <w:rFonts w:ascii="Arial" w:cs="Arial" w:eastAsia="Arial" w:hAnsi="Arial"/>
          <w:sz w:val="14"/>
          <w:szCs w:val="14"/>
          <w:color w:val="auto"/>
        </w:rPr>
        <w:t>For both the three and six months ended June 30, 2014, 2.8% of Cable Communications segment revenue was derived from franchise and other regulatory fees. For the three and six months ended June 30, 2013, 2.8% and 2.9%, respectively, of Cable Communications segment revenue was derived from franchise and other regulatory fees.</w:t>
      </w:r>
    </w:p>
    <w:p>
      <w:pPr>
        <w:spacing w:after="0" w:line="44" w:lineRule="exact"/>
        <w:rPr>
          <w:sz w:val="20"/>
          <w:szCs w:val="20"/>
          <w:color w:val="auto"/>
        </w:rPr>
      </w:pPr>
    </w:p>
    <w:p>
      <w:pPr>
        <w:jc w:val="both"/>
        <w:ind w:left="340" w:hanging="332"/>
        <w:spacing w:after="0" w:line="23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Beginning in 2014, Fandango, our movie ticketing and entertainment business that was previously presented in our Cable Networks segment, is now presented in the Filmed Entertainment segment to reflect the change in our management reporting presentation. Due to immateriality, prior period amounts have not been adjusted. The change in presentation resulted in the reclassification of $195 million of goodwill from our Cable Networks segment to our Filmed Entertainment segment.</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includes costs associated with overhead, allocations, personnel costs and headquarter initiatives.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Condensed Consolidating Financial Information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Corporation (“Comcast Parent”), our cable guarantors and NBCUniversal Media, LLC (referred to as “NBCUniversal Media Parent” in the tables below) have fully and unconditionally guaranteed each other’s debt securities. Comcast MO Group, CCH and Comcast MO of Delaware are collectively referred to as the “Combined CCHMO Parents.”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Parent and the cable guarantors also fully and unconditionally guarantee NBCUniversal Enterprise’s $4 billion aggregate principal amount of senior notes, its $1.35 billion revolving credit facility due March 2018 and the associated commercial paper program. NBCUniversal Media Parent does not guarantee the NBCUniversal Enterprise senior notes, credit facility or commercial paper program.</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the cable guarantors nor NBCUniversal Media Parent guarantee the Comcast Holdings’ ZONES due October 2029. None of Comcast Parent, the cable guarantors nor NBCUniversal Media Parent guarantee the $62 million principal amount currently outstanding of Comcast Holdings’ ZONES due November 2029.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color w:val="auto"/>
              </w:rPr>
              <w:t>Non-</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center"/>
              <w:ind w:right="213"/>
              <w:spacing w:after="0" w:line="135" w:lineRule="exact"/>
              <w:rPr>
                <w:sz w:val="20"/>
                <w:szCs w:val="20"/>
                <w:color w:val="auto"/>
              </w:rPr>
            </w:pPr>
            <w:r>
              <w:rPr>
                <w:rFonts w:ascii="Arial" w:cs="Arial" w:eastAsia="Arial" w:hAnsi="Arial"/>
                <w:sz w:val="14"/>
                <w:szCs w:val="14"/>
                <w:color w:val="auto"/>
                <w:w w:val="76"/>
              </w:rPr>
              <w:t>and</w:t>
            </w:r>
          </w:p>
        </w:tc>
        <w:tc>
          <w:tcPr>
            <w:tcW w:w="92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0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680" w:type="dxa"/>
            <w:vAlign w:val="bottom"/>
          </w:tcPr>
          <w:p>
            <w:pPr>
              <w:jc w:val="right"/>
              <w:ind w:right="113"/>
              <w:spacing w:after="0" w:line="149" w:lineRule="exact"/>
              <w:rPr>
                <w:sz w:val="20"/>
                <w:szCs w:val="20"/>
                <w:color w:val="auto"/>
              </w:rPr>
            </w:pPr>
            <w:r>
              <w:rPr>
                <w:rFonts w:ascii="Arial" w:cs="Arial" w:eastAsia="Arial" w:hAnsi="Arial"/>
                <w:sz w:val="14"/>
                <w:szCs w:val="14"/>
                <w:color w:val="auto"/>
                <w:w w:val="83"/>
              </w:rPr>
              <w:t>Comcast</w:t>
            </w:r>
          </w:p>
        </w:tc>
        <w:tc>
          <w:tcPr>
            <w:tcW w:w="280" w:type="dxa"/>
            <w:vAlign w:val="bottom"/>
          </w:tcPr>
          <w:p>
            <w:pPr>
              <w:spacing w:after="0"/>
              <w:rPr>
                <w:sz w:val="12"/>
                <w:szCs w:val="12"/>
                <w:color w:val="auto"/>
              </w:rPr>
            </w:pPr>
          </w:p>
        </w:tc>
        <w:tc>
          <w:tcPr>
            <w:tcW w:w="72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CCCL</w:t>
            </w:r>
          </w:p>
        </w:tc>
        <w:tc>
          <w:tcPr>
            <w:tcW w:w="84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CCHMO</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38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5"/>
                <w:szCs w:val="15"/>
                <w:color w:val="auto"/>
              </w:rPr>
            </w:pPr>
          </w:p>
        </w:tc>
        <w:tc>
          <w:tcPr>
            <w:tcW w:w="680" w:type="dxa"/>
            <w:vAlign w:val="bottom"/>
          </w:tcPr>
          <w:p>
            <w:pPr>
              <w:jc w:val="right"/>
              <w:ind w:right="93"/>
              <w:spacing w:after="0"/>
              <w:rPr>
                <w:sz w:val="20"/>
                <w:szCs w:val="20"/>
                <w:color w:val="auto"/>
              </w:rPr>
            </w:pPr>
            <w:r>
              <w:rPr>
                <w:rFonts w:ascii="Arial" w:cs="Arial" w:eastAsia="Arial" w:hAnsi="Arial"/>
                <w:sz w:val="14"/>
                <w:szCs w:val="14"/>
                <w:color w:val="auto"/>
                <w:w w:val="88"/>
              </w:rPr>
              <w:t>Holdings</w:t>
            </w:r>
          </w:p>
        </w:tc>
        <w:tc>
          <w:tcPr>
            <w:tcW w:w="280" w:type="dxa"/>
            <w:vAlign w:val="bottom"/>
          </w:tcPr>
          <w:p>
            <w:pPr>
              <w:spacing w:after="0"/>
              <w:rPr>
                <w:sz w:val="15"/>
                <w:szCs w:val="15"/>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color w:val="auto"/>
                <w:w w:val="96"/>
              </w:rPr>
              <w:t>Parent</w:t>
            </w:r>
          </w:p>
        </w:tc>
        <w:tc>
          <w:tcPr>
            <w:tcW w:w="22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color w:val="auto"/>
                <w:w w:val="78"/>
              </w:rPr>
              <w:t>Parents</w:t>
            </w:r>
          </w:p>
        </w:tc>
        <w:tc>
          <w:tcPr>
            <w:tcW w:w="108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307</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1,222</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8</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2,317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6,232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905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1,519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12,195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5,208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21</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2,677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4"/>
              </w:rPr>
              <w:t>Investments in and amounts due from subsidiaries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18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81,329</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100,649</w:t>
            </w:r>
          </w:p>
        </w:tc>
        <w:tc>
          <w:tcPr>
            <w:tcW w:w="28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107,347</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57,057</w:t>
            </w:r>
          </w:p>
        </w:tc>
        <w:tc>
          <w:tcPr>
            <w:tcW w:w="3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40,511</w:t>
            </w:r>
          </w:p>
        </w:tc>
        <w:tc>
          <w:tcPr>
            <w:tcW w:w="24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91,705</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(478,598)</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29,761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Franchise rights</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27,323</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17,223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1,179</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2,065</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(972)</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82,975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100,797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107,347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57,057</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41,332</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6"/>
              </w:rPr>
              <w:t>247,521</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(479,570)</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157,459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w w:val="88"/>
              </w:rPr>
              <w:t>Accounts payable and accrued expenses related to</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trade creditors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5,421</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1,364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w w:val="99"/>
              </w:rPr>
              <w:t>Accrued expenses and other current liabilities</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1,501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5,286</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1,011</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1,036</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2,412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1,333</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13,107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3"/>
              </w:rPr>
              <w:t>26,489</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1,502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9,220</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4,432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43,602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738</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31,885</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2,103</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8,301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11,241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88"/>
              </w:rPr>
              <w:t>Redeemable noncontrolling interests and redeemable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18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1,055</w:t>
            </w:r>
          </w:p>
        </w:tc>
        <w:tc>
          <w:tcPr>
            <w:tcW w:w="26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51,941</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99,644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105,327</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55,508</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29,739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6"/>
              </w:rPr>
              <w:t>188,380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(478,598)</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51,941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9"/>
              </w:rPr>
              <w:t>Total Comcast Corporation shareholders’ equity</w:t>
            </w:r>
          </w:p>
        </w:tc>
        <w:tc>
          <w:tcPr>
            <w:tcW w:w="1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51,971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99,644</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105,327</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55,508</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29,739</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w w:val="86"/>
              </w:rPr>
              <w:t>188,380</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(478,598)</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361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51,971</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99,644</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105,327</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55,508</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29,739</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6"/>
              </w:rPr>
              <w:t>188,741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(478,598)</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52,332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82,975</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9"/>
              </w:rPr>
              <w:t>100,797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107,347</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57,057</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41,332</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6"/>
              </w:rPr>
              <w:t>247,521</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(479,570)</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157,459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color w:val="auto"/>
              </w:rPr>
              <w:t>Non-</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center"/>
              <w:ind w:right="213"/>
              <w:spacing w:after="0" w:line="135" w:lineRule="exact"/>
              <w:rPr>
                <w:sz w:val="20"/>
                <w:szCs w:val="20"/>
                <w:color w:val="auto"/>
              </w:rPr>
            </w:pPr>
            <w:r>
              <w:rPr>
                <w:rFonts w:ascii="Arial" w:cs="Arial" w:eastAsia="Arial" w:hAnsi="Arial"/>
                <w:sz w:val="14"/>
                <w:szCs w:val="14"/>
                <w:color w:val="auto"/>
                <w:w w:val="76"/>
              </w:rPr>
              <w:t>and</w:t>
            </w:r>
          </w:p>
        </w:tc>
        <w:tc>
          <w:tcPr>
            <w:tcW w:w="92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72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CCCL</w:t>
            </w:r>
          </w:p>
        </w:tc>
        <w:tc>
          <w:tcPr>
            <w:tcW w:w="84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CCHMO</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38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color w:val="auto"/>
                <w:w w:val="82"/>
              </w:rPr>
              <w:t>Parent</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color w:val="auto"/>
              </w:rPr>
              <w:t>Holdings</w:t>
            </w:r>
          </w:p>
        </w:tc>
        <w:tc>
          <w:tcPr>
            <w:tcW w:w="280" w:type="dxa"/>
            <w:vAlign w:val="bottom"/>
          </w:tcPr>
          <w:p>
            <w:pPr>
              <w:spacing w:after="0"/>
              <w:rPr>
                <w:sz w:val="15"/>
                <w:szCs w:val="15"/>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color w:val="auto"/>
                <w:w w:val="96"/>
              </w:rPr>
              <w:t>Parent</w:t>
            </w:r>
          </w:p>
        </w:tc>
        <w:tc>
          <w:tcPr>
            <w:tcW w:w="22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color w:val="auto"/>
                <w:w w:val="78"/>
              </w:rPr>
              <w:t>Parents</w:t>
            </w:r>
          </w:p>
        </w:tc>
        <w:tc>
          <w:tcPr>
            <w:tcW w:w="108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336</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1,382</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3,573</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6,376</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928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1,208</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13,467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4,994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11</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3,385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5"/>
              </w:rPr>
              <w:t>Investments in and amounts due from subsidiaries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4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79,956</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97,429</w:t>
            </w:r>
          </w:p>
        </w:tc>
        <w:tc>
          <w:tcPr>
            <w:tcW w:w="28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102,673</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54,724</w:t>
            </w:r>
          </w:p>
        </w:tc>
        <w:tc>
          <w:tcPr>
            <w:tcW w:w="3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40,644</w:t>
            </w:r>
          </w:p>
        </w:tc>
        <w:tc>
          <w:tcPr>
            <w:tcW w:w="24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85,164</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(460,590)</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29,620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27,098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17,318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1,078</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1,899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(882)</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81,513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97,574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102,673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54,724</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41,492</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6"/>
              </w:rPr>
              <w:t>242,309</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(461,472)</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158,813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w w:val="93"/>
              </w:rPr>
              <w:t>Accounts payable and accrued expenses related</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5,520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1,239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1,371</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6,678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2,351</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903</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3,730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1,226</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13,463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3"/>
              </w:rPr>
              <w:t>25,170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1,505</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10,236</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5,697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31,840</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(741)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1,919</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931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8,675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89"/>
              </w:rPr>
              <w:t>Redeemable noncontrolling interests and redeemable</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4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957</w:t>
            </w:r>
          </w:p>
        </w:tc>
        <w:tc>
          <w:tcPr>
            <w:tcW w:w="26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50,664</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96,399</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100,666</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53,172</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29,040</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6"/>
              </w:rPr>
              <w:t>181,313</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(460,590)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Comcast Corporation shareholders’ equity</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50,694</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96,399</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100,666</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53,172</w:t>
            </w:r>
          </w:p>
        </w:tc>
        <w:tc>
          <w:tcPr>
            <w:tcW w:w="3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29,040</w:t>
            </w:r>
          </w:p>
        </w:tc>
        <w:tc>
          <w:tcPr>
            <w:tcW w:w="2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w w:val="86"/>
              </w:rPr>
              <w:t>181,313</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(460,590)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364</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50,694</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96,399</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100,666</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53,172</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29,040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6"/>
              </w:rPr>
              <w:t>181,677</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(460,590)</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51,058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81,513</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97,574</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102,673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54,724</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41,492</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6"/>
              </w:rPr>
              <w:t>242,309</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(461,472)</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158,813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restart"/>
          </w:tcPr>
          <w:p>
            <w:pPr>
              <w:jc w:val="right"/>
              <w:ind w:right="313"/>
              <w:spacing w:after="0"/>
              <w:rPr>
                <w:sz w:val="20"/>
                <w:szCs w:val="20"/>
                <w:color w:val="auto"/>
              </w:rPr>
            </w:pPr>
            <w:r>
              <w:rPr>
                <w:rFonts w:ascii="Arial" w:cs="Arial" w:eastAsia="Arial" w:hAnsi="Arial"/>
                <w:sz w:val="14"/>
                <w:szCs w:val="14"/>
                <w:color w:val="auto"/>
              </w:rPr>
              <w:t>Non-</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jc w:val="center"/>
              <w:ind w:right="313"/>
              <w:spacing w:after="0" w:line="135"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35"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10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3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6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88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rPr>
                <w:sz w:val="20"/>
                <w:szCs w:val="20"/>
                <w:color w:val="auto"/>
              </w:rPr>
            </w:pPr>
            <w:r>
              <w:rPr>
                <w:rFonts w:ascii="Arial" w:cs="Arial" w:eastAsia="Arial" w:hAnsi="Arial"/>
                <w:sz w:val="14"/>
                <w:szCs w:val="14"/>
                <w:color w:val="auto"/>
              </w:rPr>
              <w:t>Parents</w:t>
            </w:r>
          </w:p>
        </w:tc>
        <w:tc>
          <w:tcPr>
            <w:tcW w:w="1180" w:type="dxa"/>
            <w:vAlign w:val="bottom"/>
            <w:gridSpan w:val="2"/>
          </w:tcPr>
          <w:p>
            <w:pPr>
              <w:jc w:val="right"/>
              <w:ind w:right="172"/>
              <w:spacing w:after="0"/>
              <w:rPr>
                <w:sz w:val="20"/>
                <w:szCs w:val="20"/>
                <w:color w:val="auto"/>
              </w:rPr>
            </w:pPr>
            <w:r>
              <w:rPr>
                <w:rFonts w:ascii="Arial" w:cs="Arial" w:eastAsia="Arial" w:hAnsi="Arial"/>
                <w:sz w:val="14"/>
                <w:szCs w:val="14"/>
                <w:color w:val="auto"/>
              </w:rPr>
              <w:t>Media Parent</w:t>
            </w: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16,844</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237</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231</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145</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(613)</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237</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231</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145</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16,844</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(613)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16,844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4,874</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145</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4,743</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(613)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1,242</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1,591</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399</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191</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231</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145</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237</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4"/>
              </w:rPr>
              <w:t>12,849</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(613)</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3,995</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w w:val="96"/>
              </w:rPr>
              <w:t>Equity in net income (losses) of investees,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2,222</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1,908</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1,774</w:t>
            </w:r>
          </w:p>
        </w:tc>
        <w:tc>
          <w:tcPr>
            <w:tcW w:w="2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1,554</w:t>
            </w:r>
          </w:p>
        </w:tc>
        <w:tc>
          <w:tcPr>
            <w:tcW w:w="42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1,171</w:t>
            </w:r>
          </w:p>
        </w:tc>
        <w:tc>
          <w:tcPr>
            <w:tcW w:w="30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836</w:t>
            </w:r>
          </w:p>
        </w:tc>
        <w:tc>
          <w:tcPr>
            <w:tcW w:w="360" w:type="dxa"/>
            <w:vAlign w:val="bottom"/>
          </w:tcPr>
          <w:p>
            <w:pPr>
              <w:spacing w:after="0"/>
              <w:rPr>
                <w:sz w:val="19"/>
                <w:szCs w:val="19"/>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(9,443)</w:t>
            </w:r>
          </w:p>
        </w:tc>
        <w:tc>
          <w:tcPr>
            <w:tcW w:w="2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(46)</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1,823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1,905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1,730</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3"/>
              </w:rPr>
              <w:t>1,524</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1,057</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859</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(9,443)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1,869</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1,905</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1,730</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1,524</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820</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4,854</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(9,443)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(1,378)</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1,992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1,906</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1,745</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1,535</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814</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3,476</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(9,443)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3"/>
              </w:rPr>
              <w:t>Net (income) loss attributable to noncontrolling</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interests and redeemable subsidiary</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w w:val="97"/>
              </w:rPr>
              <w:t>Net income (loss) attributable to Comcast</w:t>
            </w: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1,992</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1,906</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1,745</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3"/>
              </w:rPr>
              <w:t>1,535</w:t>
            </w:r>
          </w:p>
        </w:tc>
        <w:tc>
          <w:tcPr>
            <w:tcW w:w="4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814</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3,443</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(9,443)</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1,992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b w:val="1"/>
                <w:bCs w:val="1"/>
                <w:color w:val="auto"/>
                <w:w w:val="90"/>
              </w:rPr>
              <w:t>Comprehensive income (loss) attributable to</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1,945</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1,912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1,744</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1,535</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832</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3,401</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(9,424)</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1,945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restart"/>
          </w:tcPr>
          <w:p>
            <w:pPr>
              <w:jc w:val="right"/>
              <w:ind w:right="313"/>
              <w:spacing w:after="0"/>
              <w:rPr>
                <w:sz w:val="20"/>
                <w:szCs w:val="20"/>
                <w:color w:val="auto"/>
              </w:rPr>
            </w:pPr>
            <w:r>
              <w:rPr>
                <w:rFonts w:ascii="Arial" w:cs="Arial" w:eastAsia="Arial" w:hAnsi="Arial"/>
                <w:sz w:val="14"/>
                <w:szCs w:val="14"/>
                <w:color w:val="auto"/>
              </w:rPr>
              <w:t>Non-</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4"/>
                <w:szCs w:val="14"/>
                <w:color w:val="auto"/>
              </w:rPr>
              <w:t>Combined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jc w:val="center"/>
              <w:ind w:right="313"/>
              <w:spacing w:after="0" w:line="135"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35"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10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3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6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88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rPr>
                <w:sz w:val="20"/>
                <w:szCs w:val="20"/>
                <w:color w:val="auto"/>
              </w:rPr>
            </w:pPr>
            <w:r>
              <w:rPr>
                <w:rFonts w:ascii="Arial" w:cs="Arial" w:eastAsia="Arial" w:hAnsi="Arial"/>
                <w:sz w:val="14"/>
                <w:szCs w:val="14"/>
                <w:color w:val="auto"/>
              </w:rPr>
              <w:t>Parents</w:t>
            </w:r>
          </w:p>
        </w:tc>
        <w:tc>
          <w:tcPr>
            <w:tcW w:w="1180" w:type="dxa"/>
            <w:vAlign w:val="bottom"/>
            <w:gridSpan w:val="2"/>
          </w:tcPr>
          <w:p>
            <w:pPr>
              <w:jc w:val="right"/>
              <w:ind w:right="172"/>
              <w:spacing w:after="0"/>
              <w:rPr>
                <w:sz w:val="20"/>
                <w:szCs w:val="20"/>
                <w:color w:val="auto"/>
              </w:rPr>
            </w:pPr>
            <w:r>
              <w:rPr>
                <w:rFonts w:ascii="Arial" w:cs="Arial" w:eastAsia="Arial" w:hAnsi="Arial"/>
                <w:sz w:val="14"/>
                <w:szCs w:val="14"/>
                <w:color w:val="auto"/>
              </w:rPr>
              <w:t>Media Parent</w:t>
            </w: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16,270</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16,270</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4,968</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205</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4,489</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1,307</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1,575</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405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205</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4"/>
              </w:rPr>
              <w:t>12,744</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3,526</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6</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w w:val="96"/>
              </w:rPr>
              <w:t>Equity in net income (losses) of investees,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1,910</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1,909</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1,835</w:t>
            </w:r>
          </w:p>
        </w:tc>
        <w:tc>
          <w:tcPr>
            <w:tcW w:w="2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1,349</w:t>
            </w:r>
          </w:p>
        </w:tc>
        <w:tc>
          <w:tcPr>
            <w:tcW w:w="44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951</w:t>
            </w:r>
          </w:p>
        </w:tc>
        <w:tc>
          <w:tcPr>
            <w:tcW w:w="30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646</w:t>
            </w:r>
          </w:p>
        </w:tc>
        <w:tc>
          <w:tcPr>
            <w:tcW w:w="360" w:type="dxa"/>
            <w:vAlign w:val="bottom"/>
          </w:tcPr>
          <w:p>
            <w:pPr>
              <w:spacing w:after="0"/>
              <w:rPr>
                <w:sz w:val="19"/>
                <w:szCs w:val="19"/>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(8,577)</w:t>
            </w:r>
          </w:p>
        </w:tc>
        <w:tc>
          <w:tcPr>
            <w:tcW w:w="2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1,527</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1,913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1,791</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3"/>
              </w:rPr>
              <w:t>1,316</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833</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554</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(8,577)</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1,641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1,913</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1,791</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1,316</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628</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4,080</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(8,577)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(1,163)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1,734</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1,912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1,807</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1,328</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2,917</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(8,577)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3"/>
              </w:rPr>
              <w:t>Net (income) loss attributable to noncontrolling</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interests and redeemable subsidiary</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w w:val="97"/>
              </w:rPr>
              <w:t>Net income (loss) attributable to Comcast</w:t>
            </w: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1,734</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1,912</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1,807</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3"/>
              </w:rPr>
              <w:t>1,328</w:t>
            </w:r>
          </w:p>
        </w:tc>
        <w:tc>
          <w:tcPr>
            <w:tcW w:w="4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623</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2,907</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(8,577)</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1,734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b w:val="1"/>
                <w:bCs w:val="1"/>
                <w:color w:val="auto"/>
                <w:w w:val="90"/>
              </w:rPr>
              <w:t>Comprehensive income (loss) attributable to</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1,822</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1,905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1,808</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1,328</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599</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3,007</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(8,647)</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1,822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jc w:val="right"/>
              <w:ind w:right="273"/>
              <w:spacing w:after="0"/>
              <w:rPr>
                <w:sz w:val="20"/>
                <w:szCs w:val="20"/>
                <w:color w:val="auto"/>
              </w:rPr>
            </w:pPr>
            <w:r>
              <w:rPr>
                <w:rFonts w:ascii="Arial" w:cs="Arial" w:eastAsia="Arial" w:hAnsi="Arial"/>
                <w:sz w:val="14"/>
                <w:szCs w:val="14"/>
                <w:color w:val="auto"/>
              </w:rPr>
              <w:t>Non-</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ind w:right="233"/>
              <w:spacing w:after="0" w:line="135"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41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34,252</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467</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454</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286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(1,207)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467</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454</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286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34,252</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(1,207)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10,782</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286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9,375</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2,452</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15</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3,153</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799</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292</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454</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286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494</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26,561</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(1,207)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26,880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7,691</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Equity in net income (losses) of investees, net</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4,260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4,175</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3,939</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3,065</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2,242</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1,550</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(19,177)</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3,475</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4,172</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3,850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3,006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2,001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1,616</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(19,177)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3,650</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4,172</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3,850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3,006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1,507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9,307</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(19,177)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(2,607)</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3,863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4,173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3,881</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3,027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1,496</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6,700</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(19,177)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Net (income) loss attributable to noncontrolling interests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3,863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4,173</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3,881</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3,027</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1,496</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6,600</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(19,177)</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3,863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b w:val="1"/>
                <w:bCs w:val="1"/>
                <w:color w:val="auto"/>
                <w:w w:val="88"/>
              </w:rPr>
              <w:t>Comprehensive income (loss) attributable to Comcast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3,793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4,181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3,882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3,028</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1,517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6,535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(19,143)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3,793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jc w:val="right"/>
              <w:ind w:right="273"/>
              <w:spacing w:after="0"/>
              <w:rPr>
                <w:sz w:val="20"/>
                <w:szCs w:val="20"/>
                <w:color w:val="auto"/>
              </w:rPr>
            </w:pPr>
            <w:r>
              <w:rPr>
                <w:rFonts w:ascii="Arial" w:cs="Arial" w:eastAsia="Arial" w:hAnsi="Arial"/>
                <w:sz w:val="14"/>
                <w:szCs w:val="14"/>
                <w:color w:val="auto"/>
              </w:rPr>
              <w:t>Non-</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ind w:right="233"/>
              <w:spacing w:after="0" w:line="135"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68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4"/>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CCHMO</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41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680" w:type="dxa"/>
            <w:vAlign w:val="bottom"/>
            <w:gridSpan w:val="2"/>
          </w:tcPr>
          <w:p>
            <w:pPr>
              <w:ind w:left="120"/>
              <w:spacing w:after="0"/>
              <w:rPr>
                <w:sz w:val="20"/>
                <w:szCs w:val="20"/>
                <w:color w:val="auto"/>
              </w:rPr>
            </w:pPr>
            <w:r>
              <w:rPr>
                <w:rFonts w:ascii="Arial" w:cs="Arial" w:eastAsia="Arial" w:hAnsi="Arial"/>
                <w:sz w:val="14"/>
                <w:szCs w:val="14"/>
                <w:color w:val="auto"/>
                <w:w w:val="99"/>
              </w:rPr>
              <w:t>Holdings</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40" w:type="dxa"/>
            <w:vAlign w:val="bottom"/>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00" w:type="dxa"/>
            <w:vAlign w:val="bottom"/>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31,580</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443</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431</w:t>
            </w:r>
          </w:p>
        </w:tc>
        <w:tc>
          <w:tcPr>
            <w:tcW w:w="2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270</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(1,144)</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443</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431</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270</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31,580</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(1,144)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9,631</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270</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8,850</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(1,144)</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2,454</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15</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3,134</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805</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431</w:t>
            </w:r>
          </w:p>
        </w:tc>
        <w:tc>
          <w:tcPr>
            <w:tcW w:w="2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270</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430</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24,874</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(1,144)</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25,078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6,706</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79</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Equity in net income (losses) of investees, net</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3,518</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3,651</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3,598</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2,611</w:t>
            </w:r>
          </w:p>
        </w:tc>
        <w:tc>
          <w:tcPr>
            <w:tcW w:w="3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1,660</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(16,016)</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4"/>
              </w:rPr>
              <w:t>2,759</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3,649</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3,476</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3"/>
              </w:rPr>
              <w:t>2,545</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1,418</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1,029</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(16,016)</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2,985</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3,649</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3,476</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3"/>
              </w:rPr>
              <w:t>2,545</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988</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7,735</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(16,016)</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(2,216)</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3,171</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3,650</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3,519</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3"/>
              </w:rPr>
              <w:t>2,568</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978</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5,519</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(16,016)</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Net (income) loss attributable to noncontrolling interests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(218)</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89"/>
              </w:rPr>
              <w:t>Net income (loss) attributable to Comcast Corporation</w:t>
            </w:r>
          </w:p>
        </w:tc>
        <w:tc>
          <w:tcPr>
            <w:tcW w:w="2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w w:val="84"/>
              </w:rPr>
              <w:t>3,171</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3,650</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3,519</w:t>
            </w:r>
          </w:p>
        </w:tc>
        <w:tc>
          <w:tcPr>
            <w:tcW w:w="2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w w:val="93"/>
              </w:rPr>
              <w:t>2,568</w:t>
            </w:r>
          </w:p>
        </w:tc>
        <w:tc>
          <w:tcPr>
            <w:tcW w:w="3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978</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5,301</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(16,016)</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3,171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b w:val="1"/>
                <w:bCs w:val="1"/>
                <w:color w:val="auto"/>
                <w:w w:val="89"/>
              </w:rPr>
              <w:t>Comprehensive income (loss) attributable to Comcast</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3,259</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3,643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3,522</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3"/>
              </w:rPr>
              <w:t>2,568</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932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5,414</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(16,079)</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3,259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jc w:val="right"/>
              <w:ind w:right="39"/>
              <w:spacing w:after="0"/>
              <w:rPr>
                <w:sz w:val="20"/>
                <w:szCs w:val="20"/>
                <w:color w:val="auto"/>
              </w:rPr>
            </w:pPr>
            <w:r>
              <w:rPr>
                <w:rFonts w:ascii="Arial" w:cs="Arial" w:eastAsia="Arial" w:hAnsi="Arial"/>
                <w:sz w:val="18"/>
                <w:szCs w:val="18"/>
                <w:color w:val="auto"/>
                <w:w w:val="89"/>
              </w:rPr>
              <w:t>24</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restart"/>
          </w:tcPr>
          <w:p>
            <w:pPr>
              <w:jc w:val="right"/>
              <w:ind w:right="333"/>
              <w:spacing w:after="0"/>
              <w:rPr>
                <w:sz w:val="20"/>
                <w:szCs w:val="20"/>
                <w:color w:val="auto"/>
              </w:rPr>
            </w:pPr>
            <w:r>
              <w:rPr>
                <w:rFonts w:ascii="Arial" w:cs="Arial" w:eastAsia="Arial" w:hAnsi="Arial"/>
                <w:sz w:val="14"/>
                <w:szCs w:val="14"/>
                <w:color w:val="auto"/>
              </w:rPr>
              <w:t>Non-</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80"/>
              <w:spacing w:after="0" w:line="135"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jc w:val="center"/>
              <w:ind w:right="293"/>
              <w:spacing w:after="0" w:line="135"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8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7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33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color w:val="auto"/>
                <w:w w:val="82"/>
              </w:rPr>
              <w:t>Parent</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76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98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tcBorders>
              <w:top w:val="single" w:sz="8" w:color="auto"/>
            </w:tcBorders>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28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34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48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spacing w:after="0"/>
              <w:rPr>
                <w:sz w:val="17"/>
                <w:szCs w:val="17"/>
                <w:color w:val="auto"/>
              </w:rPr>
            </w:pPr>
          </w:p>
        </w:tc>
        <w:tc>
          <w:tcPr>
            <w:tcW w:w="42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(147)</w:t>
            </w:r>
          </w:p>
        </w:tc>
        <w:tc>
          <w:tcPr>
            <w:tcW w:w="3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3"/>
              </w:rPr>
              <w:t>(43)</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(41)</w:t>
            </w:r>
          </w:p>
        </w:tc>
        <w:tc>
          <w:tcPr>
            <w:tcW w:w="4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(711)</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8,477</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2,674</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(12)</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43</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41</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1,583</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(4,329)</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(3,242)</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(475)</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Acquisitions and construction of real</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estate properties</w:t>
            </w:r>
          </w:p>
        </w:tc>
        <w:tc>
          <w:tcPr>
            <w:tcW w:w="2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(406)</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w w:val="99"/>
              </w:rPr>
              <w:t>Proceeds from sales of businesses and</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479</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Return of capital from investees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6</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(163)</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investing</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7"/>
              </w:rPr>
              <w:t>2,658</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43</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41</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1,583</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(8,201)</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w w:val="93"/>
              </w:rPr>
              <w:t>Proceeds from (repayments of) short-term</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borrowings, net</w:t>
            </w:r>
          </w:p>
        </w:tc>
        <w:tc>
          <w:tcPr>
            <w:tcW w:w="28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(1,350)</w:t>
            </w:r>
          </w:p>
        </w:tc>
        <w:tc>
          <w:tcPr>
            <w:tcW w:w="34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1,007</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2,184</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Repurchases and repayments of debt</w:t>
            </w:r>
          </w:p>
        </w:tc>
        <w:tc>
          <w:tcPr>
            <w:tcW w:w="28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(1,000)</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(901)</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(1,262)</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4"/>
              </w:rPr>
              <w:t>Repurchases and retirements of common</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stock</w:t>
            </w:r>
          </w:p>
        </w:tc>
        <w:tc>
          <w:tcPr>
            <w:tcW w:w="28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(1,500)</w:t>
            </w:r>
          </w:p>
        </w:tc>
        <w:tc>
          <w:tcPr>
            <w:tcW w:w="34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(1,092)</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29</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and dividends for redeemable</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subsidiary preferred stock</w:t>
            </w:r>
          </w:p>
        </w:tc>
        <w:tc>
          <w:tcPr>
            <w:tcW w:w="2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218</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7"/>
              </w:rPr>
              <w:t>(2,511)</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(901)</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(436)</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8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equivalents</w:t>
            </w:r>
          </w:p>
        </w:tc>
        <w:tc>
          <w:tcPr>
            <w:tcW w:w="28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(29)</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(160)</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Cash and cash equivalents, beginning of</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336</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1,382</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3"/>
              </w:rPr>
              <w:t>Cash and cash equivalents, end of period</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307</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1,222</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1,529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233"/>
              <w:spacing w:after="0"/>
              <w:rPr>
                <w:sz w:val="20"/>
                <w:szCs w:val="20"/>
                <w:color w:val="auto"/>
              </w:rPr>
            </w:pPr>
            <w:r>
              <w:rPr>
                <w:rFonts w:ascii="Arial" w:cs="Arial" w:eastAsia="Arial" w:hAnsi="Arial"/>
                <w:sz w:val="14"/>
                <w:szCs w:val="14"/>
                <w:color w:val="auto"/>
                <w:w w:val="98"/>
              </w:rPr>
              <w:t>Non-</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4"/>
                <w:szCs w:val="14"/>
                <w:color w:val="auto"/>
              </w:rPr>
              <w:t>Combined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center"/>
              <w:ind w:right="173"/>
              <w:spacing w:after="0" w:line="135"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00"/>
              <w:spacing w:after="0" w:line="135"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2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w w:val="97"/>
              </w:rPr>
              <w:t>Comcast</w:t>
            </w:r>
          </w:p>
        </w:tc>
        <w:tc>
          <w:tcPr>
            <w:tcW w:w="160" w:type="dxa"/>
            <w:vAlign w:val="bottom"/>
          </w:tcPr>
          <w:p>
            <w:pPr>
              <w:spacing w:after="0"/>
              <w:rPr>
                <w:sz w:val="12"/>
                <w:szCs w:val="12"/>
                <w:color w:val="auto"/>
              </w:rPr>
            </w:pPr>
          </w:p>
        </w:tc>
        <w:tc>
          <w:tcPr>
            <w:tcW w:w="58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89"/>
              </w:rPr>
              <w:t>CCCL</w:t>
            </w:r>
          </w:p>
        </w:tc>
        <w:tc>
          <w:tcPr>
            <w:tcW w:w="7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CCHMO</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NBCUniversal</w:t>
            </w:r>
          </w:p>
        </w:tc>
        <w:tc>
          <w:tcPr>
            <w:tcW w:w="84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Guarantor</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Consolidation</w:t>
            </w:r>
          </w:p>
        </w:tc>
        <w:tc>
          <w:tcPr>
            <w:tcW w:w="2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46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color w:val="auto"/>
                <w:w w:val="82"/>
              </w:rPr>
              <w:t>Parent</w:t>
            </w:r>
          </w:p>
        </w:tc>
        <w:tc>
          <w:tcPr>
            <w:tcW w:w="700" w:type="dxa"/>
            <w:vAlign w:val="bottom"/>
            <w:gridSpan w:val="2"/>
          </w:tcPr>
          <w:p>
            <w:pPr>
              <w:jc w:val="right"/>
              <w:ind w:right="32"/>
              <w:spacing w:after="0"/>
              <w:rPr>
                <w:sz w:val="20"/>
                <w:szCs w:val="20"/>
                <w:color w:val="auto"/>
              </w:rPr>
            </w:pPr>
            <w:r>
              <w:rPr>
                <w:rFonts w:ascii="Arial" w:cs="Arial" w:eastAsia="Arial" w:hAnsi="Arial"/>
                <w:sz w:val="14"/>
                <w:szCs w:val="14"/>
                <w:color w:val="auto"/>
              </w:rPr>
              <w:t>Holdings</w:t>
            </w:r>
          </w:p>
        </w:tc>
        <w:tc>
          <w:tcPr>
            <w:tcW w:w="16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color w:val="auto"/>
                <w:w w:val="82"/>
              </w:rPr>
              <w:t>Parent</w:t>
            </w:r>
          </w:p>
        </w:tc>
        <w:tc>
          <w:tcPr>
            <w:tcW w:w="760" w:type="dxa"/>
            <w:vAlign w:val="bottom"/>
            <w:gridSpan w:val="2"/>
          </w:tcPr>
          <w:p>
            <w:pPr>
              <w:jc w:val="right"/>
              <w:ind w:right="132"/>
              <w:spacing w:after="0"/>
              <w:rPr>
                <w:sz w:val="20"/>
                <w:szCs w:val="20"/>
                <w:color w:val="auto"/>
              </w:rPr>
            </w:pPr>
            <w:r>
              <w:rPr>
                <w:rFonts w:ascii="Arial" w:cs="Arial" w:eastAsia="Arial" w:hAnsi="Arial"/>
                <w:sz w:val="14"/>
                <w:szCs w:val="14"/>
                <w:color w:val="auto"/>
              </w:rPr>
              <w:t>Parents</w:t>
            </w:r>
          </w:p>
        </w:tc>
        <w:tc>
          <w:tcPr>
            <w:tcW w:w="1000" w:type="dxa"/>
            <w:vAlign w:val="bottom"/>
            <w:gridSpan w:val="2"/>
          </w:tcPr>
          <w:p>
            <w:pPr>
              <w:jc w:val="right"/>
              <w:ind w:right="92"/>
              <w:spacing w:after="0"/>
              <w:rPr>
                <w:sz w:val="20"/>
                <w:szCs w:val="20"/>
                <w:color w:val="auto"/>
              </w:rPr>
            </w:pPr>
            <w:r>
              <w:rPr>
                <w:rFonts w:ascii="Arial" w:cs="Arial" w:eastAsia="Arial" w:hAnsi="Arial"/>
                <w:sz w:val="14"/>
                <w:szCs w:val="14"/>
                <w:color w:val="auto"/>
                <w:w w:val="96"/>
              </w:rPr>
              <w:t>Media Parent</w:t>
            </w:r>
          </w:p>
        </w:tc>
        <w:tc>
          <w:tcPr>
            <w:tcW w:w="840" w:type="dxa"/>
            <w:vAlign w:val="bottom"/>
            <w:gridSpan w:val="2"/>
          </w:tcPr>
          <w:p>
            <w:pPr>
              <w:ind w:left="60"/>
              <w:spacing w:after="0"/>
              <w:rPr>
                <w:sz w:val="20"/>
                <w:szCs w:val="20"/>
                <w:color w:val="auto"/>
              </w:rPr>
            </w:pPr>
            <w:r>
              <w:rPr>
                <w:rFonts w:ascii="Arial" w:cs="Arial" w:eastAsia="Arial" w:hAnsi="Arial"/>
                <w:sz w:val="14"/>
                <w:szCs w:val="14"/>
                <w:color w:val="auto"/>
                <w:w w:val="99"/>
              </w:rPr>
              <w:t>Subsidiaries</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(181)</w:t>
            </w:r>
          </w:p>
        </w:tc>
        <w:tc>
          <w:tcPr>
            <w:tcW w:w="34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top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top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Borders>
              <w:top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8,623</w:t>
            </w:r>
          </w:p>
        </w:tc>
        <w:tc>
          <w:tcPr>
            <w:tcW w:w="26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(1,301)</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8</w:t>
            </w: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97"/>
              </w:rPr>
              <w:t>2,217</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47</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(984)</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13</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(2,865)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(443)</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Acquisitions and construction of real estate properties</w:t>
            </w:r>
          </w:p>
        </w:tc>
        <w:tc>
          <w:tcPr>
            <w:tcW w:w="34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(1,311)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Proceeds from sales of businesses and investments</w:t>
            </w:r>
          </w:p>
        </w:tc>
        <w:tc>
          <w:tcPr>
            <w:tcW w:w="34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Return of capital from investees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18</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98</w:t>
            </w:r>
          </w:p>
        </w:tc>
        <w:tc>
          <w:tcPr>
            <w:tcW w:w="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(1,312)</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2,217</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(5,052)</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w w:val="94"/>
              </w:rPr>
              <w:t>Proceeds from (repayments of) short-term borrowings, net</w:t>
            </w:r>
          </w:p>
        </w:tc>
        <w:tc>
          <w:tcPr>
            <w:tcW w:w="34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7"/>
              </w:rPr>
              <w:t>2,933</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Repurchases and repayments of debt</w:t>
            </w:r>
          </w:p>
        </w:tc>
        <w:tc>
          <w:tcPr>
            <w:tcW w:w="34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(2,097)</w:t>
            </w:r>
          </w:p>
        </w:tc>
        <w:tc>
          <w:tcPr>
            <w:tcW w:w="28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retirements of common stock</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(1,000)</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w:t>
            </w:r>
          </w:p>
        </w:tc>
        <w:tc>
          <w:tcPr>
            <w:tcW w:w="34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24</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w w:val="95"/>
              </w:rPr>
              <w:t>Purchase of NBCUniversal noncontrolling common equity</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19"/>
                <w:szCs w:val="19"/>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(7,561)</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(10,761)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7"/>
              </w:rPr>
              <w:t>Distributions to noncontrolling interests and dividends for</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redeemable subsidiary preferred stock</w:t>
            </w:r>
          </w:p>
        </w:tc>
        <w:tc>
          <w:tcPr>
            <w:tcW w:w="34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Settlement of Station Venture liability</w:t>
            </w:r>
          </w:p>
        </w:tc>
        <w:tc>
          <w:tcPr>
            <w:tcW w:w="34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128</w:t>
            </w:r>
          </w:p>
        </w:tc>
        <w:tc>
          <w:tcPr>
            <w:tcW w:w="3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7"/>
              </w:rPr>
              <w:t>1,493</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(2,097)</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(8,355)</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(4,778)</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(4,784)</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5,129</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5,822</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351</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1,038</w:t>
            </w:r>
          </w:p>
        </w:tc>
        <w:tc>
          <w:tcPr>
            <w:tcW w:w="2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1,389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Cable is the nation’s largest provider of video, high-speed Internet and voice services (“cable services”) to residential customers under the XFINITY brand, and we also provide similar and other services to small and medium-sized businesses. As of June 30, 2014, our cable systems served 22.5 million video customers, 21.3 million high-speed Internet customers and 11.0 million voice customers and passed more than 54 million homes and businesses. Our Cable Communications segment generates revenue primarily from subscriptions to our cable services, which we market individually and in packages, and from the sale of advertising. During the six months ended June 30, 2014, our Cable Communications segment generated 64% of our consolidated revenue and 79% of our operating income before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The Cable Networks, Broadcast Television, Filmed Entertainment and Theme Parks segments comprise the NBCUniversal businesses and are collectively referred to as the “NBCUniversal segments.”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which provide a variety of entertainment, news and information, and sports content, our regional sports networks, various international cable networks, and our cable television production operations. Our Cable Networks segment generates revenue primarily from the distribution of our cable network programming to multichannel video providers, from the sale of advertising on our cable networks and related digital media properties, and from the licensing of our owned programming.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and our broadcast television production operations. Our Broadcast Television segment generates revenue primarily from the sale of advertising on our broadcast networks, owned local broadcast television stations and related digital media properties, from the licensing of our owned programming, and from fees received under retransmission consent agreements.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We also develop, produce and license live stage plays. Our Filmed Entertainment segment generates revenue primarily from the worldwide distribution of our owned and acquired films for exhibition in movie theaters, from the licensing of our owned and acquired films through various distribution platforms, and from the sale of our owned and acquired films on standard-definition video discs and Blu-ray discs (together, “DVDs”) and through digital distributors. Our Filmed Entertainment segment also generates revenue from producing and licensing live stage plays, from distributing filmed entertainment produced by third parties, and from various digital media properties.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segment consists primarily of our Universal theme parks in Orlando and Hollywood. Our Theme Parks segment generates revenue primarily from theme park attendance and per capita spending. Per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capita spending includes ticket price and in-park spending on food, beverages and merchandise. We also receive fees from third parties that own and operate Universal Studios Japan and Universal Studios Singapore for intellectual property licenses and other services.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the six months ended June 30, 2014:</w:t>
      </w:r>
    </w:p>
    <w:p>
      <w:pPr>
        <w:spacing w:after="0" w:line="77" w:lineRule="exact"/>
        <w:rPr>
          <w:sz w:val="20"/>
          <w:szCs w:val="20"/>
          <w:color w:val="auto"/>
        </w:rPr>
      </w:pPr>
    </w:p>
    <w:p>
      <w:pPr>
        <w:ind w:left="1020" w:right="124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entry into an agreement with Time Warner Cable Inc. (“Time Warner Cable”) to acquire 100% of Time Warner Cable’s outstanding shares; see “Time Warner Cable Merger” below for additional information</w:t>
      </w:r>
    </w:p>
    <w:p>
      <w:pPr>
        <w:spacing w:after="0" w:line="37"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entry into a transactions agreement with Charter Communications, Inc. (“Charter”) to divest cable systems that would result in a net disposition of approximately 3.9 million video customers; see “Divestiture Transactions” below for additional information</w:t>
      </w:r>
    </w:p>
    <w:p>
      <w:pPr>
        <w:spacing w:after="0" w:line="1" w:lineRule="exact"/>
        <w:rPr>
          <w:rFonts w:ascii="Arial" w:cs="Arial" w:eastAsia="Arial" w:hAnsi="Arial"/>
          <w:sz w:val="16"/>
          <w:szCs w:val="16"/>
          <w:color w:val="auto"/>
        </w:rPr>
      </w:pPr>
    </w:p>
    <w:p>
      <w:pPr>
        <w:ind w:left="1020" w:right="126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agreement of the International Olympic Committee to extend NBCUniversal’s broadcast rights of the Olympic Games from 2022 through 2032 for $7.75 billion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Merger</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12, 2014, we entered into an agreement and plan of merger (the “merger agreement”) with Time Warner Cable. As a result of the merger agreement, we will acquire 100% of Time Warner Cable’s outstanding shares of common stock in exchange for shares of our Class A common stock (the “Time Warner Cable merger”). Time Warner Cable stockholders will receive, in exchange for each share of Time Warner Cable common stock owned immediately prior to the Time Warner Cable merger, 2.875 shares of our Class A common stock. Time Warner Cable stockholders will then own approximately 23% of our common stock, an estimate based on the number of shares outstanding as of the date of the merger agreement. Because the exchange ratio was fixed at the time of the merger agreement and the market value of our Class A common stock will continue to fluctuate, the number of shares of Class A common stock to be issued and the total value of the consideration exchanged will not be determinable until the closing date. Following the close of the Time Warner Cable merger, Time Warner Cable will be our wholly owned subsidiary. The Time Warner Cable merger remains subject to shareholder approval at both companies, regulatory review and other customary conditions. It is reasonably possible that the Time Warner Cable merger will close by the end of 2014.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Transactions</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terms of the merger agreement contemplate that we are prepared to divest systems serving up to approximately 3 million video customers of the combined company to reduce competitive concerns. As a result of this commitment, on April 25, 2014, we entered into a transactions agreement with Charter Communications, Inc. (“Charter”) that, if consummated, would satisfy our divestiture undertaking. Under the transactions agreement, following the close of the Time Warner Cable merger and subject to various conditions, we would divest cable systems resulting in a net disposition of approximately 3.9 million video customers through three transactions: (1) a spin-off of cable systems serving approximately 2.5 million of our video customers (the “spin-off transaction”) into a newly formed public entity (“SpinCo”), (2) an exchange of cable systems serving approximately 1.5 million Time Warner Cable video customers for cable systems serving approximately 1.7 million Charter video customers, and (3) a sale to Charter of cable systems serving approximately 1.5 million Time Warner Cable video customers for cash (collectively, the “divestiture transactions”).</w:t>
      </w:r>
    </w:p>
    <w:p>
      <w:pPr>
        <w:spacing w:after="0" w:line="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spin-off transaction and prior to the spin-off, it is expected that SpinCo will incur new debt to fund a distribution to us in the form of cash and notes, which will enable us to retire a portion of our debt. In the spin-off transaction, we will distribute common stock of SpinCo pro rata to the holders of all of our outstanding common stock, including the former Time Warner Cable stockholders who continue to hold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through the record date of the spin-off transaction. After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New Charter will then acquire an interest in SpinCo by issuing New Charter stock in exchange for a portion of the outstanding SpinCo stock, following which Comcast shareholders, including the former Time Warner Cable stockholders, are expected to own approximately 67% of SpinCo and New Charter is expected to own approximately 33% of SpinCo.</w:t>
      </w:r>
    </w:p>
    <w:p>
      <w:pPr>
        <w:spacing w:after="0" w:line="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close of the divestiture transactions is subject to the completion of the Time Warner Cable merger, Charter stockholder approval, completion of the SpinCo financing transactions, regulatory approvals and other customary conditions. The Time Warner Cable merger and the divestiture transactions are subject to separate conditions, and the Time Warner Cable merger can be completed regardless of whether the divestiture transactions are ultimately completed.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results of operations of our reportable business segments are affected by competition, as all of our businesses operate in competitive, consumer-driven and rapidly changing environments and compete with a growing number of companies that provide a broad range of communications products and services and entertainment, news and information content to consumers. Additionally, there continue to be new companies with significant financial resources that potentially may compete on a larger scale with our cable services, as well as with our cable and broadcast networks and filmed entertainment businesses.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Competition for the cable services we offer consists primarily of direct broadcast satellite (“DBS”) providers, which have a national footprint and compete in all our service areas, and phone companies, which overlap almost 50% of our service areas and are continuing to expand their fiber-based networks. We also compete with other providers of traditional cable services. All of these companies typically offer features, pricing and packaging for services comparable to our cable services.</w:t>
      </w:r>
    </w:p>
    <w:p>
      <w:pPr>
        <w:spacing w:after="0" w:line="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of NBCUniversal’s businesses also faces substantial and increasing competition from providers of similar types of content, as well as from other forms of entertainment and recreational activities. NBCUniversal also must compete to obtain talent, programming and other resources required in operating these businesses.</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Technological changes are further intensifying and complicating the competitive landscape for all of our businesses by challenging existing business models and affecting consumer behavior. Newer services and devices that enable online digital distribution of movies, television shows, and other cable and broadcast video programming continue to gain consumer acceptance and evolve, including some services that charge a nominal or no fee for such programming. These services and devices may potentially negatively affect demand for our video services, as well as demand for our cable network, broadcast television and filmed entertainment content, as the number of entertainment choices available to consumers increases and as video programming is more reliably delivered over the Internet and more easily viewed via the Internet on televisions. Wireless services and devices also continue to evolve that allow consumers to access information, entertainment and communication services, which could negatively impact demand for our cable services, including for our voice services as people substitute mobile phones for landline phones. In addition, delayed viewing and advertising skipping have become more common as the penetration of digital video recorders (“DVRs”) and similar products has increased and as content has become increasingly available via video-on-demand services and Internet sources, which may have a negative impact on our advertising revenue.</w:t>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Cable Communications segment, we believe that adding more content and delivering it on an increasing variety of platforms will assist in attracting and retaining customers for our cable services. We are also launching new technology initiatives, such as our X1 platform, Cloud DVR and deploying new wireless gateway devices, to further enhance our video and high-speed Internet services. In our NBCUniversal segments, to compete for consumers of our content and for customers at our theme parks, we have invested, and will continue to invest, substantial amounts in acquiring content and producing original content for our cable networks and broadcast television networks, including the acquisition of sports rights, and will continue to invest in our film productions and in the development of new theme park attractions.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calendar quarter and an increase in net customer additions in the third and fourth quarters of each year.</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Revenue in our Cable Communications, Cable Networks and Broadcast Television segments is subject to cyclicality, with a benefit in even-numbered years from advertising related to candidates running for political office and issue-oriented advertising. Our Cable Networks and Broadcast Television segments revenue and operating costs and expenses are also cyclical as a result of our periodic broadcasts of the Olympic Games and the Super Bowl. Our advertising revenue generally increases in the period of these broadcasts from increased demand for advertising time, and our operating costs and expenses also increase as a result of our production costs and the amortization of the related rights fees.</w:t>
      </w:r>
    </w:p>
    <w:p>
      <w:pPr>
        <w:spacing w:after="0" w:line="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in our Filmed Entertainment segment fluctuates due to the timing of the release of films in movie theaters and the release of our films on DVD and through digital distributors. Release dates are determined by several factors, including competition and the timing of vacation and holiday periods. As a result, revenue tends to be seasonal, with increases experienced each year during the summer months and around the holidays. Revenue in our Cable Networks and Broadcast Television segments fluctuates depending on the timing of when our programming is aired on television, which typically results in higher advertising revenue in the second and fourth calendar quarter of each year. Revenue in our Cable Networks, Broadcast Television and Filmed Entertainment segments also fluctuates due to the timing of when our owned content is made available to licensees.</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local entertainment offerings and seasonal weather variations. Our theme parks generally experience peak attendance during the summer months when schools are closed and during early winter and spring holiday periods.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3"/>
          </w:tcPr>
          <w:p>
            <w:pPr>
              <w:jc w:val="right"/>
              <w:ind w:right="254"/>
              <w:spacing w:after="0"/>
              <w:rPr>
                <w:sz w:val="20"/>
                <w:szCs w:val="20"/>
                <w:color w:val="auto"/>
              </w:rPr>
            </w:pPr>
            <w:r>
              <w:rPr>
                <w:rFonts w:ascii="Arial" w:cs="Arial" w:eastAsia="Arial" w:hAnsi="Arial"/>
                <w:sz w:val="14"/>
                <w:szCs w:val="14"/>
                <w:color w:val="auto"/>
                <w:w w:val="91"/>
              </w:rPr>
              <w:t>Three Months Ended</w:t>
            </w:r>
          </w:p>
        </w:tc>
        <w:tc>
          <w:tcPr>
            <w:tcW w:w="1020" w:type="dxa"/>
            <w:vAlign w:val="bottom"/>
          </w:tcPr>
          <w:p>
            <w:pPr>
              <w:jc w:val="right"/>
              <w:ind w:right="275"/>
              <w:spacing w:after="0"/>
              <w:rPr>
                <w:sz w:val="20"/>
                <w:szCs w:val="20"/>
                <w:color w:val="auto"/>
              </w:rPr>
            </w:pPr>
            <w:r>
              <w:rPr>
                <w:rFonts w:ascii="Arial" w:cs="Arial" w:eastAsia="Arial" w:hAnsi="Arial"/>
                <w:sz w:val="14"/>
                <w:szCs w:val="14"/>
                <w:color w:val="auto"/>
              </w:rPr>
              <w:t>Increase/</w:t>
            </w:r>
          </w:p>
        </w:tc>
        <w:tc>
          <w:tcPr>
            <w:tcW w:w="220" w:type="dxa"/>
            <w:vAlign w:val="bottom"/>
          </w:tcPr>
          <w:p>
            <w:pPr>
              <w:spacing w:after="0"/>
              <w:rPr>
                <w:sz w:val="14"/>
                <w:szCs w:val="14"/>
                <w:color w:val="auto"/>
              </w:rPr>
            </w:pPr>
          </w:p>
        </w:tc>
        <w:tc>
          <w:tcPr>
            <w:tcW w:w="1580" w:type="dxa"/>
            <w:vAlign w:val="bottom"/>
            <w:gridSpan w:val="3"/>
          </w:tcPr>
          <w:p>
            <w:pPr>
              <w:jc w:val="right"/>
              <w:ind w:right="334"/>
              <w:spacing w:after="0"/>
              <w:rPr>
                <w:sz w:val="20"/>
                <w:szCs w:val="20"/>
                <w:color w:val="auto"/>
              </w:rPr>
            </w:pPr>
            <w:r>
              <w:rPr>
                <w:rFonts w:ascii="Arial" w:cs="Arial" w:eastAsia="Arial" w:hAnsi="Arial"/>
                <w:sz w:val="14"/>
                <w:szCs w:val="14"/>
                <w:color w:val="auto"/>
              </w:rPr>
              <w:t>Six Months Ended</w:t>
            </w:r>
          </w:p>
        </w:tc>
        <w:tc>
          <w:tcPr>
            <w:tcW w:w="94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15"/>
              <w:spacing w:after="0" w:line="159" w:lineRule="exact"/>
              <w:rPr>
                <w:sz w:val="20"/>
                <w:szCs w:val="20"/>
                <w:color w:val="auto"/>
              </w:rPr>
            </w:pPr>
            <w:r>
              <w:rPr>
                <w:rFonts w:ascii="Arial" w:cs="Arial" w:eastAsia="Arial" w:hAnsi="Arial"/>
                <w:sz w:val="14"/>
                <w:szCs w:val="14"/>
                <w:color w:val="auto"/>
              </w:rPr>
              <w:t>(Decrease)</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w w:val="98"/>
              </w:rPr>
              <w:t>(Decrease)</w:t>
            </w:r>
          </w:p>
        </w:tc>
      </w:tr>
      <w:tr>
        <w:trPr>
          <w:trHeight w:val="237"/>
        </w:trPr>
        <w:tc>
          <w:tcPr>
            <w:tcW w:w="57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660" w:type="dxa"/>
            <w:vAlign w:val="bottom"/>
          </w:tcPr>
          <w:p>
            <w:pPr>
              <w:jc w:val="right"/>
              <w:ind w:right="256"/>
              <w:spacing w:after="0"/>
              <w:rPr>
                <w:sz w:val="20"/>
                <w:szCs w:val="20"/>
                <w:color w:val="auto"/>
              </w:rPr>
            </w:pPr>
            <w:r>
              <w:rPr>
                <w:rFonts w:ascii="Arial" w:cs="Arial" w:eastAsia="Arial" w:hAnsi="Arial"/>
                <w:sz w:val="14"/>
                <w:szCs w:val="14"/>
                <w:color w:val="auto"/>
                <w:w w:val="96"/>
              </w:rPr>
              <w:t>2014</w:t>
            </w:r>
          </w:p>
        </w:tc>
        <w:tc>
          <w:tcPr>
            <w:tcW w:w="220" w:type="dxa"/>
            <w:vAlign w:val="bottom"/>
          </w:tcPr>
          <w:p>
            <w:pPr>
              <w:spacing w:after="0"/>
              <w:rPr>
                <w:sz w:val="20"/>
                <w:szCs w:val="20"/>
                <w:color w:val="auto"/>
              </w:rPr>
            </w:pPr>
          </w:p>
        </w:tc>
        <w:tc>
          <w:tcPr>
            <w:tcW w:w="680" w:type="dxa"/>
            <w:vAlign w:val="bottom"/>
          </w:tcPr>
          <w:p>
            <w:pPr>
              <w:jc w:val="right"/>
              <w:ind w:right="254"/>
              <w:spacing w:after="0"/>
              <w:rPr>
                <w:sz w:val="20"/>
                <w:szCs w:val="20"/>
                <w:color w:val="auto"/>
              </w:rPr>
            </w:pPr>
            <w:r>
              <w:rPr>
                <w:rFonts w:ascii="Arial" w:cs="Arial" w:eastAsia="Arial" w:hAnsi="Arial"/>
                <w:sz w:val="14"/>
                <w:szCs w:val="14"/>
                <w:color w:val="auto"/>
              </w:rPr>
              <w:t>2013</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56"/>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20"/>
                <w:szCs w:val="20"/>
                <w:color w:val="auto"/>
              </w:rPr>
            </w:pPr>
          </w:p>
        </w:tc>
        <w:tc>
          <w:tcPr>
            <w:tcW w:w="680" w:type="dxa"/>
            <w:vAlign w:val="bottom"/>
          </w:tcPr>
          <w:p>
            <w:pPr>
              <w:jc w:val="right"/>
              <w:ind w:right="254"/>
              <w:spacing w:after="0"/>
              <w:rPr>
                <w:sz w:val="20"/>
                <w:szCs w:val="20"/>
                <w:color w:val="auto"/>
              </w:rPr>
            </w:pPr>
            <w:r>
              <w:rPr>
                <w:rFonts w:ascii="Arial" w:cs="Arial" w:eastAsia="Arial" w:hAnsi="Arial"/>
                <w:sz w:val="14"/>
                <w:szCs w:val="14"/>
                <w:color w:val="auto"/>
              </w:rPr>
              <w:t>2013</w:t>
            </w:r>
          </w:p>
        </w:tc>
        <w:tc>
          <w:tcPr>
            <w:tcW w:w="9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83"/>
              </w:rPr>
              <w:t>16,844</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87"/>
              </w:rPr>
              <w:t>16,270</w:t>
            </w:r>
          </w:p>
        </w:tc>
        <w:tc>
          <w:tcPr>
            <w:tcW w:w="1020" w:type="dxa"/>
            <w:vAlign w:val="bottom"/>
            <w:tcBorders>
              <w:top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87"/>
              </w:rPr>
              <w:t>34,252</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83"/>
              </w:rPr>
              <w:t>31,580</w:t>
            </w:r>
          </w:p>
        </w:tc>
        <w:tc>
          <w:tcPr>
            <w:tcW w:w="9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4,874</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4,968</w:t>
            </w:r>
          </w:p>
        </w:tc>
        <w:tc>
          <w:tcPr>
            <w:tcW w:w="10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(1.9)</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w w:val="87"/>
              </w:rPr>
              <w:t>10,782</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9,631</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0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4,924</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4,570</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9,676</w:t>
            </w:r>
          </w:p>
        </w:tc>
        <w:tc>
          <w:tcPr>
            <w:tcW w:w="22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9,036</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56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1,242</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1,307</w:t>
            </w:r>
          </w:p>
        </w:tc>
        <w:tc>
          <w:tcPr>
            <w:tcW w:w="10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(5.0)</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2,452</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2,454</w:t>
            </w:r>
          </w:p>
        </w:tc>
        <w:tc>
          <w:tcPr>
            <w:tcW w:w="94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1,599</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1,583</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3,168</w:t>
            </w:r>
          </w:p>
        </w:tc>
        <w:tc>
          <w:tcPr>
            <w:tcW w:w="22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3,149</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401</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407</w:t>
            </w:r>
          </w:p>
        </w:tc>
        <w:tc>
          <w:tcPr>
            <w:tcW w:w="10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802</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808</w:t>
            </w:r>
          </w:p>
        </w:tc>
        <w:tc>
          <w:tcPr>
            <w:tcW w:w="9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(0.7)</w:t>
            </w: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3,804</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3,435</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7,372</w:t>
            </w:r>
          </w:p>
        </w:tc>
        <w:tc>
          <w:tcPr>
            <w:tcW w:w="22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6,502</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4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(643)</w:t>
            </w:r>
          </w:p>
        </w:tc>
        <w:tc>
          <w:tcPr>
            <w:tcW w:w="10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w w:val="94"/>
              </w:rPr>
              <w:t>(1,057)</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91"/>
              </w:rPr>
              <w:t>(1,140)</w:t>
            </w:r>
          </w:p>
        </w:tc>
        <w:tc>
          <w:tcPr>
            <w:tcW w:w="9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(7.3)</w:t>
            </w: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3,259</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2,792</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6,315</w:t>
            </w:r>
          </w:p>
        </w:tc>
        <w:tc>
          <w:tcPr>
            <w:tcW w:w="22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5,362</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17.8</w:t>
            </w:r>
          </w:p>
        </w:tc>
      </w:tr>
      <w:tr>
        <w:trPr>
          <w:trHeight w:val="216"/>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w w:val="91"/>
              </w:rPr>
              <w:t>(1,234)</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94"/>
              </w:rPr>
              <w:t>(1,048)</w:t>
            </w:r>
          </w:p>
        </w:tc>
        <w:tc>
          <w:tcPr>
            <w:tcW w:w="10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w w:val="94"/>
              </w:rPr>
              <w:t>(2,352)</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91"/>
              </w:rPr>
              <w:t>(1,973)</w:t>
            </w:r>
          </w:p>
        </w:tc>
        <w:tc>
          <w:tcPr>
            <w:tcW w:w="9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19.2</w:t>
            </w: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1,744</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3,963</w:t>
            </w:r>
          </w:p>
        </w:tc>
        <w:tc>
          <w:tcPr>
            <w:tcW w:w="22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3,389</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17.0</w:t>
            </w:r>
          </w:p>
        </w:tc>
      </w:tr>
      <w:tr>
        <w:trPr>
          <w:trHeight w:val="208"/>
        </w:trPr>
        <w:tc>
          <w:tcPr>
            <w:tcW w:w="20" w:type="dxa"/>
            <w:vAlign w:val="bottom"/>
          </w:tcPr>
          <w:p>
            <w:pPr>
              <w:spacing w:after="0"/>
              <w:rPr>
                <w:sz w:val="18"/>
                <w:szCs w:val="18"/>
                <w:color w:val="auto"/>
              </w:rPr>
            </w:pPr>
          </w:p>
        </w:tc>
        <w:tc>
          <w:tcPr>
            <w:tcW w:w="5680" w:type="dxa"/>
            <w:vAlign w:val="bottom"/>
            <w:shd w:val="clear" w:color="auto" w:fill="E5E5E5"/>
          </w:tcPr>
          <w:p>
            <w:pPr>
              <w:spacing w:after="0"/>
              <w:rPr>
                <w:sz w:val="20"/>
                <w:szCs w:val="20"/>
                <w:color w:val="auto"/>
              </w:rPr>
            </w:pPr>
            <w:r>
              <w:rPr>
                <w:rFonts w:ascii="Arial" w:cs="Arial" w:eastAsia="Arial" w:hAnsi="Arial"/>
                <w:sz w:val="18"/>
                <w:szCs w:val="18"/>
                <w:color w:val="auto"/>
                <w:w w:val="97"/>
              </w:rPr>
              <w:t>Net (income) loss attributable to noncontrolling interests and redeemable</w:t>
            </w: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6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40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261.0</w:t>
            </w:r>
          </w:p>
        </w:tc>
        <w:tc>
          <w:tcPr>
            <w:tcW w:w="2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(218)</w:t>
            </w:r>
          </w:p>
        </w:tc>
        <w:tc>
          <w:tcPr>
            <w:tcW w:w="9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(53.9)</w:t>
            </w:r>
          </w:p>
        </w:tc>
      </w:tr>
      <w:tr>
        <w:trPr>
          <w:trHeight w:val="219"/>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1,992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1,734</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3,863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3,171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Cable Communications, Cable Networks, Broadcast Television and Theme Parks segments as well as our other businesses accounted for the increase in consolidated revenue for the three and six months ended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June 30, 2014. Excluding $1.1 billion of revenue associated with the broadcast of the 2014 Sochi Olympics in February 2014, consolidated revenue increased 5.0% for the six months ended June 30, 2014. Revenue for our Cable Communications and NBCUniversal segments is discussed separately below under the heading “Segment Operating Results.” Revenue for our other businesses is discussed separately below under the heading “Corporate and Other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74"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Our Cable Communications, Cable Networks, Broadcast Television and Theme Parks segments accounted for substantially all of the increase in consolidated costs and expenses, excluding depreciation and amortization (“operating costs and expenses”) for the three and six months ended June 30, 2014. Operating costs and expenses for our Cable Communications and NBCUniversal segments are discussed separately below under the heading “Segment Operating Results.”</w:t>
      </w:r>
    </w:p>
    <w:p>
      <w:pPr>
        <w:spacing w:after="0" w:line="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Corporate and Other operating costs and expenses includes transaction-related costs associated with the Time Warner Cable merger and the divestiture transactions of $44 million and $61 million for the three and six months ended June 30, 2014, respectively. Operating costs and expenses for our corporate and other businesses are discussed separately below under the heading “Corporate and Other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Consolidated depreciation and amortization remained flat for the three and six months ended June 30, 2014 compared to the same periods in 2013.</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of America (“GAAP”), in the business segment footnote to our condensed consolidated financial statements (see Note 12 to Comcast’s condensed consolidated financial statements and Note 10 to NBCUniversal’s condensed consolidated financial statements). This measure should not be considered a substitute for operating income (loss), net income (loss) attributable to Comcast Corporation or NBCUniversal, net cash provided by operating activities, or other measures of performance or liquidity we have reported in accordance with GAAP.</w:t>
      </w:r>
    </w:p>
    <w:p>
      <w:pPr>
        <w:spacing w:after="0" w:line="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2014, Fandango, our movie ticketing and entertainment business that was previously presented in our Cable Networks segment, is now presented in the Filmed Entertainment segment to reflect the change in our management reporting presentation. Due to immateriality, prior period amounts have not been adjusted.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3"/>
          </w:tcPr>
          <w:p>
            <w:pPr>
              <w:jc w:val="center"/>
              <w:ind w:right="193"/>
              <w:spacing w:after="0"/>
              <w:rPr>
                <w:sz w:val="20"/>
                <w:szCs w:val="20"/>
                <w:color w:val="auto"/>
              </w:rPr>
            </w:pPr>
            <w:r>
              <w:rPr>
                <w:rFonts w:ascii="Arial" w:cs="Arial" w:eastAsia="Arial" w:hAnsi="Arial"/>
                <w:sz w:val="14"/>
                <w:szCs w:val="14"/>
                <w:color w:val="auto"/>
                <w:w w:val="88"/>
              </w:rPr>
              <w:t>Three Months Ended</w:t>
            </w:r>
          </w:p>
        </w:tc>
        <w:tc>
          <w:tcPr>
            <w:tcW w:w="420" w:type="dxa"/>
            <w:vAlign w:val="bottom"/>
          </w:tcPr>
          <w:p>
            <w:pPr>
              <w:spacing w:after="0"/>
              <w:rPr>
                <w:sz w:val="14"/>
                <w:szCs w:val="14"/>
                <w:color w:val="auto"/>
              </w:rPr>
            </w:pPr>
          </w:p>
        </w:tc>
        <w:tc>
          <w:tcPr>
            <w:tcW w:w="1180" w:type="dxa"/>
            <w:vAlign w:val="bottom"/>
            <w:gridSpan w:val="2"/>
          </w:tcPr>
          <w:p>
            <w:pPr>
              <w:jc w:val="right"/>
              <w:ind w:right="413"/>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6"/>
              <w:spacing w:after="0" w:line="159" w:lineRule="exact"/>
              <w:rPr>
                <w:sz w:val="20"/>
                <w:szCs w:val="20"/>
                <w:color w:val="auto"/>
              </w:rPr>
            </w:pPr>
            <w:r>
              <w:rPr>
                <w:rFonts w:ascii="Arial" w:cs="Arial" w:eastAsia="Arial" w:hAnsi="Arial"/>
                <w:sz w:val="14"/>
                <w:szCs w:val="14"/>
                <w:color w:val="auto"/>
                <w:w w:val="80"/>
              </w:rPr>
              <w:t>June 30</w:t>
            </w: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373"/>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gridSpan w:val="2"/>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96"/>
              </w:rPr>
              <w:t>2014</w:t>
            </w: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5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Residential:</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5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5,239</w:t>
            </w:r>
          </w:p>
        </w:tc>
        <w:tc>
          <w:tcPr>
            <w:tcW w:w="580" w:type="dxa"/>
            <w:vAlign w:val="bottom"/>
            <w:shd w:val="clear" w:color="auto" w:fill="E5E5E5"/>
          </w:tcPr>
          <w:p>
            <w:pPr>
              <w:ind w:left="50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5,175</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64</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540" w:type="dxa"/>
            <w:vAlign w:val="bottom"/>
            <w:gridSpan w:val="2"/>
          </w:tcPr>
          <w:p>
            <w:pPr>
              <w:ind w:left="880"/>
              <w:spacing w:after="0"/>
              <w:rPr>
                <w:sz w:val="20"/>
                <w:szCs w:val="20"/>
                <w:color w:val="auto"/>
              </w:rPr>
            </w:pPr>
            <w:r>
              <w:rPr>
                <w:rFonts w:ascii="Arial" w:cs="Arial" w:eastAsia="Arial" w:hAnsi="Arial"/>
                <w:sz w:val="18"/>
                <w:szCs w:val="18"/>
                <w:color w:val="auto"/>
              </w:rPr>
              <w:t>High-speed Internet</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2,819</w:t>
            </w:r>
          </w:p>
        </w:tc>
        <w:tc>
          <w:tcPr>
            <w:tcW w:w="58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2,569</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w w:val="86"/>
              </w:rPr>
              <w:t>250</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922</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910</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12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Business services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965</w:t>
            </w:r>
          </w:p>
        </w:tc>
        <w:tc>
          <w:tcPr>
            <w:tcW w:w="58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788</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w w:val="86"/>
              </w:rPr>
              <w:t>177</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w w:val="91"/>
              </w:rPr>
              <w:t>22.4</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599</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558</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41</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467</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18</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75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83"/>
              </w:rPr>
              <w:t>11,029</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w w:val="87"/>
              </w:rPr>
              <w:t>10,467</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b w:val="1"/>
                <w:bCs w:val="1"/>
                <w:color w:val="auto"/>
                <w:w w:val="86"/>
              </w:rPr>
              <w:t>562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2,433</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2,280</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w w:val="86"/>
              </w:rPr>
              <w:t>153</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Technical and product support</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1,365</w:t>
            </w:r>
          </w:p>
        </w:tc>
        <w:tc>
          <w:tcPr>
            <w:tcW w:w="58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1,330</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rPr>
              <w:t>35</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544</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517</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27</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Franchise and other regulatory fees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58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rPr>
              <w:t>14</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781</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724</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57</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970</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47</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6,465</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6,132</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w w:val="86"/>
              </w:rPr>
              <w:t>333</w:t>
            </w:r>
          </w:p>
        </w:tc>
        <w:tc>
          <w:tcPr>
            <w:tcW w:w="5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4,564</w:t>
            </w:r>
          </w:p>
        </w:tc>
        <w:tc>
          <w:tcPr>
            <w:tcW w:w="580" w:type="dxa"/>
            <w:vAlign w:val="bottom"/>
            <w:tcBorders>
              <w:bottom w:val="single" w:sz="8" w:color="auto"/>
            </w:tcBorders>
          </w:tcPr>
          <w:p>
            <w:pPr>
              <w:ind w:left="50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4,335</w:t>
            </w:r>
          </w:p>
        </w:tc>
        <w:tc>
          <w:tcPr>
            <w:tcW w:w="104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8"/>
                <w:szCs w:val="18"/>
                <w:b w:val="1"/>
                <w:bCs w:val="1"/>
                <w:color w:val="auto"/>
              </w:rPr>
              <w:t>$229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73"/>
        </w:trPr>
        <w:tc>
          <w:tcPr>
            <w:tcW w:w="7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60" w:type="dxa"/>
            <w:vAlign w:val="bottom"/>
            <w:gridSpan w:val="3"/>
          </w:tcPr>
          <w:p>
            <w:pPr>
              <w:jc w:val="center"/>
              <w:ind w:right="473"/>
              <w:spacing w:after="0"/>
              <w:rPr>
                <w:sz w:val="20"/>
                <w:szCs w:val="20"/>
                <w:color w:val="auto"/>
              </w:rPr>
            </w:pPr>
            <w:r>
              <w:rPr>
                <w:rFonts w:ascii="Arial" w:cs="Arial" w:eastAsia="Arial" w:hAnsi="Arial"/>
                <w:sz w:val="14"/>
                <w:szCs w:val="14"/>
                <w:color w:val="auto"/>
                <w:w w:val="87"/>
              </w:rPr>
              <w:t>Six Months Ended</w:t>
            </w:r>
          </w:p>
        </w:tc>
        <w:tc>
          <w:tcPr>
            <w:tcW w:w="4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Increase/</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7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left="56"/>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433"/>
              <w:spacing w:after="0" w:line="159" w:lineRule="exact"/>
              <w:rPr>
                <w:sz w:val="20"/>
                <w:szCs w:val="20"/>
                <w:color w:val="auto"/>
              </w:rPr>
            </w:pPr>
            <w:r>
              <w:rPr>
                <w:rFonts w:ascii="Arial" w:cs="Arial" w:eastAsia="Arial" w:hAnsi="Arial"/>
                <w:sz w:val="14"/>
                <w:szCs w:val="14"/>
                <w:color w:val="auto"/>
                <w:w w:val="92"/>
              </w:rPr>
              <w:t>(Decrease)</w:t>
            </w:r>
          </w:p>
        </w:tc>
        <w:tc>
          <w:tcPr>
            <w:tcW w:w="0" w:type="dxa"/>
            <w:vAlign w:val="bottom"/>
          </w:tcPr>
          <w:p>
            <w:pPr>
              <w:spacing w:after="0"/>
              <w:rPr>
                <w:sz w:val="1"/>
                <w:szCs w:val="1"/>
                <w:color w:val="auto"/>
              </w:rPr>
            </w:pPr>
          </w:p>
        </w:tc>
      </w:tr>
      <w:tr>
        <w:trPr>
          <w:trHeight w:val="142"/>
        </w:trPr>
        <w:tc>
          <w:tcPr>
            <w:tcW w:w="7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ind w:left="440"/>
              <w:spacing w:after="0" w:line="142" w:lineRule="exact"/>
              <w:rPr>
                <w:sz w:val="20"/>
                <w:szCs w:val="20"/>
                <w:color w:val="auto"/>
              </w:rPr>
            </w:pPr>
            <w:r>
              <w:rPr>
                <w:rFonts w:ascii="Arial" w:cs="Arial" w:eastAsia="Arial" w:hAnsi="Arial"/>
                <w:sz w:val="14"/>
                <w:szCs w:val="14"/>
                <w:color w:val="auto"/>
              </w:rPr>
              <w:t>2014</w:t>
            </w:r>
          </w:p>
        </w:tc>
        <w:tc>
          <w:tcPr>
            <w:tcW w:w="1260" w:type="dxa"/>
            <w:vAlign w:val="bottom"/>
            <w:tcBorders>
              <w:bottom w:val="single" w:sz="8" w:color="auto"/>
            </w:tcBorders>
            <w:gridSpan w:val="2"/>
          </w:tcPr>
          <w:p>
            <w:pPr>
              <w:ind w:left="520"/>
              <w:spacing w:after="0" w:line="142" w:lineRule="exact"/>
              <w:rPr>
                <w:sz w:val="20"/>
                <w:szCs w:val="20"/>
                <w:color w:val="auto"/>
              </w:rPr>
            </w:pPr>
            <w:r>
              <w:rPr>
                <w:rFonts w:ascii="Arial" w:cs="Arial" w:eastAsia="Arial" w:hAnsi="Arial"/>
                <w:sz w:val="14"/>
                <w:szCs w:val="14"/>
                <w:color w:val="auto"/>
              </w:rPr>
              <w:t>2013</w:t>
            </w:r>
          </w:p>
        </w:tc>
        <w:tc>
          <w:tcPr>
            <w:tcW w:w="1040" w:type="dxa"/>
            <w:vAlign w:val="bottom"/>
            <w:tcBorders>
              <w:bottom w:val="single" w:sz="8" w:color="auto"/>
            </w:tcBorders>
            <w:gridSpan w:val="2"/>
          </w:tcPr>
          <w:p>
            <w:pPr>
              <w:jc w:val="right"/>
              <w:ind w:right="475"/>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5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Residential:</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1020" w:type="dxa"/>
            <w:vAlign w:val="bottom"/>
            <w:gridSpan w:val="2"/>
            <w:shd w:val="clear" w:color="auto" w:fill="E5E5E5"/>
          </w:tcPr>
          <w:p>
            <w:pPr>
              <w:jc w:val="right"/>
              <w:ind w:right="76"/>
              <w:spacing w:after="0"/>
              <w:rPr>
                <w:sz w:val="20"/>
                <w:szCs w:val="20"/>
                <w:color w:val="auto"/>
              </w:rPr>
            </w:pPr>
            <w:r>
              <w:rPr>
                <w:rFonts w:ascii="Arial" w:cs="Arial" w:eastAsia="Arial" w:hAnsi="Arial"/>
                <w:sz w:val="18"/>
                <w:szCs w:val="18"/>
                <w:color w:val="auto"/>
              </w:rPr>
              <w:t>$10,417</w:t>
            </w:r>
          </w:p>
        </w:tc>
        <w:tc>
          <w:tcPr>
            <w:tcW w:w="126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$10,288</w:t>
            </w:r>
          </w:p>
        </w:tc>
        <w:tc>
          <w:tcPr>
            <w:tcW w:w="4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w w:val="86"/>
              </w:rPr>
              <w:t>129</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540" w:type="dxa"/>
            <w:vAlign w:val="bottom"/>
            <w:gridSpan w:val="2"/>
          </w:tcPr>
          <w:p>
            <w:pPr>
              <w:ind w:left="880"/>
              <w:spacing w:after="0"/>
              <w:rPr>
                <w:sz w:val="20"/>
                <w:szCs w:val="20"/>
                <w:color w:val="auto"/>
              </w:rPr>
            </w:pPr>
            <w:r>
              <w:rPr>
                <w:rFonts w:ascii="Arial" w:cs="Arial" w:eastAsia="Arial" w:hAnsi="Arial"/>
                <w:sz w:val="18"/>
                <w:szCs w:val="18"/>
                <w:color w:val="auto"/>
              </w:rPr>
              <w:t>High-speed Internet</w:t>
            </w:r>
          </w:p>
        </w:tc>
        <w:tc>
          <w:tcPr>
            <w:tcW w:w="1020" w:type="dxa"/>
            <w:vAlign w:val="bottom"/>
            <w:gridSpan w:val="2"/>
          </w:tcPr>
          <w:p>
            <w:pPr>
              <w:jc w:val="right"/>
              <w:ind w:right="76"/>
              <w:spacing w:after="0"/>
              <w:rPr>
                <w:sz w:val="20"/>
                <w:szCs w:val="20"/>
                <w:color w:val="auto"/>
              </w:rPr>
            </w:pPr>
            <w:r>
              <w:rPr>
                <w:rFonts w:ascii="Arial" w:cs="Arial" w:eastAsia="Arial" w:hAnsi="Arial"/>
                <w:sz w:val="18"/>
                <w:szCs w:val="18"/>
                <w:color w:val="auto"/>
              </w:rPr>
              <w:t>5,569</w:t>
            </w:r>
          </w:p>
        </w:tc>
        <w:tc>
          <w:tcPr>
            <w:tcW w:w="1260" w:type="dxa"/>
            <w:vAlign w:val="bottom"/>
            <w:gridSpan w:val="2"/>
          </w:tcPr>
          <w:p>
            <w:pPr>
              <w:jc w:val="right"/>
              <w:ind w:right="233"/>
              <w:spacing w:after="0"/>
              <w:rPr>
                <w:sz w:val="20"/>
                <w:szCs w:val="20"/>
                <w:color w:val="auto"/>
              </w:rPr>
            </w:pPr>
            <w:r>
              <w:rPr>
                <w:rFonts w:ascii="Arial" w:cs="Arial" w:eastAsia="Arial" w:hAnsi="Arial"/>
                <w:sz w:val="18"/>
                <w:szCs w:val="18"/>
                <w:color w:val="auto"/>
              </w:rPr>
              <w:t>5,092</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w w:val="86"/>
              </w:rPr>
              <w:t>477</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1020" w:type="dxa"/>
            <w:vAlign w:val="bottom"/>
            <w:gridSpan w:val="2"/>
            <w:shd w:val="clear" w:color="auto" w:fill="E5E5E5"/>
          </w:tcPr>
          <w:p>
            <w:pPr>
              <w:jc w:val="right"/>
              <w:ind w:right="76"/>
              <w:spacing w:after="0"/>
              <w:rPr>
                <w:sz w:val="20"/>
                <w:szCs w:val="20"/>
                <w:color w:val="auto"/>
              </w:rPr>
            </w:pPr>
            <w:r>
              <w:rPr>
                <w:rFonts w:ascii="Arial" w:cs="Arial" w:eastAsia="Arial" w:hAnsi="Arial"/>
                <w:sz w:val="18"/>
                <w:szCs w:val="18"/>
                <w:color w:val="auto"/>
              </w:rPr>
              <w:t>1,842</w:t>
            </w:r>
          </w:p>
        </w:tc>
        <w:tc>
          <w:tcPr>
            <w:tcW w:w="126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1,810</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32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Business services</w:t>
            </w:r>
          </w:p>
        </w:tc>
        <w:tc>
          <w:tcPr>
            <w:tcW w:w="1020" w:type="dxa"/>
            <w:vAlign w:val="bottom"/>
            <w:gridSpan w:val="2"/>
          </w:tcPr>
          <w:p>
            <w:pPr>
              <w:jc w:val="right"/>
              <w:ind w:right="76"/>
              <w:spacing w:after="0"/>
              <w:rPr>
                <w:sz w:val="20"/>
                <w:szCs w:val="20"/>
                <w:color w:val="auto"/>
              </w:rPr>
            </w:pPr>
            <w:r>
              <w:rPr>
                <w:rFonts w:ascii="Arial" w:cs="Arial" w:eastAsia="Arial" w:hAnsi="Arial"/>
                <w:sz w:val="18"/>
                <w:szCs w:val="18"/>
                <w:color w:val="auto"/>
              </w:rPr>
              <w:t>1,882</w:t>
            </w:r>
          </w:p>
        </w:tc>
        <w:tc>
          <w:tcPr>
            <w:tcW w:w="1260" w:type="dxa"/>
            <w:vAlign w:val="bottom"/>
            <w:gridSpan w:val="2"/>
          </w:tcPr>
          <w:p>
            <w:pPr>
              <w:jc w:val="right"/>
              <w:ind w:right="233"/>
              <w:spacing w:after="0"/>
              <w:rPr>
                <w:sz w:val="20"/>
                <w:szCs w:val="20"/>
                <w:color w:val="auto"/>
              </w:rPr>
            </w:pPr>
            <w:r>
              <w:rPr>
                <w:rFonts w:ascii="Arial" w:cs="Arial" w:eastAsia="Arial" w:hAnsi="Arial"/>
                <w:sz w:val="18"/>
                <w:szCs w:val="18"/>
                <w:color w:val="auto"/>
              </w:rPr>
              <w:t>1,529</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w w:val="86"/>
              </w:rPr>
              <w:t>353</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w w:val="91"/>
              </w:rPr>
              <w:t>23.1</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1020" w:type="dxa"/>
            <w:vAlign w:val="bottom"/>
            <w:gridSpan w:val="2"/>
            <w:shd w:val="clear" w:color="auto" w:fill="E5E5E5"/>
          </w:tcPr>
          <w:p>
            <w:pPr>
              <w:jc w:val="right"/>
              <w:ind w:right="76"/>
              <w:spacing w:after="0"/>
              <w:rPr>
                <w:sz w:val="20"/>
                <w:szCs w:val="20"/>
                <w:color w:val="auto"/>
              </w:rPr>
            </w:pPr>
            <w:r>
              <w:rPr>
                <w:rFonts w:ascii="Arial" w:cs="Arial" w:eastAsia="Arial" w:hAnsi="Arial"/>
                <w:sz w:val="18"/>
                <w:szCs w:val="18"/>
                <w:color w:val="auto"/>
              </w:rPr>
              <w:t>1,118</w:t>
            </w:r>
          </w:p>
        </w:tc>
        <w:tc>
          <w:tcPr>
            <w:tcW w:w="126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1,046</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72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958</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919</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39</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75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020" w:type="dxa"/>
            <w:vAlign w:val="bottom"/>
            <w:gridSpan w:val="2"/>
            <w:shd w:val="clear" w:color="auto" w:fill="E5E5E5"/>
          </w:tcPr>
          <w:p>
            <w:pPr>
              <w:jc w:val="right"/>
              <w:ind w:right="76"/>
              <w:spacing w:after="0"/>
              <w:rPr>
                <w:sz w:val="20"/>
                <w:szCs w:val="20"/>
                <w:color w:val="auto"/>
              </w:rPr>
            </w:pPr>
            <w:r>
              <w:rPr>
                <w:rFonts w:ascii="Arial" w:cs="Arial" w:eastAsia="Arial" w:hAnsi="Arial"/>
                <w:sz w:val="18"/>
                <w:szCs w:val="18"/>
                <w:b w:val="1"/>
                <w:bCs w:val="1"/>
                <w:color w:val="auto"/>
              </w:rPr>
              <w:t>21,786</w:t>
            </w:r>
          </w:p>
        </w:tc>
        <w:tc>
          <w:tcPr>
            <w:tcW w:w="126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20,684</w:t>
            </w:r>
          </w:p>
        </w:tc>
        <w:tc>
          <w:tcPr>
            <w:tcW w:w="1040" w:type="dxa"/>
            <w:vAlign w:val="bottom"/>
            <w:gridSpan w:val="2"/>
            <w:shd w:val="clear" w:color="auto" w:fill="E5E5E5"/>
          </w:tcPr>
          <w:p>
            <w:pPr>
              <w:jc w:val="right"/>
              <w:ind w:right="255"/>
              <w:spacing w:after="0"/>
              <w:rPr>
                <w:sz w:val="20"/>
                <w:szCs w:val="20"/>
                <w:color w:val="auto"/>
              </w:rPr>
            </w:pPr>
            <w:r>
              <w:rPr>
                <w:rFonts w:ascii="Arial" w:cs="Arial" w:eastAsia="Arial" w:hAnsi="Arial"/>
                <w:sz w:val="18"/>
                <w:szCs w:val="18"/>
                <w:b w:val="1"/>
                <w:bCs w:val="1"/>
                <w:color w:val="auto"/>
              </w:rPr>
              <w:t>1,102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1020" w:type="dxa"/>
            <w:vAlign w:val="bottom"/>
            <w:gridSpan w:val="2"/>
            <w:shd w:val="clear" w:color="auto" w:fill="E5E5E5"/>
          </w:tcPr>
          <w:p>
            <w:pPr>
              <w:jc w:val="right"/>
              <w:ind w:right="76"/>
              <w:spacing w:after="0"/>
              <w:rPr>
                <w:sz w:val="20"/>
                <w:szCs w:val="20"/>
                <w:color w:val="auto"/>
              </w:rPr>
            </w:pPr>
            <w:r>
              <w:rPr>
                <w:rFonts w:ascii="Arial" w:cs="Arial" w:eastAsia="Arial" w:hAnsi="Arial"/>
                <w:sz w:val="18"/>
                <w:szCs w:val="18"/>
                <w:color w:val="auto"/>
              </w:rPr>
              <w:t>4,885</w:t>
            </w:r>
          </w:p>
        </w:tc>
        <w:tc>
          <w:tcPr>
            <w:tcW w:w="126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4,533</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w w:val="86"/>
              </w:rPr>
              <w:t>352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Technical and product support</w:t>
            </w:r>
          </w:p>
        </w:tc>
        <w:tc>
          <w:tcPr>
            <w:tcW w:w="1020" w:type="dxa"/>
            <w:vAlign w:val="bottom"/>
            <w:gridSpan w:val="2"/>
          </w:tcPr>
          <w:p>
            <w:pPr>
              <w:jc w:val="right"/>
              <w:ind w:right="76"/>
              <w:spacing w:after="0"/>
              <w:rPr>
                <w:sz w:val="20"/>
                <w:szCs w:val="20"/>
                <w:color w:val="auto"/>
              </w:rPr>
            </w:pPr>
            <w:r>
              <w:rPr>
                <w:rFonts w:ascii="Arial" w:cs="Arial" w:eastAsia="Arial" w:hAnsi="Arial"/>
                <w:sz w:val="18"/>
                <w:szCs w:val="18"/>
                <w:color w:val="auto"/>
              </w:rPr>
              <w:t>2,742</w:t>
            </w:r>
          </w:p>
        </w:tc>
        <w:tc>
          <w:tcPr>
            <w:tcW w:w="1260" w:type="dxa"/>
            <w:vAlign w:val="bottom"/>
            <w:gridSpan w:val="2"/>
          </w:tcPr>
          <w:p>
            <w:pPr>
              <w:jc w:val="right"/>
              <w:ind w:right="233"/>
              <w:spacing w:after="0"/>
              <w:rPr>
                <w:sz w:val="20"/>
                <w:szCs w:val="20"/>
                <w:color w:val="auto"/>
              </w:rPr>
            </w:pPr>
            <w:r>
              <w:rPr>
                <w:rFonts w:ascii="Arial" w:cs="Arial" w:eastAsia="Arial" w:hAnsi="Arial"/>
                <w:sz w:val="18"/>
                <w:szCs w:val="18"/>
                <w:color w:val="auto"/>
              </w:rPr>
              <w:t>2,650</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rPr>
              <w:t>92</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1020" w:type="dxa"/>
            <w:vAlign w:val="bottom"/>
            <w:gridSpan w:val="2"/>
            <w:shd w:val="clear" w:color="auto" w:fill="E5E5E5"/>
          </w:tcPr>
          <w:p>
            <w:pPr>
              <w:jc w:val="right"/>
              <w:ind w:right="76"/>
              <w:spacing w:after="0"/>
              <w:rPr>
                <w:sz w:val="20"/>
                <w:szCs w:val="20"/>
                <w:color w:val="auto"/>
              </w:rPr>
            </w:pPr>
            <w:r>
              <w:rPr>
                <w:rFonts w:ascii="Arial" w:cs="Arial" w:eastAsia="Arial" w:hAnsi="Arial"/>
                <w:sz w:val="18"/>
                <w:szCs w:val="18"/>
                <w:color w:val="auto"/>
              </w:rPr>
              <w:t>1,092</w:t>
            </w:r>
          </w:p>
        </w:tc>
        <w:tc>
          <w:tcPr>
            <w:tcW w:w="126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1,038</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54</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Franchise and other regulatory fees</w:t>
            </w:r>
          </w:p>
        </w:tc>
        <w:tc>
          <w:tcPr>
            <w:tcW w:w="520" w:type="dxa"/>
            <w:vAlign w:val="bottom"/>
          </w:tcPr>
          <w:p>
            <w:pPr>
              <w:spacing w:after="0"/>
              <w:rPr>
                <w:sz w:val="18"/>
                <w:szCs w:val="18"/>
                <w:color w:val="auto"/>
              </w:rPr>
            </w:pPr>
          </w:p>
        </w:tc>
        <w:tc>
          <w:tcPr>
            <w:tcW w:w="500" w:type="dxa"/>
            <w:vAlign w:val="bottom"/>
          </w:tcPr>
          <w:p>
            <w:pPr>
              <w:jc w:val="right"/>
              <w:ind w:right="76"/>
              <w:spacing w:after="0"/>
              <w:rPr>
                <w:sz w:val="20"/>
                <w:szCs w:val="20"/>
                <w:color w:val="auto"/>
              </w:rPr>
            </w:pPr>
            <w:r>
              <w:rPr>
                <w:rFonts w:ascii="Arial" w:cs="Arial" w:eastAsia="Arial" w:hAnsi="Arial"/>
                <w:sz w:val="18"/>
                <w:szCs w:val="18"/>
                <w:color w:val="auto"/>
              </w:rPr>
              <w:t>646</w:t>
            </w:r>
          </w:p>
        </w:tc>
        <w:tc>
          <w:tcPr>
            <w:tcW w:w="580" w:type="dxa"/>
            <w:vAlign w:val="bottom"/>
          </w:tcPr>
          <w:p>
            <w:pPr>
              <w:spacing w:after="0"/>
              <w:rPr>
                <w:sz w:val="18"/>
                <w:szCs w:val="18"/>
                <w:color w:val="auto"/>
              </w:rPr>
            </w:pPr>
          </w:p>
        </w:tc>
        <w:tc>
          <w:tcPr>
            <w:tcW w:w="680" w:type="dxa"/>
            <w:vAlign w:val="bottom"/>
          </w:tcPr>
          <w:p>
            <w:pPr>
              <w:jc w:val="right"/>
              <w:ind w:right="233"/>
              <w:spacing w:after="0"/>
              <w:rPr>
                <w:sz w:val="20"/>
                <w:szCs w:val="20"/>
                <w:color w:val="auto"/>
              </w:rPr>
            </w:pPr>
            <w:r>
              <w:rPr>
                <w:rFonts w:ascii="Arial" w:cs="Arial" w:eastAsia="Arial" w:hAnsi="Arial"/>
                <w:sz w:val="18"/>
                <w:szCs w:val="18"/>
                <w:color w:val="auto"/>
              </w:rPr>
              <w:t>619</w:t>
            </w:r>
          </w:p>
        </w:tc>
        <w:tc>
          <w:tcPr>
            <w:tcW w:w="420" w:type="dxa"/>
            <w:vAlign w:val="bottom"/>
          </w:tcPr>
          <w:p>
            <w:pPr>
              <w:spacing w:after="0"/>
              <w:rPr>
                <w:sz w:val="18"/>
                <w:szCs w:val="18"/>
                <w:color w:val="auto"/>
              </w:rPr>
            </w:pPr>
          </w:p>
        </w:tc>
        <w:tc>
          <w:tcPr>
            <w:tcW w:w="620" w:type="dxa"/>
            <w:vAlign w:val="bottom"/>
          </w:tcPr>
          <w:p>
            <w:pPr>
              <w:jc w:val="right"/>
              <w:ind w:right="255"/>
              <w:spacing w:after="0"/>
              <w:rPr>
                <w:sz w:val="20"/>
                <w:szCs w:val="20"/>
                <w:color w:val="auto"/>
              </w:rPr>
            </w:pPr>
            <w:r>
              <w:rPr>
                <w:rFonts w:ascii="Arial" w:cs="Arial" w:eastAsia="Arial" w:hAnsi="Arial"/>
                <w:sz w:val="18"/>
                <w:szCs w:val="18"/>
                <w:color w:val="auto"/>
              </w:rPr>
              <w:t>27</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1020" w:type="dxa"/>
            <w:vAlign w:val="bottom"/>
            <w:gridSpan w:val="2"/>
            <w:shd w:val="clear" w:color="auto" w:fill="E5E5E5"/>
          </w:tcPr>
          <w:p>
            <w:pPr>
              <w:jc w:val="right"/>
              <w:ind w:right="76"/>
              <w:spacing w:after="0"/>
              <w:rPr>
                <w:sz w:val="20"/>
                <w:szCs w:val="20"/>
                <w:color w:val="auto"/>
              </w:rPr>
            </w:pPr>
            <w:r>
              <w:rPr>
                <w:rFonts w:ascii="Arial" w:cs="Arial" w:eastAsia="Arial" w:hAnsi="Arial"/>
                <w:sz w:val="18"/>
                <w:szCs w:val="18"/>
                <w:color w:val="auto"/>
              </w:rPr>
              <w:t>1,485</w:t>
            </w:r>
          </w:p>
        </w:tc>
        <w:tc>
          <w:tcPr>
            <w:tcW w:w="1260" w:type="dxa"/>
            <w:vAlign w:val="bottom"/>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1,393</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92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8"/>
                <w:szCs w:val="18"/>
                <w:color w:val="auto"/>
              </w:rPr>
              <w:t>1,972</w:t>
            </w:r>
          </w:p>
        </w:tc>
        <w:tc>
          <w:tcPr>
            <w:tcW w:w="126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8"/>
                <w:szCs w:val="18"/>
                <w:color w:val="auto"/>
              </w:rPr>
              <w:t>1,897</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75</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1020" w:type="dxa"/>
            <w:vAlign w:val="bottom"/>
            <w:tcBorders>
              <w:bottom w:val="single" w:sz="8" w:color="auto"/>
            </w:tcBorders>
            <w:gridSpan w:val="2"/>
            <w:shd w:val="clear" w:color="auto" w:fill="E5E5E5"/>
          </w:tcPr>
          <w:p>
            <w:pPr>
              <w:jc w:val="right"/>
              <w:ind w:right="76"/>
              <w:spacing w:after="0"/>
              <w:rPr>
                <w:sz w:val="20"/>
                <w:szCs w:val="20"/>
                <w:color w:val="auto"/>
              </w:rPr>
            </w:pPr>
            <w:r>
              <w:rPr>
                <w:rFonts w:ascii="Arial" w:cs="Arial" w:eastAsia="Arial" w:hAnsi="Arial"/>
                <w:sz w:val="18"/>
                <w:szCs w:val="18"/>
                <w:color w:val="auto"/>
              </w:rPr>
              <w:t>12,822</w:t>
            </w:r>
          </w:p>
        </w:tc>
        <w:tc>
          <w:tcPr>
            <w:tcW w:w="1260" w:type="dxa"/>
            <w:vAlign w:val="bottom"/>
            <w:tcBorders>
              <w:bottom w:val="single" w:sz="8" w:color="auto"/>
            </w:tcBorders>
            <w:gridSpan w:val="2"/>
            <w:shd w:val="clear" w:color="auto" w:fill="E5E5E5"/>
          </w:tcPr>
          <w:p>
            <w:pPr>
              <w:jc w:val="right"/>
              <w:ind w:right="233"/>
              <w:spacing w:after="0"/>
              <w:rPr>
                <w:sz w:val="20"/>
                <w:szCs w:val="20"/>
                <w:color w:val="auto"/>
              </w:rPr>
            </w:pPr>
            <w:r>
              <w:rPr>
                <w:rFonts w:ascii="Arial" w:cs="Arial" w:eastAsia="Arial" w:hAnsi="Arial"/>
                <w:sz w:val="18"/>
                <w:szCs w:val="18"/>
                <w:color w:val="auto"/>
              </w:rPr>
              <w:t>12,130</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w w:val="86"/>
              </w:rPr>
              <w:t>692</w:t>
            </w:r>
          </w:p>
        </w:tc>
        <w:tc>
          <w:tcPr>
            <w:tcW w:w="5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02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8"/>
                <w:szCs w:val="18"/>
                <w:b w:val="1"/>
                <w:bCs w:val="1"/>
                <w:color w:val="auto"/>
              </w:rPr>
              <w:t>$ 8,964</w:t>
            </w:r>
          </w:p>
        </w:tc>
        <w:tc>
          <w:tcPr>
            <w:tcW w:w="126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8"/>
                <w:szCs w:val="18"/>
                <w:b w:val="1"/>
                <w:bCs w:val="1"/>
                <w:color w:val="auto"/>
              </w:rPr>
              <w:t>$ 8,554</w:t>
            </w: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b w:val="1"/>
                <w:bCs w:val="1"/>
                <w:color w:val="auto"/>
                <w:w w:val="86"/>
              </w:rPr>
              <w:t>410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Beginning in 2014, our Cable Communications segment revised its methodology for counting customers related to how we count and report customers who reside in multiple dwelling units (“MDUs”) that are billed under bulk contracts (the “billable customers method”). For MDUs whose residents have the ability to receive additional cable services, such as additional programming choices or our high-definition (“HD”) or DVR services, we now count and report customers based on the number of potential billable relationships within each MDU. For MDUs whose residents are not able to receive additional cable services, the MDU is now counted as a single customer. Previously, we had counted and reported these customers on an equivalent billing unit basis by dividing monthly revenue received under an MDU’s bulk contract by the standard monthly residential rate where the MDU was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located (the “EBU method”). We believe the billable customers method is consistent with the methodology used by other companies in our industry, including Time Warner Cable, to count and report customers.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tables below present customer metrics using the billable customers method. Because the differences in the number of customers using the billable customers method and the EBU method for high-speed Internet and voice customers were not material, high-speed Internet and voice customers metrics as of and for the three and six months ended June 30, 2013 are presented using the EBU method.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Metrics—Billable Customers Method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940" w:type="dxa"/>
            <w:vAlign w:val="bottom"/>
            <w:tcBorders>
              <w:bottom w:val="single" w:sz="8" w:color="auto"/>
            </w:tcBorders>
            <w:gridSpan w:val="2"/>
          </w:tcPr>
          <w:p>
            <w:pPr>
              <w:jc w:val="right"/>
              <w:ind w:right="537"/>
              <w:spacing w:after="0"/>
              <w:rPr>
                <w:sz w:val="20"/>
                <w:szCs w:val="20"/>
                <w:color w:val="auto"/>
              </w:rPr>
            </w:pPr>
            <w:r>
              <w:rPr>
                <w:rFonts w:ascii="Arial" w:cs="Arial" w:eastAsia="Arial" w:hAnsi="Arial"/>
                <w:sz w:val="14"/>
                <w:szCs w:val="14"/>
                <w:color w:val="auto"/>
              </w:rPr>
              <w:t>Total Customers</w:t>
            </w:r>
          </w:p>
        </w:tc>
        <w:tc>
          <w:tcPr>
            <w:tcW w:w="9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298"/>
              <w:spacing w:after="0"/>
              <w:rPr>
                <w:sz w:val="20"/>
                <w:szCs w:val="20"/>
                <w:color w:val="auto"/>
              </w:rPr>
            </w:pPr>
            <w:r>
              <w:rPr>
                <w:rFonts w:ascii="Arial" w:cs="Arial" w:eastAsia="Arial" w:hAnsi="Arial"/>
                <w:sz w:val="14"/>
                <w:szCs w:val="14"/>
                <w:color w:val="auto"/>
                <w:w w:val="95"/>
              </w:rPr>
              <w:t>Net Additional Customers</w:t>
            </w:r>
          </w:p>
        </w:tc>
        <w:tc>
          <w:tcPr>
            <w:tcW w:w="560" w:type="dxa"/>
            <w:vAlign w:val="bottom"/>
            <w:tcBorders>
              <w:bottom w:val="single" w:sz="8" w:color="auto"/>
            </w:tcBorders>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2"/>
          </w:tcPr>
          <w:p>
            <w:pPr>
              <w:jc w:val="right"/>
              <w:ind w:right="300"/>
              <w:spacing w:after="0" w:line="131" w:lineRule="exact"/>
              <w:rPr>
                <w:sz w:val="20"/>
                <w:szCs w:val="20"/>
                <w:color w:val="auto"/>
              </w:rPr>
            </w:pPr>
            <w:r>
              <w:rPr>
                <w:rFonts w:ascii="Arial" w:cs="Arial" w:eastAsia="Arial" w:hAnsi="Arial"/>
                <w:sz w:val="14"/>
                <w:szCs w:val="14"/>
                <w:color w:val="auto"/>
              </w:rPr>
              <w:t>Three Months Ended</w:t>
            </w:r>
          </w:p>
        </w:tc>
        <w:tc>
          <w:tcPr>
            <w:tcW w:w="1560" w:type="dxa"/>
            <w:vAlign w:val="bottom"/>
            <w:gridSpan w:val="2"/>
          </w:tcPr>
          <w:p>
            <w:pPr>
              <w:jc w:val="right"/>
              <w:ind w:right="217"/>
              <w:spacing w:after="0" w:line="131" w:lineRule="exact"/>
              <w:rPr>
                <w:sz w:val="20"/>
                <w:szCs w:val="20"/>
                <w:color w:val="auto"/>
              </w:rPr>
            </w:pPr>
            <w:r>
              <w:rPr>
                <w:rFonts w:ascii="Arial" w:cs="Arial" w:eastAsia="Arial" w:hAnsi="Arial"/>
                <w:sz w:val="14"/>
                <w:szCs w:val="14"/>
                <w:color w:val="auto"/>
              </w:rPr>
              <w:t>Six Months Ended</w:t>
            </w:r>
          </w:p>
        </w:tc>
      </w:tr>
      <w:tr>
        <w:trPr>
          <w:trHeight w:val="17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20" w:type="dxa"/>
            <w:vAlign w:val="bottom"/>
          </w:tcPr>
          <w:p>
            <w:pPr>
              <w:jc w:val="right"/>
              <w:ind w:right="158"/>
              <w:spacing w:after="0"/>
              <w:rPr>
                <w:sz w:val="20"/>
                <w:szCs w:val="20"/>
                <w:color w:val="auto"/>
              </w:rPr>
            </w:pPr>
            <w:r>
              <w:rPr>
                <w:rFonts w:ascii="Arial" w:cs="Arial" w:eastAsia="Arial" w:hAnsi="Arial"/>
                <w:sz w:val="14"/>
                <w:szCs w:val="14"/>
                <w:color w:val="auto"/>
              </w:rPr>
              <w:t>June 30</w:t>
            </w:r>
          </w:p>
        </w:tc>
        <w:tc>
          <w:tcPr>
            <w:tcW w:w="1020" w:type="dxa"/>
            <w:vAlign w:val="bottom"/>
          </w:tcPr>
          <w:p>
            <w:pPr>
              <w:jc w:val="right"/>
              <w:ind w:right="357"/>
              <w:spacing w:after="0"/>
              <w:rPr>
                <w:sz w:val="20"/>
                <w:szCs w:val="20"/>
                <w:color w:val="auto"/>
              </w:rPr>
            </w:pPr>
            <w:r>
              <w:rPr>
                <w:rFonts w:ascii="Arial" w:cs="Arial" w:eastAsia="Arial" w:hAnsi="Arial"/>
                <w:sz w:val="14"/>
                <w:szCs w:val="14"/>
                <w:color w:val="auto"/>
              </w:rPr>
              <w:t>June 30</w:t>
            </w:r>
          </w:p>
        </w:tc>
        <w:tc>
          <w:tcPr>
            <w:tcW w:w="1880" w:type="dxa"/>
            <w:vAlign w:val="bottom"/>
            <w:gridSpan w:val="2"/>
          </w:tcPr>
          <w:p>
            <w:pPr>
              <w:jc w:val="right"/>
              <w:ind w:right="660"/>
              <w:spacing w:after="0"/>
              <w:rPr>
                <w:sz w:val="20"/>
                <w:szCs w:val="20"/>
                <w:color w:val="auto"/>
              </w:rPr>
            </w:pPr>
            <w:r>
              <w:rPr>
                <w:rFonts w:ascii="Arial" w:cs="Arial" w:eastAsia="Arial" w:hAnsi="Arial"/>
                <w:sz w:val="14"/>
                <w:szCs w:val="14"/>
                <w:color w:val="auto"/>
              </w:rPr>
              <w:t>June 30</w:t>
            </w:r>
          </w:p>
        </w:tc>
        <w:tc>
          <w:tcPr>
            <w:tcW w:w="1000" w:type="dxa"/>
            <w:vAlign w:val="bottom"/>
          </w:tcPr>
          <w:p>
            <w:pPr>
              <w:jc w:val="right"/>
              <w:spacing w:after="0"/>
              <w:rPr>
                <w:sz w:val="20"/>
                <w:szCs w:val="20"/>
                <w:color w:val="auto"/>
              </w:rPr>
            </w:pPr>
            <w:r>
              <w:rPr>
                <w:rFonts w:ascii="Arial" w:cs="Arial" w:eastAsia="Arial" w:hAnsi="Arial"/>
                <w:sz w:val="14"/>
                <w:szCs w:val="14"/>
                <w:color w:val="auto"/>
              </w:rPr>
              <w:t>June 30</w:t>
            </w:r>
          </w:p>
        </w:tc>
        <w:tc>
          <w:tcPr>
            <w:tcW w:w="560" w:type="dxa"/>
            <w:vAlign w:val="bottom"/>
          </w:tcPr>
          <w:p>
            <w:pPr>
              <w:spacing w:after="0"/>
              <w:rPr>
                <w:sz w:val="14"/>
                <w:szCs w:val="14"/>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920" w:type="dxa"/>
            <w:vAlign w:val="bottom"/>
          </w:tcPr>
          <w:p>
            <w:pPr>
              <w:jc w:val="right"/>
              <w:ind w:right="238"/>
              <w:spacing w:after="0"/>
              <w:rPr>
                <w:sz w:val="20"/>
                <w:szCs w:val="20"/>
                <w:color w:val="auto"/>
              </w:rPr>
            </w:pPr>
            <w:r>
              <w:rPr>
                <w:rFonts w:ascii="Arial" w:cs="Arial" w:eastAsia="Arial" w:hAnsi="Arial"/>
                <w:sz w:val="14"/>
                <w:szCs w:val="14"/>
                <w:color w:val="auto"/>
              </w:rPr>
              <w:t>2014</w:t>
            </w:r>
          </w:p>
        </w:tc>
        <w:tc>
          <w:tcPr>
            <w:tcW w:w="1020" w:type="dxa"/>
            <w:vAlign w:val="bottom"/>
          </w:tcPr>
          <w:p>
            <w:pPr>
              <w:jc w:val="right"/>
              <w:ind w:right="417"/>
              <w:spacing w:after="0"/>
              <w:rPr>
                <w:sz w:val="20"/>
                <w:szCs w:val="20"/>
                <w:color w:val="auto"/>
              </w:rPr>
            </w:pPr>
            <w:r>
              <w:rPr>
                <w:rFonts w:ascii="Arial" w:cs="Arial" w:eastAsia="Arial" w:hAnsi="Arial"/>
                <w:sz w:val="14"/>
                <w:szCs w:val="14"/>
                <w:color w:val="auto"/>
              </w:rPr>
              <w:t>2013</w:t>
            </w:r>
          </w:p>
        </w:tc>
        <w:tc>
          <w:tcPr>
            <w:tcW w:w="960" w:type="dxa"/>
            <w:vAlign w:val="bottom"/>
          </w:tcPr>
          <w:p>
            <w:pPr>
              <w:jc w:val="right"/>
              <w:ind w:right="238"/>
              <w:spacing w:after="0"/>
              <w:rPr>
                <w:sz w:val="20"/>
                <w:szCs w:val="20"/>
                <w:color w:val="auto"/>
              </w:rPr>
            </w:pPr>
            <w:r>
              <w:rPr>
                <w:rFonts w:ascii="Arial" w:cs="Arial" w:eastAsia="Arial" w:hAnsi="Arial"/>
                <w:sz w:val="14"/>
                <w:szCs w:val="14"/>
                <w:color w:val="auto"/>
              </w:rPr>
              <w:t>2014</w:t>
            </w:r>
          </w:p>
        </w:tc>
        <w:tc>
          <w:tcPr>
            <w:tcW w:w="920" w:type="dxa"/>
            <w:vAlign w:val="bottom"/>
          </w:tcPr>
          <w:p>
            <w:pPr>
              <w:jc w:val="right"/>
              <w:ind w:right="300"/>
              <w:spacing w:after="0"/>
              <w:rPr>
                <w:sz w:val="20"/>
                <w:szCs w:val="20"/>
                <w:color w:val="auto"/>
              </w:rPr>
            </w:pPr>
            <w:r>
              <w:rPr>
                <w:rFonts w:ascii="Arial" w:cs="Arial" w:eastAsia="Arial" w:hAnsi="Arial"/>
                <w:sz w:val="14"/>
                <w:szCs w:val="14"/>
                <w:color w:val="auto"/>
              </w:rPr>
              <w:t>2013</w:t>
            </w:r>
          </w:p>
        </w:tc>
        <w:tc>
          <w:tcPr>
            <w:tcW w:w="1000" w:type="dxa"/>
            <w:vAlign w:val="bottom"/>
          </w:tcPr>
          <w:p>
            <w:pPr>
              <w:jc w:val="right"/>
              <w:ind w:right="458"/>
              <w:spacing w:after="0"/>
              <w:rPr>
                <w:sz w:val="20"/>
                <w:szCs w:val="20"/>
                <w:color w:val="auto"/>
              </w:rPr>
            </w:pPr>
            <w:r>
              <w:rPr>
                <w:rFonts w:ascii="Arial" w:cs="Arial" w:eastAsia="Arial" w:hAnsi="Arial"/>
                <w:sz w:val="14"/>
                <w:szCs w:val="14"/>
                <w:color w:val="auto"/>
              </w:rPr>
              <w:t>2014</w:t>
            </w:r>
          </w:p>
        </w:tc>
        <w:tc>
          <w:tcPr>
            <w:tcW w:w="560" w:type="dxa"/>
            <w:vAlign w:val="bottom"/>
          </w:tcPr>
          <w:p>
            <w:pPr>
              <w:jc w:val="right"/>
              <w:ind w:right="157"/>
              <w:spacing w:after="0"/>
              <w:rPr>
                <w:sz w:val="20"/>
                <w:szCs w:val="20"/>
                <w:color w:val="auto"/>
              </w:rPr>
            </w:pPr>
            <w:r>
              <w:rPr>
                <w:rFonts w:ascii="Arial" w:cs="Arial" w:eastAsia="Arial" w:hAnsi="Arial"/>
                <w:sz w:val="14"/>
                <w:szCs w:val="14"/>
                <w:color w:val="auto"/>
                <w:w w:val="96"/>
              </w:rPr>
              <w:t>2013</w:t>
            </w:r>
          </w:p>
        </w:tc>
      </w:tr>
      <w:tr>
        <w:trPr>
          <w:trHeight w:val="210"/>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920" w:type="dxa"/>
            <w:vAlign w:val="bottom"/>
            <w:tcBorders>
              <w:top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22,457</w:t>
            </w:r>
          </w:p>
        </w:tc>
        <w:tc>
          <w:tcPr>
            <w:tcW w:w="1020" w:type="dxa"/>
            <w:vAlign w:val="bottom"/>
            <w:tcBorders>
              <w:top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22,658</w:t>
            </w:r>
          </w:p>
        </w:tc>
        <w:tc>
          <w:tcPr>
            <w:tcW w:w="960" w:type="dxa"/>
            <w:vAlign w:val="bottom"/>
            <w:tcBorders>
              <w:top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color w:val="auto"/>
              </w:rPr>
              <w:t>(144)</w:t>
            </w:r>
          </w:p>
        </w:tc>
        <w:tc>
          <w:tcPr>
            <w:tcW w:w="920" w:type="dxa"/>
            <w:vAlign w:val="bottom"/>
            <w:tcBorders>
              <w:top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(162)</w:t>
            </w:r>
          </w:p>
        </w:tc>
        <w:tc>
          <w:tcPr>
            <w:tcW w:w="1000" w:type="dxa"/>
            <w:vAlign w:val="bottom"/>
            <w:tcBorders>
              <w:top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color w:val="auto"/>
              </w:rPr>
              <w:t>(120)</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920" w:type="dxa"/>
            <w:vAlign w:val="bottom"/>
          </w:tcPr>
          <w:p>
            <w:pPr>
              <w:jc w:val="right"/>
              <w:ind w:right="98"/>
              <w:spacing w:after="0"/>
              <w:rPr>
                <w:sz w:val="20"/>
                <w:szCs w:val="20"/>
                <w:color w:val="auto"/>
              </w:rPr>
            </w:pPr>
            <w:r>
              <w:rPr>
                <w:rFonts w:ascii="Arial" w:cs="Arial" w:eastAsia="Arial" w:hAnsi="Arial"/>
                <w:sz w:val="18"/>
                <w:szCs w:val="18"/>
                <w:color w:val="auto"/>
              </w:rPr>
              <w:t>21,271</w:t>
            </w:r>
          </w:p>
        </w:tc>
        <w:tc>
          <w:tcPr>
            <w:tcW w:w="1020" w:type="dxa"/>
            <w:vAlign w:val="bottom"/>
          </w:tcPr>
          <w:p>
            <w:pPr>
              <w:jc w:val="right"/>
              <w:ind w:right="277"/>
              <w:spacing w:after="0"/>
              <w:rPr>
                <w:sz w:val="20"/>
                <w:szCs w:val="20"/>
                <w:color w:val="auto"/>
              </w:rPr>
            </w:pPr>
            <w:r>
              <w:rPr>
                <w:rFonts w:ascii="Arial" w:cs="Arial" w:eastAsia="Arial" w:hAnsi="Arial"/>
                <w:sz w:val="18"/>
                <w:szCs w:val="18"/>
                <w:color w:val="auto"/>
              </w:rPr>
              <w:t>19,986</w:t>
            </w:r>
          </w:p>
        </w:tc>
        <w:tc>
          <w:tcPr>
            <w:tcW w:w="960" w:type="dxa"/>
            <w:vAlign w:val="bottom"/>
          </w:tcPr>
          <w:p>
            <w:pPr>
              <w:jc w:val="right"/>
              <w:ind w:right="98"/>
              <w:spacing w:after="0"/>
              <w:rPr>
                <w:sz w:val="20"/>
                <w:szCs w:val="20"/>
                <w:color w:val="auto"/>
              </w:rPr>
            </w:pPr>
            <w:r>
              <w:rPr>
                <w:rFonts w:ascii="Arial" w:cs="Arial" w:eastAsia="Arial" w:hAnsi="Arial"/>
                <w:sz w:val="18"/>
                <w:szCs w:val="18"/>
                <w:color w:val="auto"/>
              </w:rPr>
              <w:t>203</w:t>
            </w:r>
          </w:p>
        </w:tc>
        <w:tc>
          <w:tcPr>
            <w:tcW w:w="920" w:type="dxa"/>
            <w:vAlign w:val="bottom"/>
          </w:tcPr>
          <w:p>
            <w:pPr>
              <w:jc w:val="right"/>
              <w:ind w:right="160"/>
              <w:spacing w:after="0"/>
              <w:rPr>
                <w:sz w:val="20"/>
                <w:szCs w:val="20"/>
                <w:color w:val="auto"/>
              </w:rPr>
            </w:pPr>
            <w:r>
              <w:rPr>
                <w:rFonts w:ascii="Arial" w:cs="Arial" w:eastAsia="Arial" w:hAnsi="Arial"/>
                <w:sz w:val="18"/>
                <w:szCs w:val="18"/>
                <w:color w:val="auto"/>
              </w:rPr>
              <w:t>187</w:t>
            </w:r>
          </w:p>
        </w:tc>
        <w:tc>
          <w:tcPr>
            <w:tcW w:w="1000" w:type="dxa"/>
            <w:vAlign w:val="bottom"/>
          </w:tcPr>
          <w:p>
            <w:pPr>
              <w:jc w:val="right"/>
              <w:ind w:right="318"/>
              <w:spacing w:after="0"/>
              <w:rPr>
                <w:sz w:val="20"/>
                <w:szCs w:val="20"/>
                <w:color w:val="auto"/>
              </w:rPr>
            </w:pPr>
            <w:r>
              <w:rPr>
                <w:rFonts w:ascii="Arial" w:cs="Arial" w:eastAsia="Arial" w:hAnsi="Arial"/>
                <w:sz w:val="18"/>
                <w:szCs w:val="18"/>
                <w:color w:val="auto"/>
              </w:rPr>
              <w:t>587</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620</w:t>
            </w: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92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11,003</w:t>
            </w:r>
          </w:p>
        </w:tc>
        <w:tc>
          <w:tcPr>
            <w:tcW w:w="102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10,327</w:t>
            </w:r>
          </w:p>
        </w:tc>
        <w:tc>
          <w:tcPr>
            <w:tcW w:w="96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137</w:t>
            </w:r>
          </w:p>
        </w:tc>
        <w:tc>
          <w:tcPr>
            <w:tcW w:w="92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161</w:t>
            </w:r>
          </w:p>
        </w:tc>
        <w:tc>
          <w:tcPr>
            <w:tcW w:w="1000" w:type="dxa"/>
            <w:vAlign w:val="bottom"/>
            <w:tcBorders>
              <w:bottom w:val="single" w:sz="8" w:color="auto"/>
            </w:tcBorders>
            <w:shd w:val="clear" w:color="auto" w:fill="E5E5E5"/>
          </w:tcPr>
          <w:p>
            <w:pPr>
              <w:jc w:val="right"/>
              <w:ind w:right="318"/>
              <w:spacing w:after="0"/>
              <w:rPr>
                <w:sz w:val="20"/>
                <w:szCs w:val="20"/>
                <w:color w:val="auto"/>
              </w:rPr>
            </w:pPr>
            <w:r>
              <w:rPr>
                <w:rFonts w:ascii="Arial" w:cs="Arial" w:eastAsia="Arial" w:hAnsi="Arial"/>
                <w:sz w:val="18"/>
                <w:szCs w:val="18"/>
                <w:color w:val="auto"/>
              </w:rPr>
              <w:t>279</w:t>
            </w:r>
          </w:p>
        </w:tc>
        <w:tc>
          <w:tcPr>
            <w:tcW w:w="5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372</w:t>
            </w:r>
          </w:p>
        </w:tc>
      </w:tr>
      <w:tr>
        <w:trPr>
          <w:trHeight w:val="210"/>
        </w:trPr>
        <w:tc>
          <w:tcPr>
            <w:tcW w:w="20" w:type="dxa"/>
            <w:vAlign w:val="bottom"/>
          </w:tcPr>
          <w:p>
            <w:pPr>
              <w:spacing w:after="0"/>
              <w:rPr>
                <w:sz w:val="18"/>
                <w:szCs w:val="18"/>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customer relationships</w:t>
            </w: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26,775</w:t>
            </w: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26,529</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(25)</w:t>
            </w:r>
          </w:p>
        </w:tc>
        <w:tc>
          <w:tcPr>
            <w:tcW w:w="9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99</w:t>
            </w:r>
          </w:p>
        </w:tc>
        <w:tc>
          <w:tcPr>
            <w:tcW w:w="5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Single product customers</w:t>
            </w:r>
          </w:p>
        </w:tc>
        <w:tc>
          <w:tcPr>
            <w:tcW w:w="92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8,510</w:t>
            </w:r>
          </w:p>
        </w:tc>
        <w:tc>
          <w:tcPr>
            <w:tcW w:w="102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9,044</w:t>
            </w:r>
          </w:p>
        </w:tc>
        <w:tc>
          <w:tcPr>
            <w:tcW w:w="96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(95)</w:t>
            </w:r>
          </w:p>
        </w:tc>
        <w:tc>
          <w:tcPr>
            <w:tcW w:w="9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(242)</w:t>
            </w:r>
          </w:p>
        </w:tc>
        <w:tc>
          <w:tcPr>
            <w:tcW w:w="56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Double product customers</w:t>
            </w:r>
          </w:p>
        </w:tc>
        <w:tc>
          <w:tcPr>
            <w:tcW w:w="920" w:type="dxa"/>
            <w:vAlign w:val="bottom"/>
          </w:tcPr>
          <w:p>
            <w:pPr>
              <w:jc w:val="right"/>
              <w:ind w:right="98"/>
              <w:spacing w:after="0"/>
              <w:rPr>
                <w:sz w:val="20"/>
                <w:szCs w:val="20"/>
                <w:color w:val="auto"/>
              </w:rPr>
            </w:pPr>
            <w:r>
              <w:rPr>
                <w:rFonts w:ascii="Arial" w:cs="Arial" w:eastAsia="Arial" w:hAnsi="Arial"/>
                <w:sz w:val="18"/>
                <w:szCs w:val="18"/>
                <w:color w:val="auto"/>
              </w:rPr>
              <w:t>8,574</w:t>
            </w:r>
          </w:p>
        </w:tc>
        <w:tc>
          <w:tcPr>
            <w:tcW w:w="1020" w:type="dxa"/>
            <w:vAlign w:val="bottom"/>
          </w:tcPr>
          <w:p>
            <w:pPr>
              <w:jc w:val="right"/>
              <w:ind w:right="277"/>
              <w:spacing w:after="0"/>
              <w:rPr>
                <w:sz w:val="20"/>
                <w:szCs w:val="20"/>
                <w:color w:val="auto"/>
              </w:rPr>
            </w:pPr>
            <w:r>
              <w:rPr>
                <w:rFonts w:ascii="Arial" w:cs="Arial" w:eastAsia="Arial" w:hAnsi="Arial"/>
                <w:sz w:val="18"/>
                <w:szCs w:val="18"/>
                <w:color w:val="auto"/>
              </w:rPr>
              <w:t>8,505</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(82)</w:t>
            </w:r>
          </w:p>
        </w:tc>
        <w:tc>
          <w:tcPr>
            <w:tcW w:w="920" w:type="dxa"/>
            <w:vAlign w:val="bottom"/>
          </w:tcPr>
          <w:p>
            <w:pPr>
              <w:spacing w:after="0"/>
              <w:rPr>
                <w:sz w:val="18"/>
                <w:szCs w:val="18"/>
                <w:color w:val="auto"/>
              </w:rPr>
            </w:pPr>
          </w:p>
        </w:tc>
        <w:tc>
          <w:tcPr>
            <w:tcW w:w="1000" w:type="dxa"/>
            <w:vAlign w:val="bottom"/>
          </w:tcPr>
          <w:p>
            <w:pPr>
              <w:jc w:val="right"/>
              <w:ind w:right="318"/>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Triple product customers</w:t>
            </w:r>
          </w:p>
        </w:tc>
        <w:tc>
          <w:tcPr>
            <w:tcW w:w="92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9,691</w:t>
            </w:r>
          </w:p>
        </w:tc>
        <w:tc>
          <w:tcPr>
            <w:tcW w:w="102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8,980</w:t>
            </w:r>
          </w:p>
        </w:tc>
        <w:tc>
          <w:tcPr>
            <w:tcW w:w="96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152</w:t>
            </w:r>
          </w:p>
        </w:tc>
        <w:tc>
          <w:tcPr>
            <w:tcW w:w="9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18"/>
              <w:spacing w:after="0"/>
              <w:rPr>
                <w:sz w:val="20"/>
                <w:szCs w:val="20"/>
                <w:color w:val="auto"/>
              </w:rPr>
            </w:pPr>
            <w:r>
              <w:rPr>
                <w:rFonts w:ascii="Arial" w:cs="Arial" w:eastAsia="Arial" w:hAnsi="Arial"/>
                <w:sz w:val="18"/>
                <w:szCs w:val="18"/>
                <w:color w:val="auto"/>
              </w:rPr>
              <w:t>307</w:t>
            </w:r>
          </w:p>
        </w:tc>
        <w:tc>
          <w:tcPr>
            <w:tcW w:w="560" w:type="dxa"/>
            <w:vAlign w:val="bottom"/>
            <w:tcBorders>
              <w:bottom w:val="single" w:sz="8" w:color="auto"/>
            </w:tcBorders>
            <w:shd w:val="clear" w:color="auto" w:fill="E5E5E5"/>
          </w:tcPr>
          <w:p>
            <w:pPr>
              <w:spacing w:after="0"/>
              <w:rPr>
                <w:sz w:val="18"/>
                <w:szCs w:val="18"/>
                <w:color w:val="auto"/>
              </w:rPr>
            </w:pPr>
          </w:p>
        </w:tc>
      </w:tr>
    </w:tbl>
    <w:p>
      <w:pPr>
        <w:spacing w:after="0" w:line="57" w:lineRule="exact"/>
        <w:rPr>
          <w:sz w:val="20"/>
          <w:szCs w:val="20"/>
          <w:color w:val="auto"/>
        </w:rPr>
      </w:pPr>
    </w:p>
    <w:p>
      <w:pPr>
        <w:jc w:val="both"/>
        <w:ind w:right="20"/>
        <w:spacing w:after="0" w:line="318" w:lineRule="auto"/>
        <w:rPr>
          <w:sz w:val="20"/>
          <w:szCs w:val="20"/>
          <w:color w:val="auto"/>
        </w:rPr>
      </w:pPr>
      <w:r>
        <w:rPr>
          <w:rFonts w:ascii="Arial" w:cs="Arial" w:eastAsia="Arial" w:hAnsi="Arial"/>
          <w:sz w:val="12"/>
          <w:szCs w:val="12"/>
          <w:color w:val="auto"/>
        </w:rPr>
        <w:t>Customer data includes residential and business customers. Customer relationships represent the number of residential and business customers that subscribe to at least one of our cable services and are presented based on actual amounts. Single product, double product and triple product customers represent customers that subscribe to one, two or three of our cable services,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Communications segment leverages our existing cable distribution system to grow revenue by, among other things, adding new customers, encouraging existing customers to add additional or higher-tier services, and growing other services such as our business services offerings and our home security and automation services. We offer our cable services in bundles and often provide promotional incentives. We seek to balance promotional offers and rate increases with their expected effects on the number of customers and overall revenue.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Video revenue increased 1.2% and 1.3% for the three and six months ended June 30, 2014, respectively, compared to the same periods in 2013. An increase in the number of customers receiving additional and higher levels of video service and rate adjustments accounted for increases in revenue of 2.6% and 2.8% for the three and six months ended June 30, 2014, respectively. As of June 30, 2014, the number of customers who subscribed to our advanced services, which are HD and DVR services, increased 5.0% to 12.7 million customers compared to the same period in 2013. The increases in revenue in both periods were partially offset by fewer residential video customers compared to the prior year periods. These decreases in the number of residential video customers were primarily due to competitive pressures in our service areas from phone and direct broadcast satellite competitors and the impact of rate adjustments. We may experience further declines in the number of residential video customers.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High-speed Internet revenue increased 9.7% and 9.4% for the three and six months ended June 30, 2014, respectively, compared to the same periods in 2013. An increase in the number of residential customers receiving our high-speed Internet service accounted for increases in revenue of 5.8% and 6.0% for the three and six months ended June 30, 2014, respectively. The remaining increases in revenue for the three and six months ended June 30, 2014 were primarily due to higher rates from customers receiving higher levels of service and rate adjustments. Our customer base continues to grow as consumers choose our high-speed Internet service and seek higher-speed offerings.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Voice revenue increased 1.3% and 1.7% for the three and six months ended June 30, 2014, respectively, compared to the same periods in 2013. An increase in the number of residential customers receiving our voice service through our discounted bundled offerings accounted for increases in revenue of 5.8% and 6.2% for the three and six months ended June 30, 2014, respectively. These increases in both periods were partially offset by the impact of the allocation of voice revenue for our bundled customers because revenue attributable to voice services represents a lower proportion of the bundled rate. The amounts allocated to voice revenue in the bundled rate have decreased because video and high-speed Internet rates have increased, while voice rates have remained relatively flat.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Business services revenue increased 22.4% and 23.1% for the three and six months ended June 30, 2014, respectively, compared to the same periods in 2013. The increases were primarily due to a higher number of small business customers receiving our cable services. The remaining increases in both periods were primarily due to continued growth in the number of medium-sized business customers receiving our other services, such as Ethernet network and cellular backhaul services. During the three and six months ended June 30, 2014, revenue from our medium-sized business customers represented 22% and 21%, respectively, of total business services revenue. We believe the increase in business customers is primarily the result of our efforts to gain market share from competitors by offering competitive services and pricing.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Advertising revenue increased 7.5% and 6.9% for the three and six months ended June 30, 2014, respectively, compared to the same periods in 2013 primarily due to increases in political advertising revenue, as well as increases in revenue in our core national and local advertising markets.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Other revenue increased 3.9% and 4.4% for the three and six months ended June 30, 2014, respectively, compared to the same periods in 2013 primarily due to increases in franchise and other regulatory fees and in revenue from other services, including our home security and automation services.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significant operating cost is the programming expense we incur to provide content to our video customers. We anticipate that our programming expenses will continue to increase. We have and will continue to attempt to offset increases in programming expenses through rate increases and the sale of additional video and other services, as well as by achieving operating efficiencies.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Programming costs increased for the three and six months ended June 30, 2014 compared to the same periods in 2013 primarily due to increases in programming license fees, including retransmission consent fees and sports programming costs, and fees to secure rights for additional programming for our customers across an increasing number of platforms.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Technical and product support expenses increased for the three and six months ended June 30, 2014 compared to the same periods in 2013 primarily due to expenses related to customer fulfillment activities, expenses related to the development, delivery and support of our products and services and the continued growth in our products, including our X1 platform, Cloud DVR technology and wireless gateways. Technical and product support expenses also increased for the six months ended June 30, 2014 due to weather-related expenses.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Customer service expenses increased for the three and six months ended June 30, 2014 compared to the same periods in 2013 primarily due to increases in total labor costs associated with increases in customer service activity. The increases in customer service activity were primarily due to sales and related support activity associated with the continued deployment of enhanced services and devices, primarily our X1 platform, Cloud DVR technology, wireless gateways, home security and automation services, and continued growth in business services.</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Franchise and other regulatory fees increased for the three and six months ended June 30, 2014 compared to the same periods in 2013 primarily due to increases in residential and business services revenue.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Advertising, marketing and promotion expenses increased for the three and six months ended June 30, 2014 compared to the same periods in 2013 primarily due to increases in spending associated with attracting new residential and business services customers and encouraging existing customers to add additional or higher-tier services.</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costs and expenses increased for the three and six months ended June 30, 2014 compared to the same periods in 2013 primarily due to increases in costs to support the advertising sales business as well as increases in other administrative costs.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3"/>
          </w:tcPr>
          <w:p>
            <w:pPr>
              <w:jc w:val="right"/>
              <w:ind w:right="493"/>
              <w:spacing w:after="0"/>
              <w:rPr>
                <w:sz w:val="20"/>
                <w:szCs w:val="20"/>
                <w:color w:val="auto"/>
              </w:rPr>
            </w:pPr>
            <w:r>
              <w:rPr>
                <w:rFonts w:ascii="Arial" w:cs="Arial" w:eastAsia="Arial" w:hAnsi="Arial"/>
                <w:sz w:val="14"/>
                <w:szCs w:val="14"/>
                <w:color w:val="auto"/>
                <w:w w:val="87"/>
              </w:rPr>
              <w:t>Three Months Ended</w:t>
            </w:r>
          </w:p>
        </w:tc>
        <w:tc>
          <w:tcPr>
            <w:tcW w:w="300" w:type="dxa"/>
            <w:vAlign w:val="bottom"/>
          </w:tcPr>
          <w:p>
            <w:pPr>
              <w:spacing w:after="0"/>
              <w:rPr>
                <w:sz w:val="14"/>
                <w:szCs w:val="14"/>
                <w:color w:val="auto"/>
              </w:rPr>
            </w:pPr>
          </w:p>
        </w:tc>
        <w:tc>
          <w:tcPr>
            <w:tcW w:w="1300" w:type="dxa"/>
            <w:vAlign w:val="bottom"/>
            <w:gridSpan w:val="2"/>
          </w:tcPr>
          <w:p>
            <w:pPr>
              <w:jc w:val="center"/>
              <w:ind w:right="25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51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74"/>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auto"/>
            </w:tcBorders>
            <w:vMerge w:val="continue"/>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color w:val="auto"/>
              </w:rPr>
              <w:t>2014</w:t>
            </w:r>
          </w:p>
        </w:tc>
        <w:tc>
          <w:tcPr>
            <w:tcW w:w="920" w:type="dxa"/>
            <w:vAlign w:val="bottom"/>
            <w:tcBorders>
              <w:bottom w:val="single" w:sz="8" w:color="auto"/>
            </w:tcBorders>
            <w:gridSpan w:val="2"/>
          </w:tcPr>
          <w:p>
            <w:pPr>
              <w:jc w:val="right"/>
              <w:ind w:right="393"/>
              <w:spacing w:after="0" w:line="142" w:lineRule="exact"/>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1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3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3800" w:type="dxa"/>
            <w:vAlign w:val="bottom"/>
            <w:gridSpan w:val="4"/>
          </w:tcPr>
          <w:p>
            <w:pPr>
              <w:jc w:val="right"/>
              <w:ind w:right="417"/>
              <w:spacing w:after="0"/>
              <w:rPr>
                <w:sz w:val="20"/>
                <w:szCs w:val="20"/>
                <w:color w:val="auto"/>
              </w:rPr>
            </w:pPr>
            <w:r>
              <w:rPr>
                <w:rFonts w:ascii="Arial" w:cs="Arial" w:eastAsia="Arial" w:hAnsi="Arial"/>
                <w:sz w:val="18"/>
                <w:szCs w:val="18"/>
                <w:color w:val="auto"/>
              </w:rPr>
              <w:t>$ 2,476</w:t>
            </w:r>
          </w:p>
        </w:tc>
        <w:tc>
          <w:tcPr>
            <w:tcW w:w="920" w:type="dxa"/>
            <w:vAlign w:val="bottom"/>
            <w:gridSpan w:val="2"/>
          </w:tcPr>
          <w:p>
            <w:pPr>
              <w:jc w:val="right"/>
              <w:ind w:right="253"/>
              <w:spacing w:after="0"/>
              <w:rPr>
                <w:sz w:val="20"/>
                <w:szCs w:val="20"/>
                <w:color w:val="auto"/>
              </w:rPr>
            </w:pPr>
            <w:r>
              <w:rPr>
                <w:rFonts w:ascii="Arial" w:cs="Arial" w:eastAsia="Arial" w:hAnsi="Arial"/>
                <w:sz w:val="18"/>
                <w:szCs w:val="18"/>
                <w:color w:val="auto"/>
                <w:w w:val="93"/>
              </w:rPr>
              <w:t>$ 2,413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77"/>
              <w:spacing w:after="0"/>
              <w:rPr>
                <w:sz w:val="20"/>
                <w:szCs w:val="20"/>
                <w:color w:val="auto"/>
              </w:rPr>
            </w:pPr>
            <w:r>
              <w:rPr>
                <w:rFonts w:ascii="Arial" w:cs="Arial" w:eastAsia="Arial" w:hAnsi="Arial"/>
                <w:sz w:val="18"/>
                <w:szCs w:val="18"/>
                <w:color w:val="auto"/>
              </w:rPr>
              <w:t>63</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3800" w:type="dxa"/>
            <w:vAlign w:val="bottom"/>
            <w:gridSpan w:val="4"/>
            <w:shd w:val="clear" w:color="auto" w:fill="E5E5E5"/>
          </w:tcPr>
          <w:p>
            <w:pPr>
              <w:jc w:val="right"/>
              <w:ind w:right="417"/>
              <w:spacing w:after="0"/>
              <w:rPr>
                <w:sz w:val="20"/>
                <w:szCs w:val="20"/>
                <w:color w:val="auto"/>
              </w:rPr>
            </w:pPr>
            <w:r>
              <w:rPr>
                <w:rFonts w:ascii="Arial" w:cs="Arial" w:eastAsia="Arial" w:hAnsi="Arial"/>
                <w:sz w:val="18"/>
                <w:szCs w:val="18"/>
                <w:color w:val="auto"/>
              </w:rPr>
              <w:t>1,816</w:t>
            </w:r>
          </w:p>
        </w:tc>
        <w:tc>
          <w:tcPr>
            <w:tcW w:w="92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1,732</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84</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3800" w:type="dxa"/>
            <w:vAlign w:val="bottom"/>
            <w:gridSpan w:val="4"/>
          </w:tcPr>
          <w:p>
            <w:pPr>
              <w:jc w:val="right"/>
              <w:ind w:right="417"/>
              <w:spacing w:after="0"/>
              <w:rPr>
                <w:sz w:val="20"/>
                <w:szCs w:val="20"/>
                <w:color w:val="auto"/>
              </w:rPr>
            </w:pPr>
            <w:r>
              <w:rPr>
                <w:rFonts w:ascii="Arial" w:cs="Arial" w:eastAsia="Arial" w:hAnsi="Arial"/>
                <w:sz w:val="18"/>
                <w:szCs w:val="18"/>
                <w:color w:val="auto"/>
              </w:rPr>
              <w:t>1,176</w:t>
            </w:r>
          </w:p>
        </w:tc>
        <w:tc>
          <w:tcPr>
            <w:tcW w:w="920" w:type="dxa"/>
            <w:vAlign w:val="bottom"/>
            <w:gridSpan w:val="2"/>
          </w:tcPr>
          <w:p>
            <w:pPr>
              <w:jc w:val="right"/>
              <w:ind w:right="253"/>
              <w:spacing w:after="0"/>
              <w:rPr>
                <w:sz w:val="20"/>
                <w:szCs w:val="20"/>
                <w:color w:val="auto"/>
              </w:rPr>
            </w:pPr>
            <w:r>
              <w:rPr>
                <w:rFonts w:ascii="Arial" w:cs="Arial" w:eastAsia="Arial" w:hAnsi="Arial"/>
                <w:sz w:val="18"/>
                <w:szCs w:val="18"/>
                <w:color w:val="auto"/>
              </w:rPr>
              <w:t>1,388</w:t>
            </w:r>
          </w:p>
        </w:tc>
        <w:tc>
          <w:tcPr>
            <w:tcW w:w="860" w:type="dxa"/>
            <w:vAlign w:val="bottom"/>
            <w:gridSpan w:val="2"/>
          </w:tcPr>
          <w:p>
            <w:pPr>
              <w:jc w:val="right"/>
              <w:ind w:right="117"/>
              <w:spacing w:after="0"/>
              <w:rPr>
                <w:sz w:val="20"/>
                <w:szCs w:val="20"/>
                <w:color w:val="auto"/>
              </w:rPr>
            </w:pPr>
            <w:r>
              <w:rPr>
                <w:rFonts w:ascii="Arial" w:cs="Arial" w:eastAsia="Arial" w:hAnsi="Arial"/>
                <w:sz w:val="18"/>
                <w:szCs w:val="18"/>
                <w:color w:val="auto"/>
              </w:rPr>
              <w:t>(212)</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3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w w:val="99"/>
              </w:rPr>
              <w:t>615</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546</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69</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2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(84)</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17</w:t>
            </w: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800" w:type="dxa"/>
            <w:vAlign w:val="bottom"/>
            <w:tcBorders>
              <w:bottom w:val="single" w:sz="8" w:color="auto"/>
            </w:tcBorders>
            <w:gridSpan w:val="4"/>
            <w:shd w:val="clear" w:color="auto" w:fill="E5E5E5"/>
          </w:tcPr>
          <w:p>
            <w:pPr>
              <w:jc w:val="right"/>
              <w:ind w:right="417"/>
              <w:spacing w:after="0"/>
              <w:rPr>
                <w:sz w:val="20"/>
                <w:szCs w:val="20"/>
                <w:color w:val="auto"/>
              </w:rPr>
            </w:pPr>
            <w:r>
              <w:rPr>
                <w:rFonts w:ascii="Arial" w:cs="Arial" w:eastAsia="Arial" w:hAnsi="Arial"/>
                <w:sz w:val="18"/>
                <w:szCs w:val="18"/>
                <w:b w:val="1"/>
                <w:bCs w:val="1"/>
                <w:color w:val="auto"/>
              </w:rPr>
              <w:t>$ 6,016</w:t>
            </w:r>
          </w:p>
        </w:tc>
        <w:tc>
          <w:tcPr>
            <w:tcW w:w="920" w:type="dxa"/>
            <w:vAlign w:val="bottom"/>
            <w:tcBorders>
              <w:bottom w:val="single" w:sz="8" w:color="auto"/>
            </w:tcBorders>
            <w:gridSpan w:val="2"/>
            <w:shd w:val="clear" w:color="auto" w:fill="E5E5E5"/>
          </w:tcPr>
          <w:p>
            <w:pPr>
              <w:jc w:val="right"/>
              <w:ind w:right="253"/>
              <w:spacing w:after="0"/>
              <w:rPr>
                <w:sz w:val="20"/>
                <w:szCs w:val="20"/>
                <w:color w:val="auto"/>
              </w:rPr>
            </w:pPr>
            <w:r>
              <w:rPr>
                <w:rFonts w:ascii="Arial" w:cs="Arial" w:eastAsia="Arial" w:hAnsi="Arial"/>
                <w:sz w:val="18"/>
                <w:szCs w:val="18"/>
                <w:b w:val="1"/>
                <w:bCs w:val="1"/>
                <w:color w:val="auto"/>
                <w:w w:val="93"/>
              </w:rPr>
              <w:t>$ 5,995</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21</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980" w:type="dxa"/>
            <w:vAlign w:val="bottom"/>
            <w:gridSpan w:val="3"/>
            <w:shd w:val="clear" w:color="auto" w:fill="E5E5E5"/>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w w:val="99"/>
              </w:rPr>
              <w:t>914</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860</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54</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417"/>
              <w:spacing w:after="0"/>
              <w:rPr>
                <w:sz w:val="20"/>
                <w:szCs w:val="20"/>
                <w:color w:val="auto"/>
              </w:rPr>
            </w:pPr>
            <w:r>
              <w:rPr>
                <w:rFonts w:ascii="Arial" w:cs="Arial" w:eastAsia="Arial" w:hAnsi="Arial"/>
                <w:sz w:val="18"/>
                <w:szCs w:val="18"/>
                <w:color w:val="auto"/>
                <w:w w:val="99"/>
              </w:rPr>
              <w:t>240</w:t>
            </w:r>
          </w:p>
        </w:tc>
        <w:tc>
          <w:tcPr>
            <w:tcW w:w="200" w:type="dxa"/>
            <w:vAlign w:val="bottom"/>
          </w:tcPr>
          <w:p>
            <w:pPr>
              <w:spacing w:after="0"/>
              <w:rPr>
                <w:sz w:val="18"/>
                <w:szCs w:val="18"/>
                <w:color w:val="auto"/>
              </w:rPr>
            </w:pPr>
          </w:p>
        </w:tc>
        <w:tc>
          <w:tcPr>
            <w:tcW w:w="720" w:type="dxa"/>
            <w:vAlign w:val="bottom"/>
          </w:tcPr>
          <w:p>
            <w:pPr>
              <w:jc w:val="right"/>
              <w:ind w:right="253"/>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8"/>
                <w:szCs w:val="18"/>
                <w:color w:val="auto"/>
              </w:rPr>
            </w:pPr>
          </w:p>
        </w:tc>
        <w:tc>
          <w:tcPr>
            <w:tcW w:w="560" w:type="dxa"/>
            <w:vAlign w:val="bottom"/>
          </w:tcPr>
          <w:p>
            <w:pPr>
              <w:jc w:val="right"/>
              <w:ind w:right="177"/>
              <w:spacing w:after="0"/>
              <w:rPr>
                <w:sz w:val="20"/>
                <w:szCs w:val="20"/>
                <w:color w:val="auto"/>
              </w:rPr>
            </w:pPr>
            <w:r>
              <w:rPr>
                <w:rFonts w:ascii="Arial" w:cs="Arial" w:eastAsia="Arial" w:hAnsi="Arial"/>
                <w:sz w:val="18"/>
                <w:szCs w:val="18"/>
                <w:color w:val="auto"/>
              </w:rPr>
              <w:t>34</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23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w w:val="99"/>
              </w:rPr>
              <w:t>195</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33</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w w:val="93"/>
              </w:rPr>
              <w:t>162</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417"/>
              <w:spacing w:after="0"/>
              <w:rPr>
                <w:sz w:val="20"/>
                <w:szCs w:val="20"/>
                <w:color w:val="auto"/>
              </w:rPr>
            </w:pPr>
            <w:r>
              <w:rPr>
                <w:rFonts w:ascii="Arial" w:cs="Arial" w:eastAsia="Arial" w:hAnsi="Arial"/>
                <w:sz w:val="18"/>
                <w:szCs w:val="18"/>
                <w:color w:val="auto"/>
                <w:w w:val="99"/>
              </w:rPr>
              <w:t>244</w:t>
            </w:r>
          </w:p>
        </w:tc>
        <w:tc>
          <w:tcPr>
            <w:tcW w:w="200" w:type="dxa"/>
            <w:vAlign w:val="bottom"/>
          </w:tcPr>
          <w:p>
            <w:pPr>
              <w:spacing w:after="0"/>
              <w:rPr>
                <w:sz w:val="18"/>
                <w:szCs w:val="18"/>
                <w:color w:val="auto"/>
              </w:rPr>
            </w:pPr>
          </w:p>
        </w:tc>
        <w:tc>
          <w:tcPr>
            <w:tcW w:w="720" w:type="dxa"/>
            <w:vAlign w:val="bottom"/>
          </w:tcPr>
          <w:p>
            <w:pPr>
              <w:jc w:val="right"/>
              <w:ind w:right="253"/>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18"/>
                <w:szCs w:val="18"/>
                <w:color w:val="auto"/>
              </w:rPr>
            </w:pPr>
          </w:p>
        </w:tc>
        <w:tc>
          <w:tcPr>
            <w:tcW w:w="560" w:type="dxa"/>
            <w:vAlign w:val="bottom"/>
          </w:tcPr>
          <w:p>
            <w:pPr>
              <w:jc w:val="right"/>
              <w:ind w:right="177"/>
              <w:spacing w:after="0"/>
              <w:rPr>
                <w:sz w:val="20"/>
                <w:szCs w:val="20"/>
                <w:color w:val="auto"/>
              </w:rPr>
            </w:pPr>
            <w:r>
              <w:rPr>
                <w:rFonts w:ascii="Arial" w:cs="Arial" w:eastAsia="Arial" w:hAnsi="Arial"/>
                <w:sz w:val="18"/>
                <w:szCs w:val="18"/>
                <w:color w:val="auto"/>
              </w:rPr>
              <w:t>13</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234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357"/>
              <w:spacing w:after="0"/>
              <w:rPr>
                <w:sz w:val="20"/>
                <w:szCs w:val="20"/>
                <w:color w:val="auto"/>
              </w:rPr>
            </w:pPr>
            <w:r>
              <w:rPr>
                <w:rFonts w:ascii="Arial" w:cs="Arial" w:eastAsia="Arial" w:hAnsi="Arial"/>
                <w:sz w:val="18"/>
                <w:szCs w:val="18"/>
                <w:color w:val="auto"/>
                <w:w w:val="85"/>
              </w:rPr>
              <w:t>(159)</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9"/>
              </w:rPr>
              <w:t>(139)</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(20)</w:t>
            </w:r>
          </w:p>
        </w:tc>
        <w:tc>
          <w:tcPr>
            <w:tcW w:w="7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Total operating income before depreciation and amortization</w:t>
            </w:r>
          </w:p>
        </w:tc>
        <w:tc>
          <w:tcPr>
            <w:tcW w:w="380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8"/>
                <w:szCs w:val="18"/>
                <w:b w:val="1"/>
                <w:bCs w:val="1"/>
                <w:color w:val="auto"/>
              </w:rPr>
              <w:t>$ 1,434</w:t>
            </w:r>
          </w:p>
        </w:tc>
        <w:tc>
          <w:tcPr>
            <w:tcW w:w="92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8"/>
                <w:szCs w:val="18"/>
                <w:b w:val="1"/>
                <w:bCs w:val="1"/>
                <w:color w:val="auto"/>
                <w:w w:val="93"/>
              </w:rPr>
              <w:t>$ 1,191</w:t>
            </w:r>
          </w:p>
        </w:tc>
        <w:tc>
          <w:tcPr>
            <w:tcW w:w="86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8"/>
                <w:szCs w:val="18"/>
                <w:b w:val="1"/>
                <w:bCs w:val="1"/>
                <w:color w:val="auto"/>
              </w:rPr>
              <w:t>$ 243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73"/>
        </w:trPr>
        <w:tc>
          <w:tcPr>
            <w:tcW w:w="5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40" w:type="dxa"/>
            <w:vAlign w:val="bottom"/>
            <w:gridSpan w:val="3"/>
          </w:tcPr>
          <w:p>
            <w:pPr>
              <w:jc w:val="right"/>
              <w:ind w:right="453"/>
              <w:spacing w:after="0"/>
              <w:rPr>
                <w:sz w:val="20"/>
                <w:szCs w:val="20"/>
                <w:color w:val="auto"/>
              </w:rPr>
            </w:pPr>
            <w:r>
              <w:rPr>
                <w:rFonts w:ascii="Arial" w:cs="Arial" w:eastAsia="Arial" w:hAnsi="Arial"/>
                <w:sz w:val="14"/>
                <w:szCs w:val="14"/>
                <w:color w:val="auto"/>
              </w:rPr>
              <w:t>Six Months Ended</w:t>
            </w:r>
          </w:p>
        </w:tc>
        <w:tc>
          <w:tcPr>
            <w:tcW w:w="300" w:type="dxa"/>
            <w:vAlign w:val="bottom"/>
          </w:tcPr>
          <w:p>
            <w:pPr>
              <w:spacing w:after="0"/>
              <w:rPr>
                <w:sz w:val="23"/>
                <w:szCs w:val="23"/>
                <w:color w:val="auto"/>
              </w:rPr>
            </w:pPr>
          </w:p>
        </w:tc>
        <w:tc>
          <w:tcPr>
            <w:tcW w:w="1300" w:type="dxa"/>
            <w:vAlign w:val="bottom"/>
            <w:gridSpan w:val="2"/>
          </w:tcPr>
          <w:p>
            <w:pPr>
              <w:jc w:val="center"/>
              <w:ind w:right="25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51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4"/>
              <w:spacing w:after="0" w:line="159" w:lineRule="exact"/>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34"/>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auto"/>
            </w:tcBorders>
            <w:vMerge w:val="continue"/>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w w:val="96"/>
              </w:rPr>
              <w:t>2013</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1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3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2980" w:type="dxa"/>
            <w:vAlign w:val="bottom"/>
            <w:gridSpan w:val="3"/>
          </w:tcPr>
          <w:p>
            <w:pPr>
              <w:ind w:left="28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237"/>
              <w:spacing w:after="0"/>
              <w:rPr>
                <w:sz w:val="20"/>
                <w:szCs w:val="20"/>
                <w:color w:val="auto"/>
              </w:rPr>
            </w:pPr>
            <w:r>
              <w:rPr>
                <w:rFonts w:ascii="Arial" w:cs="Arial" w:eastAsia="Arial" w:hAnsi="Arial"/>
                <w:sz w:val="18"/>
                <w:szCs w:val="18"/>
                <w:color w:val="auto"/>
              </w:rPr>
              <w:t>4,981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4,638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343</w:t>
            </w: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3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4,437</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3,249</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w w:val="84"/>
              </w:rPr>
              <w:t>1,188</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37"/>
              <w:spacing w:after="0"/>
              <w:rPr>
                <w:sz w:val="20"/>
                <w:szCs w:val="20"/>
                <w:color w:val="auto"/>
              </w:rPr>
            </w:pPr>
            <w:r>
              <w:rPr>
                <w:rFonts w:ascii="Arial" w:cs="Arial" w:eastAsia="Arial" w:hAnsi="Arial"/>
                <w:sz w:val="18"/>
                <w:szCs w:val="18"/>
                <w:color w:val="auto"/>
              </w:rPr>
              <w:t>2,527</w:t>
            </w:r>
          </w:p>
        </w:tc>
        <w:tc>
          <w:tcPr>
            <w:tcW w:w="20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2,604</w:t>
            </w:r>
          </w:p>
        </w:tc>
        <w:tc>
          <w:tcPr>
            <w:tcW w:w="30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(77)</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3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1,102</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1,008</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94</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2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9</w:t>
            </w: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800" w:type="dxa"/>
            <w:vAlign w:val="bottom"/>
            <w:tcBorders>
              <w:bottom w:val="single" w:sz="8" w:color="auto"/>
            </w:tcBorders>
            <w:gridSpan w:val="4"/>
            <w:shd w:val="clear" w:color="auto" w:fill="E5E5E5"/>
          </w:tcPr>
          <w:p>
            <w:pPr>
              <w:jc w:val="right"/>
              <w:ind w:right="237"/>
              <w:spacing w:after="0"/>
              <w:rPr>
                <w:sz w:val="20"/>
                <w:szCs w:val="20"/>
                <w:color w:val="auto"/>
              </w:rPr>
            </w:pPr>
            <w:r>
              <w:rPr>
                <w:rFonts w:ascii="Arial" w:cs="Arial" w:eastAsia="Arial" w:hAnsi="Arial"/>
                <w:sz w:val="18"/>
                <w:szCs w:val="18"/>
                <w:b w:val="1"/>
                <w:bCs w:val="1"/>
                <w:color w:val="auto"/>
              </w:rPr>
              <w:t>$12,892</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w w:val="83"/>
              </w:rPr>
              <w:t>11,335</w:t>
            </w:r>
          </w:p>
        </w:tc>
        <w:tc>
          <w:tcPr>
            <w:tcW w:w="860" w:type="dxa"/>
            <w:vAlign w:val="bottom"/>
            <w:tcBorders>
              <w:bottom w:val="single" w:sz="8" w:color="auto"/>
            </w:tcBorders>
            <w:gridSpan w:val="2"/>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$1,557</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980" w:type="dxa"/>
            <w:vAlign w:val="bottom"/>
            <w:gridSpan w:val="3"/>
            <w:shd w:val="clear" w:color="auto" w:fill="E5E5E5"/>
          </w:tcPr>
          <w:p>
            <w:pPr>
              <w:ind w:left="28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1,809</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1,719</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90</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37"/>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191</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23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483</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381</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37"/>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18"/>
                <w:szCs w:val="18"/>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234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(252)</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(71)</w:t>
            </w: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Total operating income before depreciation and amortization</w:t>
            </w:r>
          </w:p>
        </w:tc>
        <w:tc>
          <w:tcPr>
            <w:tcW w:w="2980" w:type="dxa"/>
            <w:vAlign w:val="bottom"/>
            <w:tcBorders>
              <w:bottom w:val="single" w:sz="8" w:color="auto"/>
            </w:tcBorders>
            <w:gridSpan w:val="3"/>
          </w:tcPr>
          <w:p>
            <w:pPr>
              <w:ind w:left="288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2,745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2,144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601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0" w:type="dxa"/>
            <w:vAlign w:val="bottom"/>
          </w:tcPr>
          <w:p>
            <w:pPr>
              <w:spacing w:after="0"/>
              <w:rPr>
                <w:sz w:val="1"/>
                <w:szCs w:val="1"/>
                <w:color w:val="auto"/>
              </w:rPr>
            </w:pPr>
          </w:p>
        </w:tc>
      </w:tr>
      <w:tr>
        <w:trPr>
          <w:trHeight w:val="363"/>
        </w:trPr>
        <w:tc>
          <w:tcPr>
            <w:tcW w:w="5100" w:type="dxa"/>
            <w:vAlign w:val="bottom"/>
          </w:tcPr>
          <w:p>
            <w:pPr>
              <w:spacing w:after="0"/>
              <w:rPr>
                <w:sz w:val="24"/>
                <w:szCs w:val="24"/>
                <w:color w:val="auto"/>
              </w:rPr>
            </w:pPr>
          </w:p>
        </w:tc>
        <w:tc>
          <w:tcPr>
            <w:tcW w:w="2340" w:type="dxa"/>
            <w:vAlign w:val="bottom"/>
          </w:tcPr>
          <w:p>
            <w:pPr>
              <w:jc w:val="right"/>
              <w:ind w:right="1532"/>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gridSpan w:val="3"/>
          </w:tcPr>
          <w:p>
            <w:pPr>
              <w:jc w:val="right"/>
              <w:ind w:right="374"/>
              <w:spacing w:after="0"/>
              <w:rPr>
                <w:sz w:val="20"/>
                <w:szCs w:val="20"/>
                <w:color w:val="auto"/>
              </w:rPr>
            </w:pPr>
            <w:r>
              <w:rPr>
                <w:rFonts w:ascii="Arial" w:cs="Arial" w:eastAsia="Arial" w:hAnsi="Arial"/>
                <w:sz w:val="14"/>
                <w:szCs w:val="14"/>
                <w:color w:val="auto"/>
              </w:rPr>
              <w:t>Three Months Ended</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766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9"/>
              <w:spacing w:after="0" w:line="159" w:lineRule="exact"/>
              <w:rPr>
                <w:sz w:val="20"/>
                <w:szCs w:val="20"/>
                <w:color w:val="auto"/>
              </w:rPr>
            </w:pPr>
            <w:r>
              <w:rPr>
                <w:rFonts w:ascii="Arial" w:cs="Arial" w:eastAsia="Arial" w:hAnsi="Arial"/>
                <w:sz w:val="14"/>
                <w:szCs w:val="14"/>
                <w:color w:val="auto"/>
                <w:w w:val="88"/>
              </w:rPr>
              <w:t>June 30</w:t>
            </w:r>
          </w:p>
        </w:tc>
        <w:tc>
          <w:tcPr>
            <w:tcW w:w="6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660" w:type="dxa"/>
            <w:vAlign w:val="bottom"/>
            <w:gridSpan w:val="3"/>
            <w:vMerge w:val="continue"/>
          </w:tcPr>
          <w:p>
            <w:pPr>
              <w:spacing w:after="0"/>
              <w:rPr>
                <w:sz w:val="12"/>
                <w:szCs w:val="12"/>
                <w:color w:val="auto"/>
              </w:rPr>
            </w:pPr>
          </w:p>
        </w:tc>
        <w:tc>
          <w:tcPr>
            <w:tcW w:w="960" w:type="dxa"/>
            <w:vAlign w:val="bottom"/>
          </w:tcPr>
          <w:p>
            <w:pPr>
              <w:jc w:val="right"/>
              <w:ind w:right="56"/>
              <w:spacing w:after="0" w:line="142" w:lineRule="exact"/>
              <w:rPr>
                <w:sz w:val="20"/>
                <w:szCs w:val="20"/>
                <w:color w:val="auto"/>
              </w:rPr>
            </w:pPr>
            <w:r>
              <w:rPr>
                <w:rFonts w:ascii="Arial" w:cs="Arial" w:eastAsia="Arial" w:hAnsi="Arial"/>
                <w:sz w:val="14"/>
                <w:szCs w:val="14"/>
                <w:color w:val="auto"/>
              </w:rPr>
              <w:t>2014</w:t>
            </w:r>
          </w:p>
        </w:tc>
        <w:tc>
          <w:tcPr>
            <w:tcW w:w="600" w:type="dxa"/>
            <w:vAlign w:val="bottom"/>
          </w:tcPr>
          <w:p>
            <w:pPr>
              <w:spacing w:after="0"/>
              <w:rPr>
                <w:sz w:val="12"/>
                <w:szCs w:val="12"/>
                <w:color w:val="auto"/>
              </w:rPr>
            </w:pPr>
          </w:p>
        </w:tc>
        <w:tc>
          <w:tcPr>
            <w:tcW w:w="68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9"/>
              </w:rPr>
              <w:t>2013</w:t>
            </w:r>
          </w:p>
        </w:tc>
        <w:tc>
          <w:tcPr>
            <w:tcW w:w="820" w:type="dxa"/>
            <w:vAlign w:val="bottom"/>
          </w:tcPr>
          <w:p>
            <w:pPr>
              <w:jc w:val="right"/>
              <w:ind w:right="257"/>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Distribution</w:t>
            </w:r>
          </w:p>
        </w:tc>
        <w:tc>
          <w:tcPr>
            <w:tcW w:w="960" w:type="dxa"/>
            <w:vAlign w:val="bottom"/>
          </w:tcPr>
          <w:p>
            <w:pPr>
              <w:jc w:val="right"/>
              <w:spacing w:after="0"/>
              <w:rPr>
                <w:sz w:val="20"/>
                <w:szCs w:val="20"/>
                <w:color w:val="auto"/>
              </w:rPr>
            </w:pPr>
            <w:r>
              <w:rPr>
                <w:rFonts w:ascii="Arial" w:cs="Arial" w:eastAsia="Arial" w:hAnsi="Arial"/>
                <w:sz w:val="18"/>
                <w:szCs w:val="18"/>
                <w:color w:val="auto"/>
              </w:rPr>
              <w:t>$ 1,270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1,219</w:t>
            </w: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$ 51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945</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966</w:t>
            </w:r>
          </w:p>
        </w:tc>
        <w:tc>
          <w:tcPr>
            <w:tcW w:w="82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(21)</w:t>
            </w:r>
          </w:p>
        </w:tc>
        <w:tc>
          <w:tcPr>
            <w:tcW w:w="7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Content licensing and other</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228</w:t>
            </w: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33</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2,476</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93"/>
              </w:rPr>
              <w:t>2,413</w:t>
            </w: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63</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1,124</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3"/>
              </w:rPr>
              <w:t>1,084</w:t>
            </w: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40</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Other operating and administrative</w:t>
            </w:r>
          </w:p>
        </w:tc>
        <w:tc>
          <w:tcPr>
            <w:tcW w:w="960" w:type="dxa"/>
            <w:vAlign w:val="bottom"/>
          </w:tcPr>
          <w:p>
            <w:pPr>
              <w:jc w:val="right"/>
              <w:spacing w:after="0"/>
              <w:rPr>
                <w:sz w:val="20"/>
                <w:szCs w:val="20"/>
                <w:color w:val="auto"/>
              </w:rPr>
            </w:pPr>
            <w:r>
              <w:rPr>
                <w:rFonts w:ascii="Arial" w:cs="Arial" w:eastAsia="Arial" w:hAnsi="Arial"/>
                <w:sz w:val="18"/>
                <w:szCs w:val="18"/>
                <w:color w:val="auto"/>
              </w:rPr>
              <w:t>309</w:t>
            </w:r>
          </w:p>
        </w:tc>
        <w:tc>
          <w:tcPr>
            <w:tcW w:w="60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rPr>
              <w:t>334</w:t>
            </w: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(25)</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129</w:t>
            </w:r>
          </w:p>
        </w:tc>
        <w:tc>
          <w:tcPr>
            <w:tcW w:w="6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135</w:t>
            </w:r>
          </w:p>
        </w:tc>
        <w:tc>
          <w:tcPr>
            <w:tcW w:w="82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(6)</w:t>
            </w:r>
          </w:p>
        </w:tc>
        <w:tc>
          <w:tcPr>
            <w:tcW w:w="7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costs and expenses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3"/>
              </w:rPr>
              <w:t>1,553</w:t>
            </w: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9</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914</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860</w:t>
            </w:r>
          </w:p>
        </w:tc>
        <w:tc>
          <w:tcPr>
            <w:tcW w:w="82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$ 54</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gridSpan w:val="3"/>
          </w:tcPr>
          <w:p>
            <w:pPr>
              <w:jc w:val="right"/>
              <w:ind w:right="474"/>
              <w:spacing w:after="0"/>
              <w:rPr>
                <w:sz w:val="20"/>
                <w:szCs w:val="20"/>
                <w:color w:val="auto"/>
              </w:rPr>
            </w:pPr>
            <w:r>
              <w:rPr>
                <w:rFonts w:ascii="Arial" w:cs="Arial" w:eastAsia="Arial" w:hAnsi="Arial"/>
                <w:sz w:val="14"/>
                <w:szCs w:val="14"/>
                <w:color w:val="auto"/>
              </w:rPr>
              <w:t>Six Months Ended</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86"/>
              </w:rPr>
              <w:t>Increase/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color w:val="auto"/>
                <w:w w:val="80"/>
              </w:rPr>
              <w:t>June 30</w:t>
            </w:r>
          </w:p>
        </w:tc>
        <w:tc>
          <w:tcPr>
            <w:tcW w:w="6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6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12"/>
                <w:szCs w:val="12"/>
                <w:color w:val="auto"/>
              </w:rPr>
            </w:pPr>
          </w:p>
        </w:tc>
        <w:tc>
          <w:tcPr>
            <w:tcW w:w="960" w:type="dxa"/>
            <w:vAlign w:val="bottom"/>
          </w:tcPr>
          <w:p>
            <w:pPr>
              <w:jc w:val="right"/>
              <w:ind w:right="96"/>
              <w:spacing w:after="0" w:line="142" w:lineRule="exact"/>
              <w:rPr>
                <w:sz w:val="20"/>
                <w:szCs w:val="20"/>
                <w:color w:val="auto"/>
              </w:rPr>
            </w:pPr>
            <w:r>
              <w:rPr>
                <w:rFonts w:ascii="Arial" w:cs="Arial" w:eastAsia="Arial" w:hAnsi="Arial"/>
                <w:sz w:val="14"/>
                <w:szCs w:val="14"/>
                <w:color w:val="auto"/>
              </w:rPr>
              <w:t>2014</w:t>
            </w:r>
          </w:p>
        </w:tc>
        <w:tc>
          <w:tcPr>
            <w:tcW w:w="600" w:type="dxa"/>
            <w:vAlign w:val="bottom"/>
          </w:tcPr>
          <w:p>
            <w:pPr>
              <w:spacing w:after="0"/>
              <w:rPr>
                <w:sz w:val="12"/>
                <w:szCs w:val="12"/>
                <w:color w:val="auto"/>
              </w:rPr>
            </w:pPr>
          </w:p>
        </w:tc>
        <w:tc>
          <w:tcPr>
            <w:tcW w:w="680" w:type="dxa"/>
            <w:vAlign w:val="bottom"/>
          </w:tcPr>
          <w:p>
            <w:pPr>
              <w:jc w:val="right"/>
              <w:ind w:right="314"/>
              <w:spacing w:after="0" w:line="142" w:lineRule="exact"/>
              <w:rPr>
                <w:sz w:val="20"/>
                <w:szCs w:val="20"/>
                <w:color w:val="auto"/>
              </w:rPr>
            </w:pPr>
            <w:r>
              <w:rPr>
                <w:rFonts w:ascii="Arial" w:cs="Arial" w:eastAsia="Arial" w:hAnsi="Arial"/>
                <w:sz w:val="14"/>
                <w:szCs w:val="14"/>
                <w:color w:val="auto"/>
                <w:w w:val="83"/>
              </w:rPr>
              <w:t>2013</w:t>
            </w:r>
          </w:p>
        </w:tc>
        <w:tc>
          <w:tcPr>
            <w:tcW w:w="820" w:type="dxa"/>
            <w:vAlign w:val="bottom"/>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Distribution</w:t>
            </w:r>
          </w:p>
        </w:tc>
        <w:tc>
          <w:tcPr>
            <w:tcW w:w="960" w:type="dxa"/>
            <w:vAlign w:val="bottom"/>
          </w:tcPr>
          <w:p>
            <w:pPr>
              <w:jc w:val="right"/>
              <w:spacing w:after="0"/>
              <w:rPr>
                <w:sz w:val="20"/>
                <w:szCs w:val="20"/>
                <w:color w:val="auto"/>
              </w:rPr>
            </w:pPr>
            <w:r>
              <w:rPr>
                <w:rFonts w:ascii="Arial" w:cs="Arial" w:eastAsia="Arial" w:hAnsi="Arial"/>
                <w:sz w:val="18"/>
                <w:szCs w:val="18"/>
                <w:color w:val="auto"/>
              </w:rPr>
              <w:t>$ 2,743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w w:val="88"/>
              </w:rPr>
              <w:t>2,460</w:t>
            </w: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$283</w:t>
            </w: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1,841</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8"/>
              </w:rPr>
              <w:t>1,794</w:t>
            </w: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47</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Content licensing and other</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384</w:t>
            </w: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13</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4,981</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4,638</w:t>
            </w: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343</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2,311</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8"/>
              </w:rPr>
              <w:t>1,992</w:t>
            </w: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319</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Other operating and administrative</w:t>
            </w:r>
          </w:p>
        </w:tc>
        <w:tc>
          <w:tcPr>
            <w:tcW w:w="960" w:type="dxa"/>
            <w:vAlign w:val="bottom"/>
          </w:tcPr>
          <w:p>
            <w:pPr>
              <w:jc w:val="right"/>
              <w:spacing w:after="0"/>
              <w:rPr>
                <w:sz w:val="20"/>
                <w:szCs w:val="20"/>
                <w:color w:val="auto"/>
              </w:rPr>
            </w:pPr>
            <w:r>
              <w:rPr>
                <w:rFonts w:ascii="Arial" w:cs="Arial" w:eastAsia="Arial" w:hAnsi="Arial"/>
                <w:sz w:val="18"/>
                <w:szCs w:val="18"/>
                <w:color w:val="auto"/>
              </w:rPr>
              <w:t>612</w:t>
            </w:r>
          </w:p>
        </w:tc>
        <w:tc>
          <w:tcPr>
            <w:tcW w:w="600" w:type="dxa"/>
            <w:vAlign w:val="bottom"/>
          </w:tcPr>
          <w:p>
            <w:pPr>
              <w:spacing w:after="0"/>
              <w:rPr>
                <w:sz w:val="18"/>
                <w:szCs w:val="18"/>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672</w:t>
            </w: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(60)</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249</w:t>
            </w:r>
          </w:p>
        </w:tc>
        <w:tc>
          <w:tcPr>
            <w:tcW w:w="6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255</w:t>
            </w:r>
          </w:p>
        </w:tc>
        <w:tc>
          <w:tcPr>
            <w:tcW w:w="82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(6)</w:t>
            </w:r>
          </w:p>
        </w:tc>
        <w:tc>
          <w:tcPr>
            <w:tcW w:w="7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costs and expenses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88"/>
              </w:rPr>
              <w:t>2,919</w:t>
            </w: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253</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$ 1,809</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1,719</w:t>
            </w:r>
          </w:p>
        </w:tc>
        <w:tc>
          <w:tcPr>
            <w:tcW w:w="82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$ 90</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Cable Networks revenue increased for the three months ended June 30, 2014 compared to the same period in 2013 primarily due to increases in distribution and content licensing and other revenue, which were partially offset by a decrease in advertising revenue. The increase in distribution revenue was primarily due to increases in the contractual rates charged under distribution agreements. The increase in content licensing and other revenue was primarily due to the timing of content provided under our licensing agreements. The decrease in advertising revenue was primarily due to a continuing decline in the audience ratings at some of our networks, which were offset by higher prices and an increase in the volume of advertising units sold. Cable Networks revenue for the three months ended June 30, 2014 was also impacted by the absence of Fandango and the Style network in the current year period.</w:t>
      </w:r>
    </w:p>
    <w:p>
      <w:pPr>
        <w:spacing w:after="0" w:line="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Cable Networks revenue increased for the six months ended June 30, 2014 compared to the same period in 2013 primarily due to increases in distribution, advertising, and content licensing and other revenue. The increase in distribution revenue was primarily due to our broadcast of the 2014 Sochi Olympics in February 2014 and increases in contractual rates charged under distribution agreements. The increase in advertising revenue was primarily due to higher advertising revenue associated with the 2014 Sochi Olympics. Advertising revenue was also affected by higher prices and an increase in the volume of advertising units sold, which were offset by continuing declines in audience ratings at some of our networks. The increase in content licensing and other revenue was primarily due to the timing of content provided under our licensing agreements. Cable Networks revenue for the six months ended June 30, 2014 was also impacted by the absence of Fandango and the Style network in the current year period. Excluding $257 million of revenue associated with the 2014 Sochi Olympics, Cable Networks segment revenue increased 1.9% for the six months ended June 30, 2014 compared to the same period in 2013.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both the three and six months ended June 30, 2014, 12% of our Cable Networks segment revenue was generated from our Cable Communications segment. For the three and six months ended June 30, 2013, 12% and 13%, respectively, of our Cable Networks segment revenue was generated from our Cable Communications segment. These amounts are eliminated in our condensed consolidated financial statements but are included in the amounts presented above.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costs and expenses increased for the three and six months ended June 30, 2014 compared to the same periods in 2013 primarily due to an increase in programming and production costs, partially offset by a decrease in other operating and administrative expenses. The increases in programming and production costs in both periods were primarily due to our continued investment in programming, including sports programming rights costs. The increase in programming and production costs for the six months ended June 30, 2014 was also due to higher programming and production costs associated with the 2014 Sochi Olympics. The decreases in other operating and administrative costs for both periods were primarily due to lower employee-related costs and the absence of Fandango and the Style network in the current year periods.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2"/>
          </w:tcPr>
          <w:p>
            <w:pPr>
              <w:jc w:val="right"/>
              <w:ind w:right="295"/>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1380" w:type="dxa"/>
            <w:vAlign w:val="bottom"/>
            <w:gridSpan w:val="2"/>
          </w:tcPr>
          <w:p>
            <w:pPr>
              <w:jc w:val="right"/>
              <w:ind w:right="47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66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5"/>
              <w:spacing w:after="0" w:line="159" w:lineRule="exact"/>
              <w:rPr>
                <w:sz w:val="20"/>
                <w:szCs w:val="20"/>
                <w:color w:val="auto"/>
              </w:rPr>
            </w:pPr>
            <w:r>
              <w:rPr>
                <w:rFonts w:ascii="Arial" w:cs="Arial" w:eastAsia="Arial" w:hAnsi="Arial"/>
                <w:sz w:val="14"/>
                <w:szCs w:val="14"/>
                <w:color w:val="auto"/>
                <w:w w:val="84"/>
              </w:rPr>
              <w:t>June 30</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30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660" w:type="dxa"/>
            <w:vAlign w:val="bottom"/>
            <w:gridSpan w:val="3"/>
            <w:vMerge w:val="continue"/>
          </w:tcPr>
          <w:p>
            <w:pPr>
              <w:spacing w:after="0"/>
              <w:rPr>
                <w:sz w:val="12"/>
                <w:szCs w:val="12"/>
                <w:color w:val="auto"/>
              </w:rPr>
            </w:pPr>
          </w:p>
        </w:tc>
        <w:tc>
          <w:tcPr>
            <w:tcW w:w="960" w:type="dxa"/>
            <w:vAlign w:val="bottom"/>
          </w:tcPr>
          <w:p>
            <w:pPr>
              <w:jc w:val="right"/>
              <w:ind w:right="77"/>
              <w:spacing w:after="0" w:line="142" w:lineRule="exact"/>
              <w:rPr>
                <w:sz w:val="20"/>
                <w:szCs w:val="20"/>
                <w:color w:val="auto"/>
              </w:rPr>
            </w:pPr>
            <w:r>
              <w:rPr>
                <w:rFonts w:ascii="Arial" w:cs="Arial" w:eastAsia="Arial" w:hAnsi="Arial"/>
                <w:sz w:val="14"/>
                <w:szCs w:val="14"/>
                <w:color w:val="auto"/>
              </w:rPr>
              <w:t>2014</w:t>
            </w:r>
          </w:p>
        </w:tc>
        <w:tc>
          <w:tcPr>
            <w:tcW w:w="1180" w:type="dxa"/>
            <w:vAlign w:val="bottom"/>
          </w:tcPr>
          <w:p>
            <w:pPr>
              <w:jc w:val="right"/>
              <w:ind w:right="195"/>
              <w:spacing w:after="0" w:line="142"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2"/>
                <w:szCs w:val="12"/>
                <w:color w:val="auto"/>
              </w:rPr>
            </w:pPr>
          </w:p>
        </w:tc>
        <w:tc>
          <w:tcPr>
            <w:tcW w:w="620" w:type="dxa"/>
            <w:vAlign w:val="bottom"/>
          </w:tcPr>
          <w:p>
            <w:pPr>
              <w:jc w:val="right"/>
              <w:ind w:right="217"/>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tcBorders>
              <w:top w:val="single" w:sz="8" w:color="auto"/>
            </w:tcBorders>
            <w:shd w:val="clear" w:color="auto" w:fill="E5E5E5"/>
          </w:tcPr>
          <w:p>
            <w:pPr>
              <w:spacing w:after="0"/>
              <w:rPr>
                <w:sz w:val="18"/>
                <w:szCs w:val="18"/>
                <w:color w:val="auto"/>
              </w:rPr>
            </w:pPr>
          </w:p>
        </w:tc>
        <w:tc>
          <w:tcPr>
            <w:tcW w:w="11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Advertising</w:t>
            </w:r>
          </w:p>
        </w:tc>
        <w:tc>
          <w:tcPr>
            <w:tcW w:w="960" w:type="dxa"/>
            <w:vAlign w:val="bottom"/>
          </w:tcPr>
          <w:p>
            <w:pPr>
              <w:jc w:val="right"/>
              <w:spacing w:after="0"/>
              <w:rPr>
                <w:sz w:val="20"/>
                <w:szCs w:val="20"/>
                <w:color w:val="auto"/>
              </w:rPr>
            </w:pPr>
            <w:r>
              <w:rPr>
                <w:rFonts w:ascii="Arial" w:cs="Arial" w:eastAsia="Arial" w:hAnsi="Arial"/>
                <w:sz w:val="18"/>
                <w:szCs w:val="18"/>
                <w:color w:val="auto"/>
              </w:rPr>
              <w:t>$ 1,245</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$ 1,267</w:t>
            </w:r>
          </w:p>
        </w:tc>
        <w:tc>
          <w:tcPr>
            <w:tcW w:w="24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344</w:t>
            </w:r>
          </w:p>
        </w:tc>
        <w:tc>
          <w:tcPr>
            <w:tcW w:w="11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48</w:t>
            </w: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58</w:t>
            </w: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1,816</w:t>
            </w:r>
          </w:p>
        </w:tc>
        <w:tc>
          <w:tcPr>
            <w:tcW w:w="1180" w:type="dxa"/>
            <w:vAlign w:val="bottom"/>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1,732</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84</w:t>
            </w: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1,183</w:t>
            </w:r>
          </w:p>
        </w:tc>
        <w:tc>
          <w:tcPr>
            <w:tcW w:w="11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29</w:t>
            </w: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Other operating and administrative</w:t>
            </w: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105</w:t>
            </w:r>
          </w:p>
        </w:tc>
        <w:tc>
          <w:tcPr>
            <w:tcW w:w="11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25</w:t>
            </w:r>
          </w:p>
        </w:tc>
        <w:tc>
          <w:tcPr>
            <w:tcW w:w="76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costs and expenses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1,526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50</w:t>
            </w: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240</w:t>
            </w:r>
          </w:p>
        </w:tc>
        <w:tc>
          <w:tcPr>
            <w:tcW w:w="11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  206</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$ 34</w:t>
            </w:r>
          </w:p>
        </w:tc>
        <w:tc>
          <w:tcPr>
            <w:tcW w:w="76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2"/>
          </w:tcPr>
          <w:p>
            <w:pPr>
              <w:jc w:val="right"/>
              <w:ind w:right="575"/>
              <w:spacing w:after="0"/>
              <w:rPr>
                <w:sz w:val="20"/>
                <w:szCs w:val="20"/>
                <w:color w:val="auto"/>
              </w:rPr>
            </w:pPr>
            <w:r>
              <w:rPr>
                <w:rFonts w:ascii="Arial" w:cs="Arial" w:eastAsia="Arial" w:hAnsi="Arial"/>
                <w:sz w:val="14"/>
                <w:szCs w:val="14"/>
                <w:color w:val="auto"/>
              </w:rPr>
              <w:t>Six Months Ended</w:t>
            </w:r>
          </w:p>
        </w:tc>
        <w:tc>
          <w:tcPr>
            <w:tcW w:w="240" w:type="dxa"/>
            <w:vAlign w:val="bottom"/>
          </w:tcPr>
          <w:p>
            <w:pPr>
              <w:spacing w:after="0"/>
              <w:rPr>
                <w:sz w:val="17"/>
                <w:szCs w:val="17"/>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2"/>
          </w:tcPr>
          <w:p>
            <w:pPr>
              <w:jc w:val="right"/>
              <w:ind w:right="875"/>
              <w:spacing w:after="0" w:line="159" w:lineRule="exact"/>
              <w:rPr>
                <w:sz w:val="20"/>
                <w:szCs w:val="20"/>
                <w:color w:val="auto"/>
              </w:rPr>
            </w:pPr>
            <w:r>
              <w:rPr>
                <w:rFonts w:ascii="Arial" w:cs="Arial" w:eastAsia="Arial" w:hAnsi="Arial"/>
                <w:sz w:val="14"/>
                <w:szCs w:val="14"/>
                <w:color w:val="auto"/>
              </w:rPr>
              <w:t>June 30</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47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4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2"/>
                <w:szCs w:val="12"/>
                <w:color w:val="auto"/>
              </w:rPr>
            </w:pPr>
          </w:p>
        </w:tc>
        <w:tc>
          <w:tcPr>
            <w:tcW w:w="960" w:type="dxa"/>
            <w:vAlign w:val="bottom"/>
          </w:tcPr>
          <w:p>
            <w:pPr>
              <w:jc w:val="right"/>
              <w:ind w:right="297"/>
              <w:spacing w:after="0" w:line="142" w:lineRule="exact"/>
              <w:rPr>
                <w:sz w:val="20"/>
                <w:szCs w:val="20"/>
                <w:color w:val="auto"/>
              </w:rPr>
            </w:pPr>
            <w:r>
              <w:rPr>
                <w:rFonts w:ascii="Arial" w:cs="Arial" w:eastAsia="Arial" w:hAnsi="Arial"/>
                <w:sz w:val="14"/>
                <w:szCs w:val="14"/>
                <w:color w:val="auto"/>
              </w:rPr>
              <w:t>2014</w:t>
            </w:r>
          </w:p>
        </w:tc>
        <w:tc>
          <w:tcPr>
            <w:tcW w:w="1180" w:type="dxa"/>
            <w:vAlign w:val="bottom"/>
          </w:tcPr>
          <w:p>
            <w:pPr>
              <w:jc w:val="right"/>
              <w:ind w:right="415"/>
              <w:spacing w:after="0" w:line="142"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2"/>
                <w:szCs w:val="12"/>
                <w:color w:val="auto"/>
              </w:rPr>
            </w:pPr>
          </w:p>
        </w:tc>
        <w:tc>
          <w:tcPr>
            <w:tcW w:w="620" w:type="dxa"/>
            <w:vAlign w:val="bottom"/>
          </w:tcPr>
          <w:p>
            <w:pPr>
              <w:jc w:val="right"/>
              <w:ind w:right="337"/>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tcBorders>
              <w:top w:val="single" w:sz="8" w:color="auto"/>
            </w:tcBorders>
            <w:shd w:val="clear" w:color="auto" w:fill="E5E5E5"/>
          </w:tcPr>
          <w:p>
            <w:pPr>
              <w:spacing w:after="0"/>
              <w:rPr>
                <w:sz w:val="18"/>
                <w:szCs w:val="18"/>
                <w:color w:val="auto"/>
              </w:rPr>
            </w:pPr>
          </w:p>
        </w:tc>
        <w:tc>
          <w:tcPr>
            <w:tcW w:w="11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Advertising</w:t>
            </w:r>
          </w:p>
        </w:tc>
        <w:tc>
          <w:tcPr>
            <w:tcW w:w="960" w:type="dxa"/>
            <w:vAlign w:val="bottom"/>
          </w:tcPr>
          <w:p>
            <w:pPr>
              <w:jc w:val="right"/>
              <w:ind w:right="157"/>
              <w:spacing w:after="0"/>
              <w:rPr>
                <w:sz w:val="20"/>
                <w:szCs w:val="20"/>
                <w:color w:val="auto"/>
              </w:rPr>
            </w:pPr>
            <w:r>
              <w:rPr>
                <w:rFonts w:ascii="Arial" w:cs="Arial" w:eastAsia="Arial" w:hAnsi="Arial"/>
                <w:sz w:val="18"/>
                <w:szCs w:val="18"/>
                <w:color w:val="auto"/>
              </w:rPr>
              <w:t>$ 3,078</w:t>
            </w:r>
          </w:p>
        </w:tc>
        <w:tc>
          <w:tcPr>
            <w:tcW w:w="1180" w:type="dxa"/>
            <w:vAlign w:val="bottom"/>
          </w:tcPr>
          <w:p>
            <w:pPr>
              <w:jc w:val="right"/>
              <w:ind w:right="275"/>
              <w:spacing w:after="0"/>
              <w:rPr>
                <w:sz w:val="20"/>
                <w:szCs w:val="20"/>
                <w:color w:val="auto"/>
              </w:rPr>
            </w:pPr>
            <w:r>
              <w:rPr>
                <w:rFonts w:ascii="Arial" w:cs="Arial" w:eastAsia="Arial" w:hAnsi="Arial"/>
                <w:sz w:val="18"/>
                <w:szCs w:val="18"/>
                <w:color w:val="auto"/>
              </w:rPr>
              <w:t>$ 2,219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7"/>
              <w:spacing w:after="0"/>
              <w:rPr>
                <w:sz w:val="20"/>
                <w:szCs w:val="20"/>
                <w:color w:val="auto"/>
              </w:rPr>
            </w:pPr>
            <w:r>
              <w:rPr>
                <w:rFonts w:ascii="Arial" w:cs="Arial" w:eastAsia="Arial" w:hAnsi="Arial"/>
                <w:sz w:val="18"/>
                <w:szCs w:val="18"/>
                <w:color w:val="auto"/>
              </w:rPr>
              <w:t>859</w:t>
            </w: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9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840</w:t>
            </w:r>
          </w:p>
        </w:tc>
        <w:tc>
          <w:tcPr>
            <w:tcW w:w="11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147</w:t>
            </w: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519</w:t>
            </w:r>
          </w:p>
        </w:tc>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337</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182</w:t>
            </w: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4,437</w:t>
            </w:r>
          </w:p>
        </w:tc>
        <w:tc>
          <w:tcPr>
            <w:tcW w:w="1180" w:type="dxa"/>
            <w:vAlign w:val="bottom"/>
            <w:shd w:val="clear" w:color="auto" w:fill="E5E5E5"/>
          </w:tcPr>
          <w:p>
            <w:pPr>
              <w:jc w:val="right"/>
              <w:ind w:right="275"/>
              <w:spacing w:after="0"/>
              <w:rPr>
                <w:sz w:val="20"/>
                <w:szCs w:val="20"/>
                <w:color w:val="auto"/>
              </w:rPr>
            </w:pPr>
            <w:r>
              <w:rPr>
                <w:rFonts w:ascii="Arial" w:cs="Arial" w:eastAsia="Arial" w:hAnsi="Arial"/>
                <w:sz w:val="18"/>
                <w:szCs w:val="18"/>
                <w:b w:val="1"/>
                <w:bCs w:val="1"/>
                <w:color w:val="auto"/>
              </w:rPr>
              <w:t>3,249</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7"/>
              <w:spacing w:after="0"/>
              <w:rPr>
                <w:sz w:val="20"/>
                <w:szCs w:val="20"/>
                <w:color w:val="auto"/>
              </w:rPr>
            </w:pPr>
            <w:r>
              <w:rPr>
                <w:rFonts w:ascii="Arial" w:cs="Arial" w:eastAsia="Arial" w:hAnsi="Arial"/>
                <w:sz w:val="18"/>
                <w:szCs w:val="18"/>
                <w:b w:val="1"/>
                <w:bCs w:val="1"/>
                <w:color w:val="auto"/>
                <w:w w:val="84"/>
              </w:rPr>
              <w:t>1,188</w:t>
            </w: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9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3,211</w:t>
            </w:r>
          </w:p>
        </w:tc>
        <w:tc>
          <w:tcPr>
            <w:tcW w:w="11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2,314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897</w:t>
            </w:r>
          </w:p>
        </w:tc>
        <w:tc>
          <w:tcPr>
            <w:tcW w:w="7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Other operating and administrative</w:t>
            </w:r>
          </w:p>
        </w:tc>
        <w:tc>
          <w:tcPr>
            <w:tcW w:w="960" w:type="dxa"/>
            <w:vAlign w:val="bottom"/>
          </w:tcPr>
          <w:p>
            <w:pPr>
              <w:jc w:val="right"/>
              <w:ind w:right="157"/>
              <w:spacing w:after="0"/>
              <w:rPr>
                <w:sz w:val="20"/>
                <w:szCs w:val="20"/>
                <w:color w:val="auto"/>
              </w:rPr>
            </w:pPr>
            <w:r>
              <w:rPr>
                <w:rFonts w:ascii="Arial" w:cs="Arial" w:eastAsia="Arial" w:hAnsi="Arial"/>
                <w:sz w:val="18"/>
                <w:szCs w:val="18"/>
                <w:color w:val="auto"/>
              </w:rPr>
              <w:t>611</w:t>
            </w:r>
          </w:p>
        </w:tc>
        <w:tc>
          <w:tcPr>
            <w:tcW w:w="1180" w:type="dxa"/>
            <w:vAlign w:val="bottom"/>
          </w:tcPr>
          <w:p>
            <w:pPr>
              <w:jc w:val="right"/>
              <w:ind w:right="275"/>
              <w:spacing w:after="0"/>
              <w:rPr>
                <w:sz w:val="20"/>
                <w:szCs w:val="20"/>
                <w:color w:val="auto"/>
              </w:rPr>
            </w:pPr>
            <w:r>
              <w:rPr>
                <w:rFonts w:ascii="Arial" w:cs="Arial" w:eastAsia="Arial" w:hAnsi="Arial"/>
                <w:sz w:val="18"/>
                <w:szCs w:val="18"/>
                <w:color w:val="auto"/>
              </w:rPr>
              <w:t>584</w:t>
            </w:r>
          </w:p>
        </w:tc>
        <w:tc>
          <w:tcPr>
            <w:tcW w:w="240" w:type="dxa"/>
            <w:vAlign w:val="bottom"/>
          </w:tcPr>
          <w:p>
            <w:pPr>
              <w:spacing w:after="0"/>
              <w:rPr>
                <w:sz w:val="18"/>
                <w:szCs w:val="18"/>
                <w:color w:val="auto"/>
              </w:rPr>
            </w:pPr>
          </w:p>
        </w:tc>
        <w:tc>
          <w:tcPr>
            <w:tcW w:w="620" w:type="dxa"/>
            <w:vAlign w:val="bottom"/>
          </w:tcPr>
          <w:p>
            <w:pPr>
              <w:jc w:val="right"/>
              <w:ind w:right="137"/>
              <w:spacing w:after="0"/>
              <w:rPr>
                <w:sz w:val="20"/>
                <w:szCs w:val="20"/>
                <w:color w:val="auto"/>
              </w:rPr>
            </w:pPr>
            <w:r>
              <w:rPr>
                <w:rFonts w:ascii="Arial" w:cs="Arial" w:eastAsia="Arial" w:hAnsi="Arial"/>
                <w:sz w:val="18"/>
                <w:szCs w:val="18"/>
                <w:color w:val="auto"/>
              </w:rPr>
              <w:t>27</w:t>
            </w:r>
          </w:p>
        </w:tc>
        <w:tc>
          <w:tcPr>
            <w:tcW w:w="760" w:type="dxa"/>
            <w:vAlign w:val="bottom"/>
          </w:tcPr>
          <w:p>
            <w:pPr>
              <w:jc w:val="right"/>
              <w:ind w:right="13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9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253</w:t>
            </w:r>
          </w:p>
        </w:tc>
        <w:tc>
          <w:tcPr>
            <w:tcW w:w="118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180</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73</w:t>
            </w: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costs and expenses</w:t>
            </w: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4,075</w:t>
            </w:r>
          </w:p>
        </w:tc>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3,078</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997</w:t>
            </w: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9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  362</w:t>
            </w:r>
          </w:p>
        </w:tc>
        <w:tc>
          <w:tcPr>
            <w:tcW w:w="118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b w:val="1"/>
                <w:bCs w:val="1"/>
                <w:color w:val="auto"/>
              </w:rPr>
              <w:t>$  171</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191</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111.4%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Broadcast Television revenue increased for the three months ended June 30, 2014 compared to the same period in 2013 primarily due to increases in other revenue and content licensing revenue, which were partially offset by a decrease in advertising revenue. The increase in other revenue was primarily due to fees recognized under our retransmission consent agreements. The increase in content licensing revenue was primarily due to a new content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licensing agreement. The decrease in advertising revenue was primarily due to the timing of when certain shows in our primetime schedule were aired, including </w:t>
      </w:r>
      <w:r>
        <w:rPr>
          <w:rFonts w:ascii="Arial" w:cs="Arial" w:eastAsia="Arial" w:hAnsi="Arial"/>
          <w:sz w:val="18"/>
          <w:szCs w:val="18"/>
          <w:i w:val="1"/>
          <w:iCs w:val="1"/>
          <w:color w:val="auto"/>
        </w:rPr>
        <w:t>The Voice</w:t>
      </w:r>
      <w:r>
        <w:rPr>
          <w:rFonts w:ascii="Arial" w:cs="Arial" w:eastAsia="Arial" w:hAnsi="Arial"/>
          <w:sz w:val="18"/>
          <w:szCs w:val="18"/>
          <w:color w:val="auto"/>
        </w:rPr>
        <w:t>, which aired significantly fewer hours in the current year period compared to the prior year period.</w:t>
      </w:r>
    </w:p>
    <w:p>
      <w:pPr>
        <w:spacing w:after="0" w:line="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Broadcast Television revenue increased for the six months ended June 30, 2014 compared to the same period in 2013 primarily due to an increase in advertising revenue associated with our broadcast of the 2014 Sochi Olympics in February 2014, as well as increases in other revenue and content licensing revenue. The increase in other revenue was primarily due to fees recognized under our retransmission consent agreements and other revenue associated with the 2014 Sochi Olympics. The increase in content licensing revenue was primarily due to new content licensing agreements. Excluding $846 million of revenue associated with the 2014 Sochi Olympics, Broadcast Television revenue increased 10.5% for the six months ended June 30, 2014 compared to the same period in 2013 primarily due to higher advertising revenue related to an increase in audience ratings and higher prices of advertising units sold.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Operating costs and expenses increased for the three months ended June 30, 2014 compared to the same period in 2013 primarily due to increases in advertising, marketing and promotion expenses, and in programming and production costs. The increase in advertising, marketing and promotion expenses is primarily due to increased spending associated with our primetime schedule. The increase in programming and production costs is associated with the timing of when certain shows in our primetime schedule were aired, as well as our continued investment in original programming.</w:t>
      </w:r>
    </w:p>
    <w:p>
      <w:pPr>
        <w:spacing w:after="0" w:line="1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Operating costs and expenses increased for the six months ended June 30, 2014 compared to the same period in 2013 primarily due to an increase in programming and production costs associated with our broadcast of the 2014 Sochi Olympics, as well as our continued investment in original programming.</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gridSpan w:val="3"/>
          </w:tcPr>
          <w:p>
            <w:pPr>
              <w:jc w:val="right"/>
              <w:ind w:right="494"/>
              <w:spacing w:after="0"/>
              <w:rPr>
                <w:sz w:val="20"/>
                <w:szCs w:val="20"/>
                <w:color w:val="auto"/>
              </w:rPr>
            </w:pPr>
            <w:r>
              <w:rPr>
                <w:rFonts w:ascii="Arial" w:cs="Arial" w:eastAsia="Arial" w:hAnsi="Arial"/>
                <w:sz w:val="14"/>
                <w:szCs w:val="14"/>
                <w:color w:val="auto"/>
                <w:w w:val="99"/>
              </w:rPr>
              <w:t>Three Months Ended</w:t>
            </w:r>
          </w:p>
        </w:tc>
        <w:tc>
          <w:tcPr>
            <w:tcW w:w="1820" w:type="dxa"/>
            <w:vAlign w:val="bottom"/>
            <w:gridSpan w:val="2"/>
          </w:tcPr>
          <w:p>
            <w:pPr>
              <w:jc w:val="right"/>
              <w:ind w:right="59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1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92"/>
              </w:rPr>
              <w:t>June 30</w:t>
            </w:r>
          </w:p>
        </w:tc>
        <w:tc>
          <w:tcPr>
            <w:tcW w:w="7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right"/>
              <w:ind w:right="55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89"/>
              </w:rPr>
              <w:t>2014</w:t>
            </w:r>
          </w:p>
        </w:tc>
        <w:tc>
          <w:tcPr>
            <w:tcW w:w="6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w w:val="89"/>
              </w:rPr>
              <w:t>2013</w:t>
            </w:r>
          </w:p>
        </w:tc>
        <w:tc>
          <w:tcPr>
            <w:tcW w:w="9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195</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553</w:t>
            </w: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$(358)</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2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462</w:t>
            </w:r>
          </w:p>
        </w:tc>
        <w:tc>
          <w:tcPr>
            <w:tcW w:w="6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406</w:t>
            </w:r>
          </w:p>
        </w:tc>
        <w:tc>
          <w:tcPr>
            <w:tcW w:w="9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56</w:t>
            </w:r>
          </w:p>
        </w:tc>
        <w:tc>
          <w:tcPr>
            <w:tcW w:w="9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2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364</w:t>
            </w:r>
          </w:p>
        </w:tc>
        <w:tc>
          <w:tcPr>
            <w:tcW w:w="68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339</w:t>
            </w:r>
          </w:p>
        </w:tc>
        <w:tc>
          <w:tcPr>
            <w:tcW w:w="920" w:type="dxa"/>
            <w:vAlign w:val="bottom"/>
          </w:tcPr>
          <w:p>
            <w:pPr>
              <w:jc w:val="right"/>
              <w:ind w:right="117"/>
              <w:spacing w:after="0"/>
              <w:rPr>
                <w:sz w:val="20"/>
                <w:szCs w:val="20"/>
                <w:color w:val="auto"/>
              </w:rPr>
            </w:pPr>
            <w:r>
              <w:rPr>
                <w:rFonts w:ascii="Arial" w:cs="Arial" w:eastAsia="Arial" w:hAnsi="Arial"/>
                <w:sz w:val="18"/>
                <w:szCs w:val="18"/>
                <w:color w:val="auto"/>
              </w:rPr>
              <w:t>25</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155</w:t>
            </w:r>
          </w:p>
        </w:tc>
        <w:tc>
          <w:tcPr>
            <w:tcW w:w="6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90</w:t>
            </w:r>
          </w:p>
        </w:tc>
        <w:tc>
          <w:tcPr>
            <w:tcW w:w="92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65</w:t>
            </w:r>
          </w:p>
        </w:tc>
        <w:tc>
          <w:tcPr>
            <w:tcW w:w="90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3"/>
              </w:rPr>
              <w:t>1,176</w:t>
            </w:r>
          </w:p>
        </w:tc>
        <w:tc>
          <w:tcPr>
            <w:tcW w:w="68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b w:val="1"/>
                <w:bCs w:val="1"/>
                <w:color w:val="auto"/>
                <w:w w:val="88"/>
              </w:rPr>
              <w:t>1,388</w:t>
            </w:r>
          </w:p>
        </w:tc>
        <w:tc>
          <w:tcPr>
            <w:tcW w:w="920" w:type="dxa"/>
            <w:vAlign w:val="bottom"/>
          </w:tcPr>
          <w:p>
            <w:pPr>
              <w:jc w:val="right"/>
              <w:ind w:right="57"/>
              <w:spacing w:after="0"/>
              <w:rPr>
                <w:sz w:val="20"/>
                <w:szCs w:val="20"/>
                <w:color w:val="auto"/>
              </w:rPr>
            </w:pPr>
            <w:r>
              <w:rPr>
                <w:rFonts w:ascii="Arial" w:cs="Arial" w:eastAsia="Arial" w:hAnsi="Arial"/>
                <w:sz w:val="18"/>
                <w:szCs w:val="18"/>
                <w:b w:val="1"/>
                <w:bCs w:val="1"/>
                <w:color w:val="auto"/>
              </w:rPr>
              <w:t>(212)</w:t>
            </w:r>
          </w:p>
        </w:tc>
        <w:tc>
          <w:tcPr>
            <w:tcW w:w="900" w:type="dxa"/>
            <w:vAlign w:val="bottom"/>
          </w:tcPr>
          <w:p>
            <w:pPr>
              <w:jc w:val="right"/>
              <w:ind w:right="194"/>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2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2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547</w:t>
            </w:r>
          </w:p>
        </w:tc>
        <w:tc>
          <w:tcPr>
            <w:tcW w:w="68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817</w:t>
            </w: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(270)</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21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209</w:t>
            </w:r>
          </w:p>
        </w:tc>
        <w:tc>
          <w:tcPr>
            <w:tcW w:w="6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163</w:t>
            </w:r>
          </w:p>
        </w:tc>
        <w:tc>
          <w:tcPr>
            <w:tcW w:w="9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46</w:t>
            </w:r>
          </w:p>
        </w:tc>
        <w:tc>
          <w:tcPr>
            <w:tcW w:w="9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2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375</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(150)</w:t>
            </w: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981</w:t>
            </w:r>
          </w:p>
        </w:tc>
        <w:tc>
          <w:tcPr>
            <w:tcW w:w="6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w w:val="88"/>
              </w:rPr>
              <w:t>1,355</w:t>
            </w:r>
          </w:p>
        </w:tc>
        <w:tc>
          <w:tcPr>
            <w:tcW w:w="92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(374)</w:t>
            </w:r>
          </w:p>
        </w:tc>
        <w:tc>
          <w:tcPr>
            <w:tcW w:w="90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33</w:t>
            </w: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$ 162</w:t>
            </w: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482.7%</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2180" w:type="dxa"/>
            <w:vAlign w:val="bottom"/>
          </w:tcPr>
          <w:p>
            <w:pPr>
              <w:jc w:val="right"/>
              <w:ind w:right="1172"/>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gridSpan w:val="3"/>
          </w:tcPr>
          <w:p>
            <w:pPr>
              <w:jc w:val="right"/>
              <w:ind w:right="574"/>
              <w:spacing w:after="0"/>
              <w:rPr>
                <w:sz w:val="20"/>
                <w:szCs w:val="20"/>
                <w:color w:val="auto"/>
              </w:rPr>
            </w:pPr>
            <w:r>
              <w:rPr>
                <w:rFonts w:ascii="Arial" w:cs="Arial" w:eastAsia="Arial" w:hAnsi="Arial"/>
                <w:sz w:val="14"/>
                <w:szCs w:val="14"/>
                <w:color w:val="auto"/>
              </w:rPr>
              <w:t>Six Months Ended</w:t>
            </w:r>
          </w:p>
        </w:tc>
        <w:tc>
          <w:tcPr>
            <w:tcW w:w="1820" w:type="dxa"/>
            <w:vAlign w:val="bottom"/>
            <w:gridSpan w:val="2"/>
          </w:tcPr>
          <w:p>
            <w:pPr>
              <w:jc w:val="right"/>
              <w:ind w:right="59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0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92"/>
              </w:rPr>
              <w:t>June 30</w:t>
            </w:r>
          </w:p>
        </w:tc>
        <w:tc>
          <w:tcPr>
            <w:tcW w:w="7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right"/>
              <w:ind w:right="55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08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89"/>
              </w:rPr>
              <w:t>2014</w:t>
            </w:r>
          </w:p>
        </w:tc>
        <w:tc>
          <w:tcPr>
            <w:tcW w:w="6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w w:val="89"/>
              </w:rPr>
              <w:t>2013</w:t>
            </w:r>
          </w:p>
        </w:tc>
        <w:tc>
          <w:tcPr>
            <w:tcW w:w="9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866</w:t>
            </w: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$(295)</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7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927</w:t>
            </w:r>
          </w:p>
        </w:tc>
        <w:tc>
          <w:tcPr>
            <w:tcW w:w="6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844</w:t>
            </w:r>
          </w:p>
        </w:tc>
        <w:tc>
          <w:tcPr>
            <w:tcW w:w="9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83</w:t>
            </w:r>
          </w:p>
        </w:tc>
        <w:tc>
          <w:tcPr>
            <w:tcW w:w="9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715</w:t>
            </w:r>
          </w:p>
        </w:tc>
        <w:tc>
          <w:tcPr>
            <w:tcW w:w="68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710</w:t>
            </w:r>
          </w:p>
        </w:tc>
        <w:tc>
          <w:tcPr>
            <w:tcW w:w="920" w:type="dxa"/>
            <w:vAlign w:val="bottom"/>
          </w:tcPr>
          <w:p>
            <w:pPr>
              <w:jc w:val="right"/>
              <w:ind w:right="117"/>
              <w:spacing w:after="0"/>
              <w:rPr>
                <w:sz w:val="20"/>
                <w:szCs w:val="20"/>
                <w:color w:val="auto"/>
              </w:rPr>
            </w:pPr>
            <w:r>
              <w:rPr>
                <w:rFonts w:ascii="Arial" w:cs="Arial" w:eastAsia="Arial" w:hAnsi="Arial"/>
                <w:sz w:val="18"/>
                <w:szCs w:val="18"/>
                <w:color w:val="auto"/>
              </w:rPr>
              <w:t>5</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314</w:t>
            </w:r>
          </w:p>
        </w:tc>
        <w:tc>
          <w:tcPr>
            <w:tcW w:w="6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184</w:t>
            </w:r>
          </w:p>
        </w:tc>
        <w:tc>
          <w:tcPr>
            <w:tcW w:w="92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130</w:t>
            </w:r>
          </w:p>
        </w:tc>
        <w:tc>
          <w:tcPr>
            <w:tcW w:w="90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3"/>
              </w:rPr>
              <w:t>2,527</w:t>
            </w:r>
          </w:p>
        </w:tc>
        <w:tc>
          <w:tcPr>
            <w:tcW w:w="68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b w:val="1"/>
                <w:bCs w:val="1"/>
                <w:color w:val="auto"/>
                <w:w w:val="88"/>
              </w:rPr>
              <w:t>2,604</w:t>
            </w:r>
          </w:p>
        </w:tc>
        <w:tc>
          <w:tcPr>
            <w:tcW w:w="920" w:type="dxa"/>
            <w:vAlign w:val="bottom"/>
          </w:tcPr>
          <w:p>
            <w:pPr>
              <w:jc w:val="right"/>
              <w:ind w:right="57"/>
              <w:spacing w:after="0"/>
              <w:rPr>
                <w:sz w:val="20"/>
                <w:szCs w:val="20"/>
                <w:color w:val="auto"/>
              </w:rPr>
            </w:pPr>
            <w:r>
              <w:rPr>
                <w:rFonts w:ascii="Arial" w:cs="Arial" w:eastAsia="Arial" w:hAnsi="Arial"/>
                <w:sz w:val="18"/>
                <w:szCs w:val="18"/>
                <w:b w:val="1"/>
                <w:bCs w:val="1"/>
                <w:color w:val="auto"/>
              </w:rPr>
              <w:t>(77)</w:t>
            </w:r>
          </w:p>
        </w:tc>
        <w:tc>
          <w:tcPr>
            <w:tcW w:w="900" w:type="dxa"/>
            <w:vAlign w:val="bottom"/>
          </w:tcPr>
          <w:p>
            <w:pPr>
              <w:jc w:val="right"/>
              <w:ind w:right="194"/>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6"/>
        </w:trPr>
        <w:tc>
          <w:tcPr>
            <w:tcW w:w="7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1,151</w:t>
            </w:r>
          </w:p>
        </w:tc>
        <w:tc>
          <w:tcPr>
            <w:tcW w:w="68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w w:val="88"/>
              </w:rPr>
              <w:t>1,515</w:t>
            </w: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(364)</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7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397</w:t>
            </w:r>
          </w:p>
        </w:tc>
        <w:tc>
          <w:tcPr>
            <w:tcW w:w="6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331</w:t>
            </w:r>
          </w:p>
        </w:tc>
        <w:tc>
          <w:tcPr>
            <w:tcW w:w="9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66</w:t>
            </w:r>
          </w:p>
        </w:tc>
        <w:tc>
          <w:tcPr>
            <w:tcW w:w="9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656</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(160)</w:t>
            </w: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6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2,044</w:t>
            </w:r>
          </w:p>
        </w:tc>
        <w:tc>
          <w:tcPr>
            <w:tcW w:w="6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w w:val="88"/>
              </w:rPr>
              <w:t>2,502</w:t>
            </w:r>
          </w:p>
        </w:tc>
        <w:tc>
          <w:tcPr>
            <w:tcW w:w="92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(458)</w:t>
            </w:r>
          </w:p>
        </w:tc>
        <w:tc>
          <w:tcPr>
            <w:tcW w:w="90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102</w:t>
            </w: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$ 381</w:t>
            </w: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372.6%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Filmed Entertainment revenue decreased for the three and six months ended June 30, 2014 compared to the same</w:t>
      </w:r>
    </w:p>
    <w:p>
      <w:pPr>
        <w:spacing w:after="0" w:line="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periods in 2013 primarily due to decreases in theatrical revenue which were partially offset by increases in other revenue and content licensing revenue. The decrease in theatrical revenue for the three months ended June 30, 2014 was primarily due to the performance of our prior year period releases, including </w:t>
      </w:r>
      <w:r>
        <w:rPr>
          <w:rFonts w:ascii="Arial" w:cs="Arial" w:eastAsia="Arial" w:hAnsi="Arial"/>
          <w:sz w:val="16"/>
          <w:szCs w:val="16"/>
          <w:i w:val="1"/>
          <w:iCs w:val="1"/>
          <w:color w:val="auto"/>
        </w:rPr>
        <w:t>Fast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Furious 6 </w:t>
      </w:r>
      <w:r>
        <w:rPr>
          <w:rFonts w:ascii="Arial" w:cs="Arial" w:eastAsia="Arial" w:hAnsi="Arial"/>
          <w:sz w:val="16"/>
          <w:szCs w:val="16"/>
          <w:color w:val="auto"/>
        </w:rPr>
        <w:t>and</w:t>
      </w:r>
      <w:r>
        <w:rPr>
          <w:rFonts w:ascii="Arial" w:cs="Arial" w:eastAsia="Arial" w:hAnsi="Arial"/>
          <w:sz w:val="16"/>
          <w:szCs w:val="16"/>
          <w:i w:val="1"/>
          <w:iCs w:val="1"/>
          <w:color w:val="auto"/>
        </w:rPr>
        <w:t xml:space="preserve"> Oblivion</w:t>
      </w:r>
      <w:r>
        <w:rPr>
          <w:rFonts w:ascii="Arial" w:cs="Arial" w:eastAsia="Arial" w:hAnsi="Arial"/>
          <w:sz w:val="16"/>
          <w:szCs w:val="16"/>
          <w:color w:val="auto"/>
        </w:rPr>
        <w:t>, which were partially offset by the performance of our current period releases, including</w:t>
      </w:r>
      <w:r>
        <w:rPr>
          <w:rFonts w:ascii="Arial" w:cs="Arial" w:eastAsia="Arial" w:hAnsi="Arial"/>
          <w:sz w:val="16"/>
          <w:szCs w:val="16"/>
          <w:i w:val="1"/>
          <w:iCs w:val="1"/>
          <w:color w:val="auto"/>
        </w:rPr>
        <w:t xml:space="preserve"> Neighbors</w:t>
      </w:r>
      <w:r>
        <w:rPr>
          <w:rFonts w:ascii="Arial" w:cs="Arial" w:eastAsia="Arial" w:hAnsi="Arial"/>
          <w:sz w:val="16"/>
          <w:szCs w:val="16"/>
          <w:color w:val="auto"/>
        </w:rPr>
        <w:t>.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2014 was also impacted by the performance of our first quarter 2014 releases, including </w:t>
      </w:r>
      <w:r>
        <w:rPr>
          <w:rFonts w:ascii="Arial" w:cs="Arial" w:eastAsia="Arial" w:hAnsi="Arial"/>
          <w:sz w:val="16"/>
          <w:szCs w:val="16"/>
          <w:i w:val="1"/>
          <w:iCs w:val="1"/>
          <w:color w:val="auto"/>
        </w:rPr>
        <w:t>Ride Along</w:t>
      </w:r>
      <w:r>
        <w:rPr>
          <w:rFonts w:ascii="Arial" w:cs="Arial" w:eastAsia="Arial" w:hAnsi="Arial"/>
          <w:sz w:val="16"/>
          <w:szCs w:val="16"/>
          <w:color w:val="auto"/>
        </w:rPr>
        <w:t xml:space="preserve"> and </w:t>
      </w:r>
      <w:r>
        <w:rPr>
          <w:rFonts w:ascii="Arial" w:cs="Arial" w:eastAsia="Arial" w:hAnsi="Arial"/>
          <w:sz w:val="16"/>
          <w:szCs w:val="16"/>
          <w:i w:val="1"/>
          <w:iCs w:val="1"/>
          <w:color w:val="auto"/>
        </w:rPr>
        <w:t>Lone Survivor,</w:t>
      </w:r>
      <w:r>
        <w:rPr>
          <w:rFonts w:ascii="Arial" w:cs="Arial" w:eastAsia="Arial" w:hAnsi="Arial"/>
          <w:sz w:val="16"/>
          <w:szCs w:val="16"/>
          <w:color w:val="auto"/>
        </w:rPr>
        <w:t xml:space="preserve"> and the international performance of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Wolf of Wall Street</w:t>
      </w:r>
      <w:r>
        <w:rPr>
          <w:rFonts w:ascii="Arial" w:cs="Arial" w:eastAsia="Arial" w:hAnsi="Arial"/>
          <w:sz w:val="16"/>
          <w:szCs w:val="16"/>
          <w:color w:val="auto"/>
        </w:rPr>
        <w:t>. The increase in other revenue was primarily due to the inclusion in 2014 of Fandango, which was previously presented in our Cable Networks</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The increases in content licensing revenue in both periods were primarily due to the timing of licensing agreements related to our film library.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Operating costs and expenses decreased for the three and six months ended June 30, 2014 compared to the same periods in 2013 primarily due to lower amortization of film cost and a decrease in advertising, marketing and promotion expenses, which was primarily due to a smaller film slate in the current year periods compared to the same periods in 2013. Operating costs and expenses for both the three and six months ended June 30, 2014 included $18 million of expense associated with fair value adjustments to capitalized film production costs. Operating costs and expenses for the three and six months ended June 30, 2013 included $47 million and $113 million, respectively, of expense associated with fair value adjustments to capitalized film production costs.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496"/>
              <w:spacing w:after="0"/>
              <w:rPr>
                <w:sz w:val="20"/>
                <w:szCs w:val="20"/>
                <w:color w:val="auto"/>
              </w:rPr>
            </w:pPr>
            <w:r>
              <w:rPr>
                <w:rFonts w:ascii="Arial" w:cs="Arial" w:eastAsia="Arial" w:hAnsi="Arial"/>
                <w:sz w:val="14"/>
                <w:szCs w:val="14"/>
                <w:color w:val="auto"/>
                <w:w w:val="94"/>
              </w:rPr>
              <w:t>Three Months Ended</w:t>
            </w:r>
          </w:p>
        </w:tc>
        <w:tc>
          <w:tcPr>
            <w:tcW w:w="1320" w:type="dxa"/>
            <w:vAlign w:val="bottom"/>
            <w:gridSpan w:val="2"/>
          </w:tcPr>
          <w:p>
            <w:pPr>
              <w:jc w:val="right"/>
              <w:ind w:right="37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8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39"/>
              <w:spacing w:after="0" w:line="159" w:lineRule="exact"/>
              <w:rPr>
                <w:sz w:val="20"/>
                <w:szCs w:val="20"/>
                <w:color w:val="auto"/>
              </w:rPr>
            </w:pPr>
            <w:r>
              <w:rPr>
                <w:rFonts w:ascii="Arial" w:cs="Arial" w:eastAsia="Arial" w:hAnsi="Arial"/>
                <w:sz w:val="14"/>
                <w:szCs w:val="14"/>
                <w:color w:val="auto"/>
              </w:rPr>
              <w:t>June 30</w:t>
            </w:r>
          </w:p>
        </w:tc>
        <w:tc>
          <w:tcPr>
            <w:tcW w:w="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31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83"/>
              </w:rPr>
              <w:t>2014</w:t>
            </w: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396"/>
              <w:spacing w:after="0" w:line="142" w:lineRule="exact"/>
              <w:rPr>
                <w:sz w:val="20"/>
                <w:szCs w:val="20"/>
                <w:color w:val="auto"/>
              </w:rPr>
            </w:pPr>
            <w:r>
              <w:rPr>
                <w:rFonts w:ascii="Arial" w:cs="Arial" w:eastAsia="Arial" w:hAnsi="Arial"/>
                <w:sz w:val="14"/>
                <w:szCs w:val="14"/>
                <w:color w:val="auto"/>
              </w:rPr>
              <w:t>2013</w:t>
            </w:r>
          </w:p>
        </w:tc>
        <w:tc>
          <w:tcPr>
            <w:tcW w:w="66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360" w:type="dxa"/>
            <w:vAlign w:val="bottom"/>
            <w:gridSpan w:val="3"/>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ind w:left="160"/>
              <w:spacing w:after="0"/>
              <w:rPr>
                <w:sz w:val="20"/>
                <w:szCs w:val="20"/>
                <w:color w:val="auto"/>
              </w:rPr>
            </w:pPr>
            <w:r>
              <w:rPr>
                <w:rFonts w:ascii="Arial" w:cs="Arial" w:eastAsia="Arial" w:hAnsi="Arial"/>
                <w:sz w:val="18"/>
                <w:szCs w:val="18"/>
                <w:color w:val="auto"/>
              </w:rPr>
              <w:t>615</w:t>
            </w:r>
          </w:p>
        </w:tc>
        <w:tc>
          <w:tcPr>
            <w:tcW w:w="50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w w:val="79"/>
              </w:rPr>
              <w:t>546</w:t>
            </w:r>
          </w:p>
        </w:tc>
        <w:tc>
          <w:tcPr>
            <w:tcW w:w="660" w:type="dxa"/>
            <w:vAlign w:val="bottom"/>
            <w:shd w:val="clear" w:color="auto" w:fill="E5E5E5"/>
          </w:tcPr>
          <w:p>
            <w:pPr>
              <w:jc w:val="right"/>
              <w:ind w:right="162"/>
              <w:spacing w:after="0"/>
              <w:rPr>
                <w:sz w:val="20"/>
                <w:szCs w:val="20"/>
                <w:color w:val="auto"/>
              </w:rPr>
            </w:pPr>
            <w:r>
              <w:rPr>
                <w:rFonts w:ascii="Arial" w:cs="Arial" w:eastAsia="Arial" w:hAnsi="Arial"/>
                <w:sz w:val="18"/>
                <w:szCs w:val="18"/>
                <w:color w:val="auto"/>
              </w:rPr>
              <w:t>$69</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371</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315</w:t>
            </w: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56</w:t>
            </w: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360" w:type="dxa"/>
            <w:vAlign w:val="bottom"/>
            <w:tcBorders>
              <w:bottom w:val="single" w:sz="8" w:color="auto"/>
            </w:tcBorders>
            <w:gridSpan w:val="3"/>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gridSpan w:val="2"/>
            <w:shd w:val="clear" w:color="auto" w:fill="E5E5E5"/>
          </w:tcPr>
          <w:p>
            <w:pPr>
              <w:ind w:left="160"/>
              <w:spacing w:after="0"/>
              <w:rPr>
                <w:sz w:val="20"/>
                <w:szCs w:val="20"/>
                <w:color w:val="auto"/>
              </w:rPr>
            </w:pPr>
            <w:r>
              <w:rPr>
                <w:rFonts w:ascii="Arial" w:cs="Arial" w:eastAsia="Arial" w:hAnsi="Arial"/>
                <w:sz w:val="18"/>
                <w:szCs w:val="18"/>
                <w:b w:val="1"/>
                <w:bCs w:val="1"/>
                <w:color w:val="auto"/>
              </w:rPr>
              <w:t>244</w:t>
            </w:r>
          </w:p>
        </w:tc>
        <w:tc>
          <w:tcPr>
            <w:tcW w:w="50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b w:val="1"/>
                <w:bCs w:val="1"/>
                <w:color w:val="auto"/>
                <w:w w:val="79"/>
              </w:rPr>
              <w:t>231</w:t>
            </w:r>
          </w:p>
        </w:tc>
        <w:tc>
          <w:tcPr>
            <w:tcW w:w="66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b w:val="1"/>
                <w:bCs w:val="1"/>
                <w:color w:val="auto"/>
              </w:rPr>
              <w:t>$13</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ind w:right="336"/>
              <w:spacing w:after="0"/>
              <w:rPr>
                <w:sz w:val="20"/>
                <w:szCs w:val="20"/>
                <w:color w:val="auto"/>
              </w:rPr>
            </w:pPr>
            <w:r>
              <w:rPr>
                <w:rFonts w:ascii="Arial" w:cs="Arial" w:eastAsia="Arial" w:hAnsi="Arial"/>
                <w:sz w:val="14"/>
                <w:szCs w:val="14"/>
                <w:color w:val="auto"/>
                <w:w w:val="96"/>
              </w:rPr>
              <w:t>Six Months Ended</w:t>
            </w:r>
          </w:p>
        </w:tc>
        <w:tc>
          <w:tcPr>
            <w:tcW w:w="1320" w:type="dxa"/>
            <w:vAlign w:val="bottom"/>
            <w:gridSpan w:val="2"/>
          </w:tcPr>
          <w:p>
            <w:pPr>
              <w:jc w:val="right"/>
              <w:ind w:right="31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0"/>
              </w:rPr>
              <w:t>June 30</w:t>
            </w:r>
          </w:p>
        </w:tc>
        <w:tc>
          <w:tcPr>
            <w:tcW w:w="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27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w w:val="83"/>
              </w:rPr>
              <w:t>2014</w:t>
            </w:r>
          </w:p>
        </w:tc>
        <w:tc>
          <w:tcPr>
            <w:tcW w:w="5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color w:val="auto"/>
                <w:w w:val="96"/>
              </w:rPr>
              <w:t>2013</w:t>
            </w:r>
          </w:p>
        </w:tc>
        <w:tc>
          <w:tcPr>
            <w:tcW w:w="66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8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00" w:type="dxa"/>
            <w:vAlign w:val="bottom"/>
            <w:shd w:val="clear" w:color="auto" w:fill="E5E5E5"/>
          </w:tcPr>
          <w:p>
            <w:pPr>
              <w:ind w:left="18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1,102</w:t>
            </w:r>
          </w:p>
        </w:tc>
        <w:tc>
          <w:tcPr>
            <w:tcW w:w="1120" w:type="dxa"/>
            <w:vAlign w:val="bottom"/>
            <w:gridSpan w:val="2"/>
            <w:shd w:val="clear" w:color="auto" w:fill="E5E5E5"/>
          </w:tcPr>
          <w:p>
            <w:pPr>
              <w:jc w:val="right"/>
              <w:ind w:right="76"/>
              <w:spacing w:after="0"/>
              <w:rPr>
                <w:sz w:val="20"/>
                <w:szCs w:val="20"/>
                <w:color w:val="auto"/>
              </w:rPr>
            </w:pPr>
            <w:r>
              <w:rPr>
                <w:rFonts w:ascii="Arial" w:cs="Arial" w:eastAsia="Arial" w:hAnsi="Arial"/>
                <w:sz w:val="18"/>
                <w:szCs w:val="18"/>
                <w:color w:val="auto"/>
              </w:rPr>
              <w:t>$ 1,008</w:t>
            </w:r>
          </w:p>
        </w:tc>
        <w:tc>
          <w:tcPr>
            <w:tcW w:w="660" w:type="dxa"/>
            <w:vAlign w:val="bottom"/>
            <w:shd w:val="clear" w:color="auto" w:fill="E5E5E5"/>
          </w:tcPr>
          <w:p>
            <w:pPr>
              <w:jc w:val="right"/>
              <w:ind w:right="62"/>
              <w:spacing w:after="0"/>
              <w:rPr>
                <w:sz w:val="20"/>
                <w:szCs w:val="20"/>
                <w:color w:val="auto"/>
              </w:rPr>
            </w:pPr>
            <w:r>
              <w:rPr>
                <w:rFonts w:ascii="Arial" w:cs="Arial" w:eastAsia="Arial" w:hAnsi="Arial"/>
                <w:sz w:val="18"/>
                <w:szCs w:val="18"/>
                <w:color w:val="auto"/>
              </w:rPr>
              <w:t>$94</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604</w:t>
            </w: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84</w:t>
            </w: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84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414</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b w:val="1"/>
                <w:bCs w:val="1"/>
                <w:color w:val="auto"/>
              </w:rPr>
              <w:t>404</w:t>
            </w:r>
          </w:p>
        </w:tc>
        <w:tc>
          <w:tcPr>
            <w:tcW w:w="66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8"/>
                <w:szCs w:val="18"/>
                <w:b w:val="1"/>
                <w:bCs w:val="1"/>
                <w:color w:val="auto"/>
              </w:rPr>
              <w:t>$10</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2840" w:type="dxa"/>
            <w:vAlign w:val="bottom"/>
          </w:tcPr>
          <w:p>
            <w:pPr>
              <w:jc w:val="right"/>
              <w:ind w:right="1832"/>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Theme Parks revenue increased for the three and six months ended June 30, 2014 compared to the same periods in 2013 primarily due to higher guest attendance and increases in per capita spending. The three months ended June 30, 2014 included the benefit of a shift in the timing of holidays to the second quarter in 2014 from the first quarter in 2013.</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Operating costs and expenses increased for the three and six months ended June 30, 2014 compared to the same periods in 2013 primarily due to costs associated with additional attractions, such as Orlando’s </w:t>
      </w:r>
      <w:r>
        <w:rPr>
          <w:rFonts w:ascii="Arial" w:cs="Arial" w:eastAsia="Arial" w:hAnsi="Arial"/>
          <w:sz w:val="16"/>
          <w:szCs w:val="16"/>
          <w:i w:val="1"/>
          <w:iCs w:val="1"/>
          <w:color w:val="auto"/>
        </w:rPr>
        <w:t>The Wizarding World of Harry Potter</w:t>
      </w:r>
      <w:r>
        <w:rPr>
          <w:rFonts w:ascii="Arial" w:cs="Arial" w:eastAsia="Arial" w:hAnsi="Arial"/>
          <w:sz w:val="16"/>
          <w:szCs w:val="16"/>
          <w:color w:val="auto"/>
        </w:rPr>
        <w:t xml:space="preserve"> </w:t>
      </w:r>
      <w:r>
        <w:rPr>
          <w:rFonts w:ascii="Arial" w:cs="Arial" w:eastAsia="Arial" w:hAnsi="Arial"/>
          <w:sz w:val="10"/>
          <w:szCs w:val="10"/>
          <w:i w:val="1"/>
          <w:iCs w:val="1"/>
          <w:color w:val="auto"/>
        </w:rPr>
        <w:t>TM</w:t>
      </w:r>
      <w:r>
        <w:rPr>
          <w:rFonts w:ascii="Arial" w:cs="Arial" w:eastAsia="Arial" w:hAnsi="Arial"/>
          <w:sz w:val="16"/>
          <w:szCs w:val="16"/>
          <w:color w:val="auto"/>
        </w:rPr>
        <w:t>—</w:t>
      </w:r>
      <w:r>
        <w:rPr>
          <w:rFonts w:ascii="Arial" w:cs="Arial" w:eastAsia="Arial" w:hAnsi="Arial"/>
          <w:sz w:val="16"/>
          <w:szCs w:val="16"/>
          <w:i w:val="1"/>
          <w:iCs w:val="1"/>
          <w:color w:val="auto"/>
        </w:rPr>
        <w:t>Diagon Alley</w:t>
      </w:r>
      <w:r>
        <w:rPr>
          <w:rFonts w:ascii="Arial" w:cs="Arial" w:eastAsia="Arial" w:hAnsi="Arial"/>
          <w:sz w:val="16"/>
          <w:szCs w:val="16"/>
          <w:color w:val="auto"/>
        </w:rPr>
        <w:t xml:space="preserve"> </w:t>
      </w:r>
      <w:r>
        <w:rPr>
          <w:rFonts w:ascii="Arial" w:cs="Arial" w:eastAsia="Arial" w:hAnsi="Arial"/>
          <w:sz w:val="10"/>
          <w:szCs w:val="10"/>
          <w:i w:val="1"/>
          <w:iCs w:val="1"/>
          <w:color w:val="auto"/>
        </w:rPr>
        <w:t>TM</w:t>
      </w:r>
      <w:r>
        <w:rPr>
          <w:rFonts w:ascii="Arial" w:cs="Arial" w:eastAsia="Arial" w:hAnsi="Arial"/>
          <w:sz w:val="16"/>
          <w:szCs w:val="16"/>
          <w:color w:val="auto"/>
        </w:rPr>
        <w:t>, and an increase in per capita spending.</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Headquarters, Other and Eliminations</w:t>
      </w:r>
    </w:p>
    <w:p>
      <w:pPr>
        <w:spacing w:after="0" w:line="8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change in operating income (loss) before depreciation and amortization for headquarters, other and eliminations for the three and six months ended June 30, 2014 compared to the same periods in 2013 was primarily due to higher employee-related costs, including severance costs.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right"/>
              <w:ind w:right="375"/>
              <w:spacing w:after="0"/>
              <w:rPr>
                <w:sz w:val="20"/>
                <w:szCs w:val="20"/>
                <w:color w:val="auto"/>
              </w:rPr>
            </w:pPr>
            <w:r>
              <w:rPr>
                <w:rFonts w:ascii="Arial" w:cs="Arial" w:eastAsia="Arial" w:hAnsi="Arial"/>
                <w:sz w:val="14"/>
                <w:szCs w:val="14"/>
                <w:color w:val="auto"/>
                <w:w w:val="94"/>
              </w:rPr>
              <w:t>Three Months Ended</w:t>
            </w:r>
          </w:p>
        </w:tc>
        <w:tc>
          <w:tcPr>
            <w:tcW w:w="1600" w:type="dxa"/>
            <w:vAlign w:val="bottom"/>
            <w:gridSpan w:val="2"/>
          </w:tcPr>
          <w:p>
            <w:pPr>
              <w:jc w:val="right"/>
              <w:ind w:right="49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76"/>
              <w:spacing w:after="0" w:line="159" w:lineRule="exact"/>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ind w:right="45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auto"/>
            </w:tcBorders>
            <w:gridSpan w:val="2"/>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color w:val="auto"/>
                <w:w w:val="89"/>
              </w:rPr>
              <w:t>2014</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color w:val="auto"/>
                <w:w w:val="83"/>
              </w:rPr>
              <w:t>2013</w:t>
            </w:r>
          </w:p>
        </w:tc>
        <w:tc>
          <w:tcPr>
            <w:tcW w:w="78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58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341"/>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136</w:t>
            </w:r>
          </w:p>
        </w:tc>
        <w:tc>
          <w:tcPr>
            <w:tcW w:w="780" w:type="dxa"/>
            <w:vAlign w:val="bottom"/>
            <w:shd w:val="clear" w:color="auto" w:fill="E5E5E5"/>
          </w:tcPr>
          <w:p>
            <w:pPr>
              <w:jc w:val="right"/>
              <w:ind w:right="82"/>
              <w:spacing w:after="0"/>
              <w:rPr>
                <w:sz w:val="20"/>
                <w:szCs w:val="20"/>
                <w:color w:val="auto"/>
              </w:rPr>
            </w:pPr>
            <w:r>
              <w:rPr>
                <w:rFonts w:ascii="Arial" w:cs="Arial" w:eastAsia="Arial" w:hAnsi="Arial"/>
                <w:sz w:val="18"/>
                <w:szCs w:val="18"/>
                <w:color w:val="auto"/>
              </w:rPr>
              <w:t>$ 36</w:t>
            </w: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255</w:t>
            </w:r>
          </w:p>
        </w:tc>
        <w:tc>
          <w:tcPr>
            <w:tcW w:w="78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99</w:t>
            </w: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7"/>
        </w:trPr>
        <w:tc>
          <w:tcPr>
            <w:tcW w:w="75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281"/>
              <w:spacing w:after="0"/>
              <w:rPr>
                <w:sz w:val="20"/>
                <w:szCs w:val="20"/>
                <w:color w:val="auto"/>
              </w:rPr>
            </w:pPr>
            <w:r>
              <w:rPr>
                <w:rFonts w:ascii="Arial" w:cs="Arial" w:eastAsia="Arial" w:hAnsi="Arial"/>
                <w:sz w:val="18"/>
                <w:szCs w:val="18"/>
                <w:b w:val="1"/>
                <w:bCs w:val="1"/>
                <w:color w:val="auto"/>
              </w:rPr>
              <w:t>(182)</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(119)</w:t>
            </w:r>
          </w:p>
        </w:tc>
        <w:tc>
          <w:tcPr>
            <w:tcW w:w="78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b w:val="1"/>
                <w:bCs w:val="1"/>
                <w:color w:val="auto"/>
              </w:rPr>
              <w:t>$(63)</w:t>
            </w:r>
          </w:p>
        </w:tc>
        <w:tc>
          <w:tcPr>
            <w:tcW w:w="8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(53.9)%</w:t>
            </w:r>
          </w:p>
        </w:tc>
        <w:tc>
          <w:tcPr>
            <w:tcW w:w="0" w:type="dxa"/>
            <w:vAlign w:val="bottom"/>
          </w:tcPr>
          <w:p>
            <w:pPr>
              <w:spacing w:after="0"/>
              <w:rPr>
                <w:sz w:val="1"/>
                <w:szCs w:val="1"/>
                <w:color w:val="auto"/>
              </w:rPr>
            </w:pPr>
          </w:p>
        </w:tc>
      </w:tr>
      <w:tr>
        <w:trPr>
          <w:trHeight w:val="273"/>
        </w:trPr>
        <w:tc>
          <w:tcPr>
            <w:tcW w:w="7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20" w:type="dxa"/>
            <w:vAlign w:val="bottom"/>
            <w:gridSpan w:val="3"/>
          </w:tcPr>
          <w:p>
            <w:pPr>
              <w:jc w:val="right"/>
              <w:ind w:right="535"/>
              <w:spacing w:after="0"/>
              <w:rPr>
                <w:sz w:val="20"/>
                <w:szCs w:val="20"/>
                <w:color w:val="auto"/>
              </w:rPr>
            </w:pPr>
            <w:r>
              <w:rPr>
                <w:rFonts w:ascii="Arial" w:cs="Arial" w:eastAsia="Arial" w:hAnsi="Arial"/>
                <w:sz w:val="14"/>
                <w:szCs w:val="14"/>
                <w:color w:val="auto"/>
                <w:w w:val="95"/>
              </w:rPr>
              <w:t>Six Months Ended</w:t>
            </w:r>
          </w:p>
        </w:tc>
        <w:tc>
          <w:tcPr>
            <w:tcW w:w="1600" w:type="dxa"/>
            <w:vAlign w:val="bottom"/>
            <w:gridSpan w:val="2"/>
          </w:tcPr>
          <w:p>
            <w:pPr>
              <w:jc w:val="right"/>
              <w:ind w:right="53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ind w:right="49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541"/>
              <w:spacing w:after="0" w:line="142" w:lineRule="exact"/>
              <w:rPr>
                <w:sz w:val="20"/>
                <w:szCs w:val="20"/>
                <w:color w:val="auto"/>
              </w:rPr>
            </w:pPr>
            <w:r>
              <w:rPr>
                <w:rFonts w:ascii="Arial" w:cs="Arial" w:eastAsia="Arial" w:hAnsi="Arial"/>
                <w:sz w:val="14"/>
                <w:szCs w:val="14"/>
                <w:color w:val="auto"/>
              </w:rPr>
              <w:t>2014</w:t>
            </w:r>
          </w:p>
        </w:tc>
        <w:tc>
          <w:tcPr>
            <w:tcW w:w="880" w:type="dxa"/>
            <w:vAlign w:val="bottom"/>
            <w:tcBorders>
              <w:bottom w:val="single" w:sz="8" w:color="auto"/>
            </w:tcBorders>
            <w:gridSpan w:val="2"/>
          </w:tcPr>
          <w:p>
            <w:pPr>
              <w:jc w:val="right"/>
              <w:ind w:right="375"/>
              <w:spacing w:after="0" w:line="142" w:lineRule="exact"/>
              <w:rPr>
                <w:sz w:val="20"/>
                <w:szCs w:val="20"/>
                <w:color w:val="auto"/>
              </w:rPr>
            </w:pPr>
            <w:r>
              <w:rPr>
                <w:rFonts w:ascii="Arial" w:cs="Arial" w:eastAsia="Arial" w:hAnsi="Arial"/>
                <w:sz w:val="14"/>
                <w:szCs w:val="14"/>
                <w:color w:val="auto"/>
              </w:rPr>
              <w:t>2013</w:t>
            </w:r>
          </w:p>
        </w:tc>
        <w:tc>
          <w:tcPr>
            <w:tcW w:w="78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58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421"/>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298</w:t>
            </w:r>
          </w:p>
        </w:tc>
        <w:tc>
          <w:tcPr>
            <w:tcW w:w="780" w:type="dxa"/>
            <w:vAlign w:val="bottom"/>
            <w:shd w:val="clear" w:color="auto" w:fill="E5E5E5"/>
          </w:tcPr>
          <w:p>
            <w:pPr>
              <w:jc w:val="right"/>
              <w:ind w:right="82"/>
              <w:spacing w:after="0"/>
              <w:rPr>
                <w:sz w:val="20"/>
                <w:szCs w:val="20"/>
                <w:color w:val="auto"/>
              </w:rPr>
            </w:pPr>
            <w:r>
              <w:rPr>
                <w:rFonts w:ascii="Arial" w:cs="Arial" w:eastAsia="Arial" w:hAnsi="Arial"/>
                <w:sz w:val="18"/>
                <w:szCs w:val="18"/>
                <w:color w:val="auto"/>
              </w:rPr>
              <w:t>$  48</w:t>
            </w: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8"/>
                <w:szCs w:val="18"/>
                <w:color w:val="auto"/>
              </w:rPr>
              <w:t>681</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500</w:t>
            </w:r>
          </w:p>
        </w:tc>
        <w:tc>
          <w:tcPr>
            <w:tcW w:w="78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181</w:t>
            </w: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7"/>
        </w:trPr>
        <w:tc>
          <w:tcPr>
            <w:tcW w:w="75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61"/>
              <w:spacing w:after="0"/>
              <w:rPr>
                <w:sz w:val="20"/>
                <w:szCs w:val="20"/>
                <w:color w:val="auto"/>
              </w:rPr>
            </w:pPr>
            <w:r>
              <w:rPr>
                <w:rFonts w:ascii="Arial" w:cs="Arial" w:eastAsia="Arial" w:hAnsi="Arial"/>
                <w:sz w:val="18"/>
                <w:szCs w:val="18"/>
                <w:b w:val="1"/>
                <w:bCs w:val="1"/>
                <w:color w:val="auto"/>
                <w:w w:val="90"/>
              </w:rPr>
              <w:t>(335)</w:t>
            </w:r>
          </w:p>
        </w:tc>
        <w:tc>
          <w:tcPr>
            <w:tcW w:w="22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w w:val="90"/>
              </w:rPr>
              <w:t>(202)</w:t>
            </w:r>
          </w:p>
        </w:tc>
        <w:tc>
          <w:tcPr>
            <w:tcW w:w="78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b w:val="1"/>
                <w:bCs w:val="1"/>
                <w:color w:val="auto"/>
              </w:rPr>
              <w:t>$(133)</w:t>
            </w:r>
          </w:p>
        </w:tc>
        <w:tc>
          <w:tcPr>
            <w:tcW w:w="8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(65.8)%</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primarily relates to Comcast-Spectacor, which owns the Philadelphia Flyers and the Wells Fargo Center arena in Philadelphia and operates arena management-related businesses.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increased for the three and six months ended June 30, 2014 compared to the same periods in 2013 primarily due to increases in revenue from food services for sporting events associated with a new contract entered into by our Comcast-Spectacor business, as well as increases in revenue associated with newly acquired businesses.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corporate initiatives and branding, and operating costs and expenses associated with Comcast-Spectacor.</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and Other operating costs and expenses increased for the three months ended June 30, 2014 compared to the same period in 2013 primarily due to $44 million of transaction-related costs associated with the Time Warner Cable merger and divestiture transactions, and an increase in labor costs in our Comcast-Spectacor business.</w:t>
      </w: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Corporate and Other operating costs and expenses increased for the six months ended June 30, 2014 compared to the same period in 2013 primarily due to company-wide branding initiatives, including initiatives associated with the 2014 Sochi Olympics, $61 million of transaction-related costs associated with the Time Warner Cable merger and divestiture transactions, and an increase in labor costs in our Comcast-Spectacor business.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gridSpan w:val="3"/>
          </w:tcPr>
          <w:p>
            <w:pPr>
              <w:jc w:val="right"/>
              <w:ind w:right="296"/>
              <w:spacing w:after="0"/>
              <w:rPr>
                <w:sz w:val="20"/>
                <w:szCs w:val="20"/>
                <w:color w:val="auto"/>
              </w:rPr>
            </w:pPr>
            <w:r>
              <w:rPr>
                <w:rFonts w:ascii="Arial" w:cs="Arial" w:eastAsia="Arial" w:hAnsi="Arial"/>
                <w:sz w:val="14"/>
                <w:szCs w:val="14"/>
                <w:color w:val="auto"/>
                <w:w w:val="87"/>
              </w:rPr>
              <w:t>Three Months Ended</w:t>
            </w:r>
          </w:p>
        </w:tc>
        <w:tc>
          <w:tcPr>
            <w:tcW w:w="1940" w:type="dxa"/>
            <w:vAlign w:val="bottom"/>
            <w:gridSpan w:val="2"/>
          </w:tcPr>
          <w:p>
            <w:pPr>
              <w:jc w:val="right"/>
              <w:ind w:right="39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4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color w:val="auto"/>
                <w:w w:val="89"/>
              </w:rPr>
              <w:t>2014</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w w:val="89"/>
              </w:rPr>
              <w:t>2013</w:t>
            </w:r>
          </w:p>
        </w:tc>
        <w:tc>
          <w:tcPr>
            <w:tcW w:w="1160" w:type="dxa"/>
            <w:vAlign w:val="bottom"/>
            <w:tcBorders>
              <w:bottom w:val="single" w:sz="8" w:color="auto"/>
            </w:tcBorders>
          </w:tcPr>
          <w:p>
            <w:pPr>
              <w:jc w:val="right"/>
              <w:ind w:right="480"/>
              <w:spacing w:after="0" w:line="142" w:lineRule="exact"/>
              <w:rPr>
                <w:sz w:val="20"/>
                <w:szCs w:val="20"/>
                <w:color w:val="auto"/>
              </w:rPr>
            </w:pPr>
            <w:r>
              <w:rPr>
                <w:rFonts w:ascii="Arial" w:cs="Arial" w:eastAsia="Arial" w:hAnsi="Arial"/>
                <w:sz w:val="14"/>
                <w:szCs w:val="14"/>
                <w:color w:val="auto"/>
              </w:rPr>
              <w:t>2014</w:t>
            </w:r>
          </w:p>
        </w:tc>
        <w:tc>
          <w:tcPr>
            <w:tcW w:w="7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740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(648)</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(636)</w:t>
            </w:r>
          </w:p>
        </w:tc>
        <w:tc>
          <w:tcPr>
            <w:tcW w:w="1160" w:type="dxa"/>
            <w:vAlign w:val="bottom"/>
            <w:shd w:val="clear" w:color="auto" w:fill="E5E5E5"/>
          </w:tcPr>
          <w:p>
            <w:pPr>
              <w:jc w:val="right"/>
              <w:ind w:right="280"/>
              <w:spacing w:after="0"/>
              <w:rPr>
                <w:sz w:val="20"/>
                <w:szCs w:val="20"/>
                <w:color w:val="auto"/>
              </w:rPr>
            </w:pPr>
            <w:r>
              <w:rPr>
                <w:rFonts w:ascii="Arial" w:cs="Arial" w:eastAsia="Arial" w:hAnsi="Arial"/>
                <w:sz w:val="18"/>
                <w:szCs w:val="18"/>
                <w:color w:val="auto"/>
              </w:rPr>
              <w:t>$(1,290)</w:t>
            </w:r>
          </w:p>
        </w:tc>
        <w:tc>
          <w:tcPr>
            <w:tcW w:w="78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w w:val="89"/>
              </w:rPr>
              <w:t>$(1,289)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540" w:type="dxa"/>
            <w:vAlign w:val="bottom"/>
          </w:tcPr>
          <w:p>
            <w:pPr>
              <w:spacing w:after="0"/>
              <w:rPr>
                <w:sz w:val="18"/>
                <w:szCs w:val="18"/>
                <w:color w:val="auto"/>
              </w:rPr>
            </w:pPr>
          </w:p>
        </w:tc>
        <w:tc>
          <w:tcPr>
            <w:tcW w:w="620" w:type="dxa"/>
            <w:vAlign w:val="bottom"/>
          </w:tcPr>
          <w:p>
            <w:pPr>
              <w:jc w:val="right"/>
              <w:ind w:right="12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680" w:type="dxa"/>
            <w:vAlign w:val="bottom"/>
          </w:tcPr>
          <w:p>
            <w:pPr>
              <w:jc w:val="right"/>
              <w:ind w:right="156"/>
              <w:spacing w:after="0"/>
              <w:rPr>
                <w:sz w:val="20"/>
                <w:szCs w:val="20"/>
                <w:color w:val="auto"/>
              </w:rPr>
            </w:pPr>
            <w:r>
              <w:rPr>
                <w:rFonts w:ascii="Arial" w:cs="Arial" w:eastAsia="Arial" w:hAnsi="Arial"/>
                <w:sz w:val="18"/>
                <w:szCs w:val="18"/>
                <w:color w:val="auto"/>
              </w:rPr>
              <w:t>13</w:t>
            </w:r>
          </w:p>
        </w:tc>
        <w:tc>
          <w:tcPr>
            <w:tcW w:w="1160" w:type="dxa"/>
            <w:vAlign w:val="bottom"/>
          </w:tcPr>
          <w:p>
            <w:pPr>
              <w:jc w:val="right"/>
              <w:ind w:right="340"/>
              <w:spacing w:after="0"/>
              <w:rPr>
                <w:sz w:val="20"/>
                <w:szCs w:val="20"/>
                <w:color w:val="auto"/>
              </w:rPr>
            </w:pPr>
            <w:r>
              <w:rPr>
                <w:rFonts w:ascii="Arial" w:cs="Arial" w:eastAsia="Arial" w:hAnsi="Arial"/>
                <w:sz w:val="18"/>
                <w:szCs w:val="18"/>
                <w:color w:val="auto"/>
              </w:rPr>
              <w:t>233</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40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5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23</w:t>
            </w:r>
          </w:p>
        </w:tc>
        <w:tc>
          <w:tcPr>
            <w:tcW w:w="1160" w:type="dxa"/>
            <w:vAlign w:val="bottom"/>
            <w:shd w:val="clear" w:color="auto" w:fill="E5E5E5"/>
          </w:tcPr>
          <w:p>
            <w:pPr>
              <w:jc w:val="right"/>
              <w:ind w:right="340"/>
              <w:spacing w:after="0"/>
              <w:rPr>
                <w:sz w:val="20"/>
                <w:szCs w:val="20"/>
                <w:color w:val="auto"/>
              </w:rPr>
            </w:pPr>
            <w:r>
              <w:rPr>
                <w:rFonts w:ascii="Arial" w:cs="Arial" w:eastAsia="Arial" w:hAnsi="Arial"/>
                <w:sz w:val="18"/>
                <w:szCs w:val="18"/>
                <w:color w:val="auto"/>
              </w:rPr>
              <w:t>54</w:t>
            </w:r>
          </w:p>
        </w:tc>
        <w:tc>
          <w:tcPr>
            <w:tcW w:w="7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(43)</w:t>
            </w: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8"/>
                <w:szCs w:val="18"/>
                <w:color w:val="auto"/>
              </w:rPr>
              <w:t>(54)</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7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(545)</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b w:val="1"/>
                <w:bCs w:val="1"/>
                <w:color w:val="auto"/>
              </w:rPr>
              <w:t>(643)</w:t>
            </w:r>
          </w:p>
        </w:tc>
        <w:tc>
          <w:tcPr>
            <w:tcW w:w="1160" w:type="dxa"/>
            <w:vAlign w:val="bottom"/>
            <w:tcBorders>
              <w:bottom w:val="single" w:sz="8" w:color="auto"/>
            </w:tcBorders>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$(1,057)</w:t>
            </w:r>
          </w:p>
        </w:tc>
        <w:tc>
          <w:tcPr>
            <w:tcW w:w="78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b w:val="1"/>
                <w:bCs w:val="1"/>
                <w:color w:val="auto"/>
                <w:w w:val="89"/>
              </w:rPr>
              <w:t>$(1,140)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six months ended June 30, 2014 and 2013 are presented in a table in Note 6 to Comcast’s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income (expense), net remained relatively flat for the three months ended June 30, 2014 compared to the same period in 2013. The change in other income (expense), net for the six months ended June 30, 2014 compared to the same period in 2013 was primarily due to a $108 million gain recognized in the prior year period related to our sale of wireless communications spectrum licenses and a $27 million favorable settlement of a contingency recognized in the current year period related to the AT&amp;T Broadband transaction.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for the three and six months ended June 30, 2014 and 2013 reflects an effective income tax rate that differs from the federal statutory rate primarily due to state income taxes, adjustments associated with uncertain tax positions and foreign income taxes. We expect our 2014 annual effective tax rate to be in the range of 37% to 39%, absent changes in tax laws or significant changes in uncertain tax positions. It is reasonably possible that certain statutes of limitations for the years 2000 through 2006 will expire and/or judicial decisions related to litigation could be issued within the current calendar year that may result in a decrease in our effective tax rate.</w:t>
      </w:r>
    </w:p>
    <w:p>
      <w:pPr>
        <w:spacing w:after="0" w:line="146" w:lineRule="exact"/>
        <w:rPr>
          <w:sz w:val="20"/>
          <w:szCs w:val="20"/>
          <w:color w:val="auto"/>
        </w:rPr>
      </w:pPr>
    </w:p>
    <w:p>
      <w:pPr>
        <w:ind w:right="60"/>
        <w:spacing w:after="0" w:line="261" w:lineRule="auto"/>
        <w:rPr>
          <w:sz w:val="20"/>
          <w:szCs w:val="20"/>
          <w:color w:val="auto"/>
        </w:rPr>
      </w:pPr>
      <w:r>
        <w:rPr>
          <w:rFonts w:ascii="Arial" w:cs="Arial" w:eastAsia="Arial" w:hAnsi="Arial"/>
          <w:sz w:val="22"/>
          <w:szCs w:val="22"/>
          <w:b w:val="1"/>
          <w:bCs w:val="1"/>
          <w:color w:val="auto"/>
        </w:rPr>
        <w:t>Consolidated Net (Income) Loss Attributable to Noncontrolling Interests and Redeemable Subsidiary Preferred Stock</w:t>
      </w:r>
    </w:p>
    <w:p>
      <w:pPr>
        <w:spacing w:after="0" w:line="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net (income) loss attributable to noncontrolling interests and redeemable subsidiary preferred stock for the six months ended June 30, 2014 compared to the same period in 2013 was primarily due to our acquisition of GE’s remaining 49% common equity interest in NBCUniversal Holdings in March 2013.</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to meet our debt repayment obligations, to fund our capital expenditures, to invest in business opportunities and to return capital to shareholders.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3"/>
          </w:tcPr>
          <w:p>
            <w:pPr>
              <w:jc w:val="right"/>
              <w:ind w:right="374"/>
              <w:spacing w:after="0"/>
              <w:rPr>
                <w:sz w:val="20"/>
                <w:szCs w:val="20"/>
                <w:color w:val="auto"/>
              </w:rPr>
            </w:pPr>
            <w:r>
              <w:rPr>
                <w:rFonts w:ascii="Arial" w:cs="Arial" w:eastAsia="Arial" w:hAnsi="Arial"/>
                <w:sz w:val="14"/>
                <w:szCs w:val="14"/>
                <w:color w:val="auto"/>
                <w:w w:val="98"/>
              </w:rPr>
              <w:t>Six Months Ended</w:t>
            </w:r>
          </w:p>
        </w:tc>
        <w:tc>
          <w:tcPr>
            <w:tcW w:w="0" w:type="dxa"/>
            <w:vAlign w:val="bottom"/>
          </w:tcPr>
          <w:p>
            <w:pPr>
              <w:spacing w:after="0"/>
              <w:rPr>
                <w:sz w:val="1"/>
                <w:szCs w:val="1"/>
                <w:color w:val="auto"/>
              </w:rPr>
            </w:pPr>
          </w:p>
        </w:tc>
      </w:tr>
      <w:tr>
        <w:trPr>
          <w:trHeight w:val="159"/>
        </w:trPr>
        <w:tc>
          <w:tcPr>
            <w:tcW w:w="92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w w:val="96"/>
              </w:rPr>
              <w:t>2014</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w w:val="96"/>
              </w:rPr>
              <w:t>2013</w:t>
            </w:r>
          </w:p>
        </w:tc>
        <w:tc>
          <w:tcPr>
            <w:tcW w:w="0" w:type="dxa"/>
            <w:vAlign w:val="bottom"/>
          </w:tcPr>
          <w:p>
            <w:pPr>
              <w:spacing w:after="0"/>
              <w:rPr>
                <w:sz w:val="1"/>
                <w:szCs w:val="1"/>
                <w:color w:val="auto"/>
              </w:rPr>
            </w:pPr>
          </w:p>
        </w:tc>
      </w:tr>
      <w:tr>
        <w:trPr>
          <w:trHeight w:val="210"/>
        </w:trPr>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7,372</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16"/>
        </w:trPr>
        <w:tc>
          <w:tcPr>
            <w:tcW w:w="9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3,970</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10"/>
        </w:trPr>
        <w:tc>
          <w:tcPr>
            <w:tcW w:w="9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83"/>
              </w:rPr>
              <w:t>11,342</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3"/>
              </w:rPr>
              <w:t>10,459</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54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9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(905)</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0"/>
        </w:trPr>
        <w:tc>
          <w:tcPr>
            <w:tcW w:w="928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54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w w:val="83"/>
              </w:rPr>
              <w:t>10,703</w:t>
            </w:r>
          </w:p>
        </w:tc>
        <w:tc>
          <w:tcPr>
            <w:tcW w:w="22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w w:val="83"/>
              </w:rPr>
              <w:t>11,090</w:t>
            </w:r>
          </w:p>
        </w:tc>
        <w:tc>
          <w:tcPr>
            <w:tcW w:w="0" w:type="dxa"/>
            <w:vAlign w:val="bottom"/>
          </w:tcPr>
          <w:p>
            <w:pPr>
              <w:spacing w:after="0"/>
              <w:rPr>
                <w:sz w:val="1"/>
                <w:szCs w:val="1"/>
                <w:color w:val="auto"/>
              </w:rPr>
            </w:pPr>
          </w:p>
        </w:tc>
      </w:tr>
      <w:tr>
        <w:trPr>
          <w:trHeight w:val="216"/>
        </w:trPr>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w w:val="91"/>
              </w:rPr>
              <w:t>(1,164)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91"/>
              </w:rPr>
              <w:t>(1,132)</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540" w:type="dxa"/>
            <w:vAlign w:val="bottom"/>
          </w:tcPr>
          <w:p>
            <w:pPr>
              <w:spacing w:after="0"/>
              <w:rPr>
                <w:sz w:val="18"/>
                <w:szCs w:val="18"/>
                <w:color w:val="auto"/>
              </w:rPr>
            </w:pPr>
          </w:p>
        </w:tc>
        <w:tc>
          <w:tcPr>
            <w:tcW w:w="680" w:type="dxa"/>
            <w:vAlign w:val="bottom"/>
          </w:tcPr>
          <w:p>
            <w:pPr>
              <w:jc w:val="right"/>
              <w:ind w:right="57"/>
              <w:spacing w:after="0"/>
              <w:rPr>
                <w:sz w:val="20"/>
                <w:szCs w:val="20"/>
                <w:color w:val="auto"/>
              </w:rPr>
            </w:pPr>
            <w:r>
              <w:rPr>
                <w:rFonts w:ascii="Arial" w:cs="Arial" w:eastAsia="Arial" w:hAnsi="Arial"/>
                <w:sz w:val="18"/>
                <w:szCs w:val="18"/>
                <w:color w:val="auto"/>
                <w:w w:val="91"/>
              </w:rPr>
              <w:t>(1,904)</w:t>
            </w:r>
          </w:p>
        </w:tc>
        <w:tc>
          <w:tcPr>
            <w:tcW w:w="220" w:type="dxa"/>
            <w:vAlign w:val="bottom"/>
          </w:tcPr>
          <w:p>
            <w:pPr>
              <w:spacing w:after="0"/>
              <w:rPr>
                <w:sz w:val="18"/>
                <w:szCs w:val="18"/>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w w:val="91"/>
              </w:rPr>
              <w:t>(2,222)</w:t>
            </w:r>
          </w:p>
        </w:tc>
        <w:tc>
          <w:tcPr>
            <w:tcW w:w="0" w:type="dxa"/>
            <w:vAlign w:val="bottom"/>
          </w:tcPr>
          <w:p>
            <w:pPr>
              <w:spacing w:after="0"/>
              <w:rPr>
                <w:sz w:val="1"/>
                <w:szCs w:val="1"/>
                <w:color w:val="auto"/>
              </w:rPr>
            </w:pPr>
          </w:p>
        </w:tc>
      </w:tr>
      <w:tr>
        <w:trPr>
          <w:trHeight w:val="216"/>
        </w:trPr>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Excess tax benefits under share-based compensation</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9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7"/>
        </w:trPr>
        <w:tc>
          <w:tcPr>
            <w:tcW w:w="9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7,547</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7,685</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variance between changes in operating assets and liabilities for the six months ended June 30, 2014 compared to the same period in 2013 was $1.3 billion, of which approximately $800 million was related to the timing of film and television production and related costs. The remaining variance was primarily related to the recognition of deferred revenue associated with the broadcast of the 2014 Sochi Olympics in February 2014 and the timing of payments, including participations, residuals and program obligations.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decrease in income tax payments for the six months ended June 30, 2014 compared to the same period in 2013 was primarily due to lower tax payments in the first quarter of 2014 that related to 2013 compared to the prior year period. The decrease was also due to the settlement of tax disputes recorded in 2013 and a decrease in taxes on nonrecurring gains. The decreases were partially offset by higher taxable income from operations and the expiration of the economic stimulus legislation in 2014.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for the six months ended June 30, 2014 consisted primarily of cash paid for capital expenditures, cash paid for intangible assets and acquisitions, which were partially offset by proceeds from the sales of businesses and investments. Capital expenditures increased for the six months ended June 30, 2014 compared to the same period in 2013 primarily due to increased spending in our Cable Communications segment on customer premise equipment related to the deployment of our X1 platform and Cloud DVR technology, and our continued investment in network infrastructure to increase network capacity.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for the six months ended June 30, 2014 consisted primarily of repayments of debt, repurchases of our common stock and dividend payments, which were partially offset by proceeds from new borrowings.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2014, we repaid at maturity $1 billion aggregate principal amount of 5.30% senior notes due 2014. In February 2014, we repaid $1.25 billion of borrowings outstanding under NBCUniversal Enterprise Inc.’s (“NBCUniversal Enterprise”) revolving credit facility with the proceeds from $990 million of borrowings under its new commercial paper program and cash on hand.</w:t>
      </w: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2014, we issued $1.2 billion aggregate principal amount of 3.60% senior notes due 2024 and $1 billion aggregate principal amount of 4.75% senior notes due 2044. The proceeds from this offering were used for working capital and general corporate purposes, including the repayment of a portion of our outstanding commercial paper and our $900 million aggregate principal amount of 2.10% senior notes due April 2014 at maturity.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also maintain significant availability under our lines of credit and our commercial paper programs to meet our short-term liquidity requirements.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2014, NBCUniversal Enterprise established a commercial paper program. The maximum borrowing capacity under this commercial paper program is $1.35 billion, and it is supported by NBCUniversal Enterprise’s existing $1.35 billion revolving credit facility due March 2018. The commercial paper program is fully and unconditionally guaranteed by us and the cable guarantors. As of June 30, 2014, NBCUniversal Enterprise had $1 billion face amount of commercial paper outstanding. The proceeds from NBCUniversal Enterprise’s issuance of commercial paper were used to repay the $1.25 billion borrowings outstanding under its revolving credit facility.</w:t>
      </w:r>
    </w:p>
    <w:p>
      <w:pPr>
        <w:spacing w:after="0" w:line="4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June 30, 2014, amounts available under our consolidated revolving credit facilities, net of amounts outstanding under our commercial paper programs and undrawn letters of credit, totaled $6.3 billion, which included $340 million available under NBCUniversal Enterprise’s credit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January 2014, our Board of Directors increased our share repurchase authorization to $7.5 billion, which does not have an expiration date. Under this authorization, we may repurchase shares in the open market or in private transactions. During the six months ended June 30, 2014, we repurchased 30 million shares of our Class A Special common stock for $1.5 billion. We intend to repurchase a total of $3 billion of shares in 2014, subject to market conditions. In addition, after shareholder approval of the Time Warner Cable merger has been obtained by both Comcast and Time Warner Cable, we intend to repurchase an additional $2.5 billion of shares during 2014, subject to market conditions and the timing of the shareholder approvals.</w:t>
      </w:r>
    </w:p>
    <w:p>
      <w:pPr>
        <w:spacing w:after="0" w:line="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January 2014, our Board of Directors approved a 15% increase in our dividend to $0.90 per share on an annualized basis. In each of January and May 2014, our Board of Directors approved a quarterly dividend of $0.225 per share as part of our planned annual dividend. We expect to continue to pay quarterly dividends, although each dividend is subject to approval by our Board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080" w:type="dxa"/>
            <w:vAlign w:val="bottom"/>
            <w:tcBorders>
              <w:bottom w:val="single" w:sz="8" w:color="auto"/>
            </w:tcBorders>
            <w:gridSpan w:val="2"/>
          </w:tcPr>
          <w:p>
            <w:pPr>
              <w:ind w:left="3220"/>
              <w:spacing w:after="0"/>
              <w:rPr>
                <w:sz w:val="20"/>
                <w:szCs w:val="20"/>
                <w:color w:val="auto"/>
              </w:rPr>
            </w:pPr>
            <w:r>
              <w:rPr>
                <w:rFonts w:ascii="Arial" w:cs="Arial" w:eastAsia="Arial" w:hAnsi="Arial"/>
                <w:sz w:val="14"/>
                <w:szCs w:val="14"/>
                <w:color w:val="auto"/>
              </w:rPr>
              <w:t>Amount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Month of Payment</w:t>
            </w:r>
          </w:p>
        </w:tc>
      </w:tr>
      <w:tr>
        <w:trPr>
          <w:trHeight w:val="210"/>
        </w:trPr>
        <w:tc>
          <w:tcPr>
            <w:tcW w:w="5820" w:type="dxa"/>
            <w:vAlign w:val="bottom"/>
            <w:shd w:val="clear" w:color="auto" w:fill="E5E5E5"/>
          </w:tcPr>
          <w:p>
            <w:pPr>
              <w:spacing w:after="0"/>
              <w:rPr>
                <w:sz w:val="20"/>
                <w:szCs w:val="20"/>
                <w:color w:val="auto"/>
              </w:rPr>
            </w:pPr>
            <w:r>
              <w:rPr>
                <w:rFonts w:ascii="Arial" w:cs="Arial" w:eastAsia="Arial" w:hAnsi="Arial"/>
                <w:sz w:val="18"/>
                <w:szCs w:val="18"/>
                <w:color w:val="auto"/>
              </w:rPr>
              <w:t>Three months ended March 31, 2014</w:t>
            </w:r>
          </w:p>
        </w:tc>
        <w:tc>
          <w:tcPr>
            <w:tcW w:w="3340" w:type="dxa"/>
            <w:vAlign w:val="bottom"/>
            <w:shd w:val="clear" w:color="auto" w:fill="E5E5E5"/>
          </w:tcPr>
          <w:p>
            <w:pPr>
              <w:ind w:left="3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9"/>
              </w:rPr>
              <w:t>585</w:t>
            </w:r>
          </w:p>
        </w:tc>
        <w:tc>
          <w:tcPr>
            <w:tcW w:w="15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April</w:t>
            </w:r>
          </w:p>
        </w:tc>
      </w:tr>
      <w:tr>
        <w:trPr>
          <w:trHeight w:val="216"/>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Three months ended June 30, 2014</w:t>
            </w:r>
          </w:p>
        </w:tc>
        <w:tc>
          <w:tcPr>
            <w:tcW w:w="334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583</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July</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2013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 to each of Comcast’s and NBCUniversal’s condensed consolidated financial statements for additional information related to recent accounting pronouncements.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2013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disclosure controls and procedures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Comcast’s disclosure controls and procedures (as defined in Rules 13a-15(e) and 15d-15(e) of the Securities Exchange Act of 1934, as amended (the “Exchange Act”))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disclosure controls and procedures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Refer to Note 11 to Comcast’s condensed consolidated financial statements included in this Quarterly Report on Form 10-Q for a discussion of recent developments related to our legal proceedings. There have been no material developments in the matter reported in our 2013 Annual Report on Form 10-K regarding the California Attorney General and the Alameda County, California District Attorney’s investigation of certain of our waste disposal policies, procedures and practices.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Media, LLC is subject to legal proceedings and claims that arise in the ordinary course of its business. It does not expect the final disposition of any of these matters to have a material adverse effect on its results of operations, cash flows or financial condition, although any such matters could be time consuming and costly and could injure its reputation.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2013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table below summarizes Comcast’s Class A Special common stock repurchases under its Board-authorized share repurchase program during the three months ended June 30, 2014.</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center"/>
              <w:ind w:right="263"/>
              <w:spacing w:after="0"/>
              <w:rPr>
                <w:sz w:val="20"/>
                <w:szCs w:val="20"/>
                <w:color w:val="auto"/>
              </w:rPr>
            </w:pPr>
            <w:r>
              <w:rPr>
                <w:rFonts w:ascii="Arial" w:cs="Arial" w:eastAsia="Arial" w:hAnsi="Arial"/>
                <w:sz w:val="14"/>
                <w:szCs w:val="14"/>
                <w:color w:val="auto"/>
                <w:w w:val="89"/>
              </w:rPr>
              <w:t>Total Dollar</w:t>
            </w:r>
          </w:p>
        </w:tc>
        <w:tc>
          <w:tcPr>
            <w:tcW w:w="1500" w:type="dxa"/>
            <w:vAlign w:val="bottom"/>
          </w:tcPr>
          <w:p>
            <w:pPr>
              <w:jc w:val="center"/>
              <w:ind w:left="84"/>
              <w:spacing w:after="0"/>
              <w:rPr>
                <w:sz w:val="20"/>
                <w:szCs w:val="20"/>
                <w:color w:val="auto"/>
              </w:rPr>
            </w:pPr>
            <w:r>
              <w:rPr>
                <w:rFonts w:ascii="Arial" w:cs="Arial" w:eastAsia="Arial" w:hAnsi="Arial"/>
                <w:sz w:val="14"/>
                <w:szCs w:val="14"/>
                <w:color w:val="auto"/>
                <w:w w:val="92"/>
              </w:rPr>
              <w:t>Maximum Dollar</w:t>
            </w:r>
          </w:p>
        </w:tc>
      </w:tr>
      <w:tr>
        <w:trPr>
          <w:trHeight w:val="149"/>
        </w:trPr>
        <w:tc>
          <w:tcPr>
            <w:tcW w:w="2800" w:type="dxa"/>
            <w:vAlign w:val="bottom"/>
          </w:tcPr>
          <w:p>
            <w:pPr>
              <w:spacing w:after="0"/>
              <w:rPr>
                <w:sz w:val="12"/>
                <w:szCs w:val="12"/>
                <w:color w:val="auto"/>
              </w:rPr>
            </w:pPr>
          </w:p>
        </w:tc>
        <w:tc>
          <w:tcPr>
            <w:tcW w:w="2680" w:type="dxa"/>
            <w:vAlign w:val="bottom"/>
          </w:tcPr>
          <w:p>
            <w:pPr>
              <w:jc w:val="center"/>
              <w:ind w:left="1202"/>
              <w:spacing w:after="0" w:line="149" w:lineRule="exact"/>
              <w:rPr>
                <w:sz w:val="20"/>
                <w:szCs w:val="20"/>
                <w:color w:val="auto"/>
              </w:rPr>
            </w:pPr>
            <w:r>
              <w:rPr>
                <w:rFonts w:ascii="Arial" w:cs="Arial" w:eastAsia="Arial" w:hAnsi="Arial"/>
                <w:sz w:val="14"/>
                <w:szCs w:val="14"/>
                <w:color w:val="auto"/>
                <w:w w:val="89"/>
              </w:rPr>
              <w:t>Total</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 Number of</w:t>
            </w:r>
          </w:p>
        </w:tc>
        <w:tc>
          <w:tcPr>
            <w:tcW w:w="360" w:type="dxa"/>
            <w:vAlign w:val="bottom"/>
          </w:tcPr>
          <w:p>
            <w:pPr>
              <w:spacing w:after="0"/>
              <w:rPr>
                <w:sz w:val="12"/>
                <w:szCs w:val="12"/>
                <w:color w:val="auto"/>
              </w:rPr>
            </w:pPr>
          </w:p>
        </w:tc>
        <w:tc>
          <w:tcPr>
            <w:tcW w:w="1140" w:type="dxa"/>
            <w:vAlign w:val="bottom"/>
          </w:tcPr>
          <w:p>
            <w:pPr>
              <w:jc w:val="center"/>
              <w:ind w:right="263"/>
              <w:spacing w:after="0" w:line="149" w:lineRule="exact"/>
              <w:rPr>
                <w:sz w:val="20"/>
                <w:szCs w:val="20"/>
                <w:color w:val="auto"/>
              </w:rPr>
            </w:pPr>
            <w:r>
              <w:rPr>
                <w:rFonts w:ascii="Arial" w:cs="Arial" w:eastAsia="Arial" w:hAnsi="Arial"/>
                <w:sz w:val="14"/>
                <w:szCs w:val="14"/>
                <w:color w:val="auto"/>
                <w:w w:val="91"/>
              </w:rPr>
              <w:t>Amount</w:t>
            </w:r>
          </w:p>
        </w:tc>
        <w:tc>
          <w:tcPr>
            <w:tcW w:w="150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2800" w:type="dxa"/>
            <w:vAlign w:val="bottom"/>
          </w:tcPr>
          <w:p>
            <w:pPr>
              <w:spacing w:after="0"/>
              <w:rPr>
                <w:sz w:val="12"/>
                <w:szCs w:val="12"/>
                <w:color w:val="auto"/>
              </w:rPr>
            </w:pPr>
          </w:p>
        </w:tc>
        <w:tc>
          <w:tcPr>
            <w:tcW w:w="2680" w:type="dxa"/>
            <w:vAlign w:val="bottom"/>
          </w:tcPr>
          <w:p>
            <w:pPr>
              <w:jc w:val="center"/>
              <w:ind w:left="1202"/>
              <w:spacing w:after="0" w:line="149" w:lineRule="exact"/>
              <w:rPr>
                <w:sz w:val="20"/>
                <w:szCs w:val="20"/>
                <w:color w:val="auto"/>
              </w:rPr>
            </w:pPr>
            <w:r>
              <w:rPr>
                <w:rFonts w:ascii="Arial" w:cs="Arial" w:eastAsia="Arial" w:hAnsi="Arial"/>
                <w:sz w:val="14"/>
                <w:szCs w:val="14"/>
                <w:color w:val="auto"/>
                <w:w w:val="91"/>
              </w:rPr>
              <w:t>Number of</w:t>
            </w:r>
          </w:p>
        </w:tc>
        <w:tc>
          <w:tcPr>
            <w:tcW w:w="340" w:type="dxa"/>
            <w:vAlign w:val="bottom"/>
          </w:tcPr>
          <w:p>
            <w:pPr>
              <w:spacing w:after="0"/>
              <w:rPr>
                <w:sz w:val="12"/>
                <w:szCs w:val="12"/>
                <w:color w:val="auto"/>
              </w:rPr>
            </w:pPr>
          </w:p>
        </w:tc>
        <w:tc>
          <w:tcPr>
            <w:tcW w:w="680" w:type="dxa"/>
            <w:vAlign w:val="bottom"/>
          </w:tcPr>
          <w:p>
            <w:pPr>
              <w:jc w:val="center"/>
              <w:ind w:right="281"/>
              <w:spacing w:after="0" w:line="149" w:lineRule="exact"/>
              <w:rPr>
                <w:sz w:val="20"/>
                <w:szCs w:val="20"/>
                <w:color w:val="auto"/>
              </w:rPr>
            </w:pPr>
            <w:r>
              <w:rPr>
                <w:rFonts w:ascii="Arial" w:cs="Arial" w:eastAsia="Arial" w:hAnsi="Arial"/>
                <w:sz w:val="14"/>
                <w:szCs w:val="14"/>
                <w:color w:val="auto"/>
                <w:w w:val="87"/>
              </w:rPr>
              <w:t>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3"/>
              </w:rPr>
              <w:t>Shares Purchased</w:t>
            </w:r>
          </w:p>
        </w:tc>
        <w:tc>
          <w:tcPr>
            <w:tcW w:w="360" w:type="dxa"/>
            <w:vAlign w:val="bottom"/>
          </w:tcPr>
          <w:p>
            <w:pPr>
              <w:spacing w:after="0"/>
              <w:rPr>
                <w:sz w:val="12"/>
                <w:szCs w:val="12"/>
                <w:color w:val="auto"/>
              </w:rPr>
            </w:pPr>
          </w:p>
        </w:tc>
        <w:tc>
          <w:tcPr>
            <w:tcW w:w="1140" w:type="dxa"/>
            <w:vAlign w:val="bottom"/>
          </w:tcPr>
          <w:p>
            <w:pPr>
              <w:jc w:val="center"/>
              <w:ind w:right="263"/>
              <w:spacing w:after="0" w:line="149" w:lineRule="exact"/>
              <w:rPr>
                <w:sz w:val="20"/>
                <w:szCs w:val="20"/>
                <w:color w:val="auto"/>
              </w:rPr>
            </w:pPr>
            <w:r>
              <w:rPr>
                <w:rFonts w:ascii="Arial" w:cs="Arial" w:eastAsia="Arial" w:hAnsi="Arial"/>
                <w:sz w:val="14"/>
                <w:szCs w:val="14"/>
                <w:color w:val="auto"/>
                <w:w w:val="83"/>
              </w:rPr>
              <w:t>Purchased</w:t>
            </w:r>
          </w:p>
        </w:tc>
        <w:tc>
          <w:tcPr>
            <w:tcW w:w="150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88"/>
              </w:rPr>
              <w:t>May Yet Be</w:t>
            </w:r>
          </w:p>
        </w:tc>
      </w:tr>
      <w:tr>
        <w:trPr>
          <w:trHeight w:val="132"/>
        </w:trPr>
        <w:tc>
          <w:tcPr>
            <w:tcW w:w="2800" w:type="dxa"/>
            <w:vAlign w:val="bottom"/>
          </w:tcPr>
          <w:p>
            <w:pPr>
              <w:spacing w:after="0"/>
              <w:rPr>
                <w:sz w:val="11"/>
                <w:szCs w:val="11"/>
                <w:color w:val="auto"/>
              </w:rPr>
            </w:pPr>
          </w:p>
        </w:tc>
        <w:tc>
          <w:tcPr>
            <w:tcW w:w="2680" w:type="dxa"/>
            <w:vAlign w:val="bottom"/>
          </w:tcPr>
          <w:p>
            <w:pPr>
              <w:jc w:val="center"/>
              <w:ind w:left="1202"/>
              <w:spacing w:after="0" w:line="133" w:lineRule="exact"/>
              <w:rPr>
                <w:sz w:val="20"/>
                <w:szCs w:val="20"/>
                <w:color w:val="auto"/>
              </w:rPr>
            </w:pPr>
            <w:r>
              <w:rPr>
                <w:rFonts w:ascii="Arial" w:cs="Arial" w:eastAsia="Arial" w:hAnsi="Arial"/>
                <w:sz w:val="14"/>
                <w:szCs w:val="14"/>
                <w:color w:val="auto"/>
                <w:w w:val="81"/>
              </w:rPr>
              <w:t>Shares</w:t>
            </w:r>
          </w:p>
        </w:tc>
        <w:tc>
          <w:tcPr>
            <w:tcW w:w="340" w:type="dxa"/>
            <w:vAlign w:val="bottom"/>
          </w:tcPr>
          <w:p>
            <w:pPr>
              <w:spacing w:after="0"/>
              <w:rPr>
                <w:sz w:val="11"/>
                <w:szCs w:val="11"/>
                <w:color w:val="auto"/>
              </w:rPr>
            </w:pPr>
          </w:p>
        </w:tc>
        <w:tc>
          <w:tcPr>
            <w:tcW w:w="680" w:type="dxa"/>
            <w:vAlign w:val="bottom"/>
          </w:tcPr>
          <w:p>
            <w:pPr>
              <w:jc w:val="center"/>
              <w:ind w:right="261"/>
              <w:spacing w:after="0" w:line="133" w:lineRule="exact"/>
              <w:rPr>
                <w:sz w:val="20"/>
                <w:szCs w:val="20"/>
                <w:color w:val="auto"/>
              </w:rPr>
            </w:pPr>
            <w:r>
              <w:rPr>
                <w:rFonts w:ascii="Arial" w:cs="Arial" w:eastAsia="Arial" w:hAnsi="Arial"/>
                <w:sz w:val="14"/>
                <w:szCs w:val="14"/>
                <w:color w:val="auto"/>
                <w:w w:val="82"/>
              </w:rPr>
              <w:t>Per</w:t>
            </w:r>
          </w:p>
        </w:tc>
        <w:tc>
          <w:tcPr>
            <w:tcW w:w="1920" w:type="dxa"/>
            <w:vAlign w:val="bottom"/>
          </w:tcPr>
          <w:p>
            <w:pPr>
              <w:jc w:val="center"/>
              <w:spacing w:after="0" w:line="133" w:lineRule="exact"/>
              <w:rPr>
                <w:sz w:val="20"/>
                <w:szCs w:val="20"/>
                <w:color w:val="auto"/>
              </w:rPr>
            </w:pPr>
            <w:r>
              <w:rPr>
                <w:rFonts w:ascii="Arial" w:cs="Arial" w:eastAsia="Arial" w:hAnsi="Arial"/>
                <w:sz w:val="14"/>
                <w:szCs w:val="14"/>
                <w:color w:val="auto"/>
                <w:w w:val="92"/>
              </w:rPr>
              <w:t>as Part of Publicly</w:t>
            </w:r>
          </w:p>
        </w:tc>
        <w:tc>
          <w:tcPr>
            <w:tcW w:w="360" w:type="dxa"/>
            <w:vAlign w:val="bottom"/>
          </w:tcPr>
          <w:p>
            <w:pPr>
              <w:spacing w:after="0"/>
              <w:rPr>
                <w:sz w:val="11"/>
                <w:szCs w:val="11"/>
                <w:color w:val="auto"/>
              </w:rPr>
            </w:pPr>
          </w:p>
        </w:tc>
        <w:tc>
          <w:tcPr>
            <w:tcW w:w="1140" w:type="dxa"/>
            <w:vAlign w:val="bottom"/>
          </w:tcPr>
          <w:p>
            <w:pPr>
              <w:jc w:val="center"/>
              <w:ind w:right="283"/>
              <w:spacing w:after="0" w:line="133" w:lineRule="exact"/>
              <w:rPr>
                <w:sz w:val="20"/>
                <w:szCs w:val="20"/>
                <w:color w:val="auto"/>
              </w:rPr>
            </w:pPr>
            <w:r>
              <w:rPr>
                <w:rFonts w:ascii="Arial" w:cs="Arial" w:eastAsia="Arial" w:hAnsi="Arial"/>
                <w:sz w:val="14"/>
                <w:szCs w:val="14"/>
                <w:color w:val="auto"/>
                <w:w w:val="87"/>
              </w:rPr>
              <w:t>Under the</w:t>
            </w:r>
          </w:p>
        </w:tc>
        <w:tc>
          <w:tcPr>
            <w:tcW w:w="1500" w:type="dxa"/>
            <w:vAlign w:val="bottom"/>
          </w:tcPr>
          <w:p>
            <w:pPr>
              <w:jc w:val="center"/>
              <w:ind w:left="104"/>
              <w:spacing w:after="0" w:line="133" w:lineRule="exact"/>
              <w:rPr>
                <w:sz w:val="20"/>
                <w:szCs w:val="20"/>
                <w:color w:val="auto"/>
              </w:rPr>
            </w:pPr>
            <w:r>
              <w:rPr>
                <w:rFonts w:ascii="Arial" w:cs="Arial" w:eastAsia="Arial" w:hAnsi="Arial"/>
                <w:sz w:val="14"/>
                <w:szCs w:val="14"/>
                <w:color w:val="auto"/>
                <w:w w:val="84"/>
              </w:rPr>
              <w:t>Purchased Under the</w:t>
            </w:r>
          </w:p>
        </w:tc>
      </w:tr>
      <w:tr>
        <w:trPr>
          <w:trHeight w:val="176"/>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680" w:type="dxa"/>
            <w:vAlign w:val="bottom"/>
            <w:tcBorders>
              <w:bottom w:val="single" w:sz="8" w:color="auto"/>
            </w:tcBorders>
          </w:tcPr>
          <w:p>
            <w:pPr>
              <w:jc w:val="center"/>
              <w:ind w:left="1202"/>
              <w:spacing w:after="0"/>
              <w:rPr>
                <w:sz w:val="20"/>
                <w:szCs w:val="20"/>
                <w:color w:val="auto"/>
              </w:rPr>
            </w:pPr>
            <w:r>
              <w:rPr>
                <w:rFonts w:ascii="Arial" w:cs="Arial" w:eastAsia="Arial" w:hAnsi="Arial"/>
                <w:sz w:val="14"/>
                <w:szCs w:val="14"/>
                <w:color w:val="auto"/>
                <w:w w:val="83"/>
              </w:rPr>
              <w:t>Purchased</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color w:val="auto"/>
                <w:w w:val="80"/>
              </w:rPr>
              <w:t>Share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Announced Authorization</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color w:val="auto"/>
                <w:w w:val="92"/>
              </w:rPr>
              <w:t>Authorization</w:t>
            </w:r>
          </w:p>
        </w:tc>
        <w:tc>
          <w:tcPr>
            <w:tcW w:w="1500" w:type="dxa"/>
            <w:vAlign w:val="bottom"/>
            <w:tcBorders>
              <w:bottom w:val="single" w:sz="8" w:color="auto"/>
            </w:tcBorders>
          </w:tcPr>
          <w:p>
            <w:pPr>
              <w:jc w:val="center"/>
              <w:ind w:left="104"/>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2800" w:type="dxa"/>
            <w:vAlign w:val="bottom"/>
            <w:shd w:val="clear" w:color="auto" w:fill="E5E5E5"/>
          </w:tcPr>
          <w:p>
            <w:pPr>
              <w:spacing w:after="0"/>
              <w:rPr>
                <w:sz w:val="20"/>
                <w:szCs w:val="20"/>
                <w:color w:val="auto"/>
              </w:rPr>
            </w:pPr>
            <w:r>
              <w:rPr>
                <w:rFonts w:ascii="Arial" w:cs="Arial" w:eastAsia="Arial" w:hAnsi="Arial"/>
                <w:sz w:val="18"/>
                <w:szCs w:val="18"/>
                <w:color w:val="auto"/>
              </w:rPr>
              <w:t>April 1-30, 2014</w:t>
            </w:r>
          </w:p>
        </w:tc>
        <w:tc>
          <w:tcPr>
            <w:tcW w:w="2680" w:type="dxa"/>
            <w:vAlign w:val="bottom"/>
            <w:shd w:val="clear" w:color="auto" w:fill="E5E5E5"/>
          </w:tcPr>
          <w:p>
            <w:pPr>
              <w:jc w:val="right"/>
              <w:ind w:right="20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1920" w:type="dxa"/>
            <w:vAlign w:val="bottom"/>
            <w:shd w:val="clear" w:color="auto" w:fill="E5E5E5"/>
          </w:tcPr>
          <w:p>
            <w:pPr>
              <w:jc w:val="right"/>
              <w:ind w:right="18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83"/>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E5E5"/>
          </w:tcPr>
          <w:p>
            <w:pPr>
              <w:jc w:val="center"/>
              <w:ind w:left="104"/>
              <w:spacing w:after="0"/>
              <w:rPr>
                <w:sz w:val="20"/>
                <w:szCs w:val="20"/>
                <w:color w:val="auto"/>
              </w:rPr>
            </w:pPr>
            <w:r>
              <w:rPr>
                <w:rFonts w:ascii="Arial" w:cs="Arial" w:eastAsia="Arial" w:hAnsi="Arial"/>
                <w:sz w:val="18"/>
                <w:szCs w:val="18"/>
                <w:color w:val="auto"/>
                <w:w w:val="86"/>
              </w:rPr>
              <w:t>$ 6,750,000,000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May 1-31, 2014</w:t>
            </w:r>
          </w:p>
        </w:tc>
        <w:tc>
          <w:tcPr>
            <w:tcW w:w="2680" w:type="dxa"/>
            <w:vAlign w:val="bottom"/>
          </w:tcPr>
          <w:p>
            <w:pPr>
              <w:jc w:val="right"/>
              <w:ind w:right="202"/>
              <w:spacing w:after="0"/>
              <w:rPr>
                <w:sz w:val="20"/>
                <w:szCs w:val="20"/>
                <w:color w:val="auto"/>
              </w:rPr>
            </w:pPr>
            <w:r>
              <w:rPr>
                <w:rFonts w:ascii="Arial" w:cs="Arial" w:eastAsia="Arial" w:hAnsi="Arial"/>
                <w:sz w:val="18"/>
                <w:szCs w:val="18"/>
                <w:color w:val="auto"/>
              </w:rPr>
              <w:t>10,128,203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81"/>
              <w:spacing w:after="0"/>
              <w:rPr>
                <w:sz w:val="20"/>
                <w:szCs w:val="20"/>
                <w:color w:val="auto"/>
              </w:rPr>
            </w:pPr>
            <w:r>
              <w:rPr>
                <w:rFonts w:ascii="Arial" w:cs="Arial" w:eastAsia="Arial" w:hAnsi="Arial"/>
                <w:sz w:val="18"/>
                <w:szCs w:val="18"/>
                <w:color w:val="auto"/>
                <w:w w:val="88"/>
              </w:rPr>
              <w:t>49.37</w:t>
            </w:r>
          </w:p>
        </w:tc>
        <w:tc>
          <w:tcPr>
            <w:tcW w:w="1920" w:type="dxa"/>
            <w:vAlign w:val="bottom"/>
          </w:tcPr>
          <w:p>
            <w:pPr>
              <w:jc w:val="right"/>
              <w:ind w:right="182"/>
              <w:spacing w:after="0"/>
              <w:rPr>
                <w:sz w:val="20"/>
                <w:szCs w:val="20"/>
                <w:color w:val="auto"/>
              </w:rPr>
            </w:pPr>
            <w:r>
              <w:rPr>
                <w:rFonts w:ascii="Arial" w:cs="Arial" w:eastAsia="Arial" w:hAnsi="Arial"/>
                <w:sz w:val="18"/>
                <w:szCs w:val="18"/>
                <w:color w:val="auto"/>
              </w:rPr>
              <w:t>10,128,203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3"/>
              <w:spacing w:after="0"/>
              <w:rPr>
                <w:sz w:val="20"/>
                <w:szCs w:val="20"/>
                <w:color w:val="auto"/>
              </w:rPr>
            </w:pPr>
            <w:r>
              <w:rPr>
                <w:rFonts w:ascii="Arial" w:cs="Arial" w:eastAsia="Arial" w:hAnsi="Arial"/>
                <w:sz w:val="18"/>
                <w:szCs w:val="18"/>
                <w:color w:val="auto"/>
                <w:w w:val="85"/>
              </w:rPr>
              <w:t>500,000,000</w:t>
            </w:r>
          </w:p>
        </w:tc>
        <w:tc>
          <w:tcPr>
            <w:tcW w:w="1500" w:type="dxa"/>
            <w:vAlign w:val="bottom"/>
          </w:tcPr>
          <w:p>
            <w:pPr>
              <w:jc w:val="center"/>
              <w:ind w:left="104"/>
              <w:spacing w:after="0"/>
              <w:rPr>
                <w:sz w:val="20"/>
                <w:szCs w:val="20"/>
                <w:color w:val="auto"/>
              </w:rPr>
            </w:pPr>
            <w:r>
              <w:rPr>
                <w:rFonts w:ascii="Arial" w:cs="Arial" w:eastAsia="Arial" w:hAnsi="Arial"/>
                <w:sz w:val="18"/>
                <w:szCs w:val="18"/>
                <w:color w:val="auto"/>
                <w:w w:val="86"/>
              </w:rPr>
              <w:t>$ 6,250,000,000</w:t>
            </w:r>
          </w:p>
        </w:tc>
      </w:tr>
      <w:tr>
        <w:trPr>
          <w:trHeight w:val="216"/>
        </w:trPr>
        <w:tc>
          <w:tcPr>
            <w:tcW w:w="2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June 1-30, 2014</w:t>
            </w:r>
          </w:p>
        </w:tc>
        <w:tc>
          <w:tcPr>
            <w:tcW w:w="268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4,854,350</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w w:val="88"/>
              </w:rPr>
              <w:t>51.50</w:t>
            </w:r>
          </w:p>
        </w:tc>
        <w:tc>
          <w:tcPr>
            <w:tcW w:w="1920" w:type="dxa"/>
            <w:vAlign w:val="bottom"/>
            <w:tcBorders>
              <w:bottom w:val="single" w:sz="8" w:color="auto"/>
            </w:tcBorders>
            <w:shd w:val="clear" w:color="auto" w:fill="E5E5E5"/>
          </w:tcPr>
          <w:p>
            <w:pPr>
              <w:jc w:val="right"/>
              <w:ind w:right="182"/>
              <w:spacing w:after="0"/>
              <w:rPr>
                <w:sz w:val="20"/>
                <w:szCs w:val="20"/>
                <w:color w:val="auto"/>
              </w:rPr>
            </w:pPr>
            <w:r>
              <w:rPr>
                <w:rFonts w:ascii="Arial" w:cs="Arial" w:eastAsia="Arial" w:hAnsi="Arial"/>
                <w:sz w:val="18"/>
                <w:szCs w:val="18"/>
                <w:color w:val="auto"/>
              </w:rPr>
              <w:t>4,854,350</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5E5"/>
          </w:tcPr>
          <w:p>
            <w:pPr>
              <w:jc w:val="right"/>
              <w:ind w:right="183"/>
              <w:spacing w:after="0"/>
              <w:rPr>
                <w:sz w:val="20"/>
                <w:szCs w:val="20"/>
                <w:color w:val="auto"/>
              </w:rPr>
            </w:pPr>
            <w:r>
              <w:rPr>
                <w:rFonts w:ascii="Arial" w:cs="Arial" w:eastAsia="Arial" w:hAnsi="Arial"/>
                <w:sz w:val="18"/>
                <w:szCs w:val="18"/>
                <w:color w:val="auto"/>
                <w:w w:val="85"/>
              </w:rPr>
              <w:t>250,000,000</w:t>
            </w:r>
          </w:p>
        </w:tc>
        <w:tc>
          <w:tcPr>
            <w:tcW w:w="1500" w:type="dxa"/>
            <w:vAlign w:val="bottom"/>
            <w:tcBorders>
              <w:bottom w:val="single" w:sz="8" w:color="auto"/>
            </w:tcBorders>
            <w:shd w:val="clear" w:color="auto" w:fill="E5E5E5"/>
          </w:tcPr>
          <w:p>
            <w:pPr>
              <w:jc w:val="center"/>
              <w:ind w:left="104"/>
              <w:spacing w:after="0"/>
              <w:rPr>
                <w:sz w:val="20"/>
                <w:szCs w:val="20"/>
                <w:color w:val="auto"/>
              </w:rPr>
            </w:pPr>
            <w:r>
              <w:rPr>
                <w:rFonts w:ascii="Arial" w:cs="Arial" w:eastAsia="Arial" w:hAnsi="Arial"/>
                <w:sz w:val="18"/>
                <w:szCs w:val="18"/>
                <w:color w:val="auto"/>
                <w:w w:val="86"/>
              </w:rPr>
              <w:t>$ 6,000,000,000</w:t>
            </w:r>
          </w:p>
        </w:tc>
      </w:tr>
      <w:tr>
        <w:trPr>
          <w:trHeight w:val="217"/>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68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14,982,553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w w:val="88"/>
              </w:rPr>
              <w:t>50.06</w:t>
            </w:r>
          </w:p>
        </w:tc>
        <w:tc>
          <w:tcPr>
            <w:tcW w:w="192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b w:val="1"/>
                <w:bCs w:val="1"/>
                <w:color w:val="auto"/>
              </w:rPr>
              <w:t>14,982,553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w w:val="85"/>
              </w:rPr>
              <w:t>750,000,000</w:t>
            </w:r>
          </w:p>
        </w:tc>
        <w:tc>
          <w:tcPr>
            <w:tcW w:w="1500" w:type="dxa"/>
            <w:vAlign w:val="bottom"/>
            <w:tcBorders>
              <w:bottom w:val="single" w:sz="8" w:color="auto"/>
            </w:tcBorders>
          </w:tcPr>
          <w:p>
            <w:pPr>
              <w:jc w:val="center"/>
              <w:ind w:left="104"/>
              <w:spacing w:after="0"/>
              <w:rPr>
                <w:sz w:val="20"/>
                <w:szCs w:val="20"/>
                <w:color w:val="auto"/>
              </w:rPr>
            </w:pPr>
            <w:r>
              <w:rPr>
                <w:rFonts w:ascii="Arial" w:cs="Arial" w:eastAsia="Arial" w:hAnsi="Arial"/>
                <w:sz w:val="18"/>
                <w:szCs w:val="18"/>
                <w:b w:val="1"/>
                <w:bCs w:val="1"/>
                <w:color w:val="auto"/>
                <w:w w:val="86"/>
              </w:rPr>
              <w:t>$ 6,000,000,000</w:t>
            </w:r>
          </w:p>
        </w:tc>
      </w:tr>
    </w:tbl>
    <w:p>
      <w:pPr>
        <w:spacing w:after="0" w:line="57" w:lineRule="exact"/>
        <w:rPr>
          <w:sz w:val="20"/>
          <w:szCs w:val="20"/>
          <w:color w:val="auto"/>
        </w:rPr>
      </w:pPr>
    </w:p>
    <w:p>
      <w:pPr>
        <w:jc w:val="both"/>
        <w:ind w:left="340" w:hanging="332"/>
        <w:spacing w:after="0" w:line="288"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 January 2014, our Board of Directors increased our share repurchase authorization to $7.5 billion, which does not have an expiration date. Under this authorization, we may repurchase shares in the open market or in private transactions. We expect to make $1.5 billion more in repurchases during the remainder of 2014, subject to market conditions. In addition, after shareholder approval of the merger has been obtained by both Comcast and Time Warner Cable, we intend to repurchase an additional $2.5 billion of shares during 2014, subject to market conditions and the timing of shareholder approvals.</w:t>
      </w:r>
    </w:p>
    <w:p>
      <w:pPr>
        <w:spacing w:after="0" w:line="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June 30, 2014 does not include any shares received in the administration of employee share-based compensation plans.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Exhibit</w:t>
      </w:r>
    </w:p>
    <w:p>
      <w:pPr>
        <w:ind w:left="20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20" w:hanging="722"/>
        <w:spacing w:after="0" w:line="249"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Comcast/Charter Transactions Agreement dated as of April 25, 2014 between Comcast Corporation and Charter Communications, Inc. (incorporated by reference to Exhibit 2.1 to Comcast’s Current Report filed on April 28, 2014).</w:t>
      </w:r>
    </w:p>
    <w:p>
      <w:pPr>
        <w:spacing w:after="0" w:line="1" w:lineRule="exact"/>
        <w:rPr>
          <w:sz w:val="20"/>
          <w:szCs w:val="20"/>
          <w:color w:val="auto"/>
        </w:rPr>
      </w:pPr>
    </w:p>
    <w:p>
      <w:pPr>
        <w:ind w:left="820" w:hanging="722"/>
        <w:spacing w:after="0" w:line="250" w:lineRule="auto"/>
        <w:tabs>
          <w:tab w:leader="none" w:pos="8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Voting Agreement dated as of April 25, 2014 between Comcast Corporation and Liberty Media Corporation (incorporated by reference to Exhibit 2.2 to Comcast’s Current Report filed on April 28, 2014).</w:t>
      </w:r>
    </w:p>
    <w:p>
      <w:pPr>
        <w:spacing w:after="0" w:line="1" w:lineRule="exact"/>
        <w:rPr>
          <w:sz w:val="20"/>
          <w:szCs w:val="20"/>
          <w:color w:val="auto"/>
        </w:rPr>
      </w:pPr>
    </w:p>
    <w:p>
      <w:pPr>
        <w:ind w:left="820" w:right="20" w:hanging="722"/>
        <w:spacing w:after="0" w:line="250"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12 dated as of June 30, 2014 to Employment Agreement with Brian L. Roberts (incorporated by reference to Exhibit 99.1 to Comcast’s Current Report filed on July 1, 2014).</w:t>
      </w:r>
    </w:p>
    <w:p>
      <w:pPr>
        <w:spacing w:after="0" w:line="1"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and Chief Financial Officer pursuant to Section 302 of the Sarbanes-Oxley Act of 2002.</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and six months ended June 30, 2014, filed with the Securities and Exchange Commission on July 24, 2014,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1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w:t>
      </w:r>
      <w:r>
        <w:rPr>
          <w:rFonts w:ascii="Arial" w:cs="Arial" w:eastAsia="Arial" w:hAnsi="Arial"/>
          <w:sz w:val="12"/>
          <w:szCs w:val="12"/>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Executive Officer and Principal Financial Officer pursuant to Section 302 of the Sarbanes-Oxley Act of 2002.</w:t>
      </w:r>
    </w:p>
    <w:p>
      <w:pPr>
        <w:spacing w:after="0" w:line="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Quarterly Report on Form 10-Q for the three and six months ended June 30, 2014, filed with the Securities and Exchange Commission on July 24, 2014,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Chief Accounting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Controller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24, 2014</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Index</w:t>
            </w:r>
          </w:p>
        </w:tc>
        <w:tc>
          <w:tcPr>
            <w:tcW w:w="6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Page</w:t>
            </w:r>
          </w:p>
        </w:tc>
      </w:tr>
      <w:tr>
        <w:trPr>
          <w:trHeight w:val="169"/>
        </w:trPr>
        <w:tc>
          <w:tcPr>
            <w:tcW w:w="5020" w:type="dxa"/>
            <w:vAlign w:val="bottom"/>
            <w:gridSpan w:val="7"/>
          </w:tcPr>
          <w:p>
            <w:pPr>
              <w:spacing w:after="0" w:line="170" w:lineRule="exact"/>
              <w:rPr>
                <w:rFonts w:ascii="Arial" w:cs="Arial" w:eastAsia="Arial" w:hAnsi="Arial"/>
                <w:sz w:val="18"/>
                <w:szCs w:val="18"/>
                <w:color w:val="0000EE"/>
              </w:rPr>
            </w:pPr>
            <w:hyperlink w:anchor="page51">
              <w:r>
                <w:rPr>
                  <w:rFonts w:ascii="Arial" w:cs="Arial" w:eastAsia="Arial" w:hAnsi="Arial"/>
                  <w:sz w:val="18"/>
                  <w:szCs w:val="18"/>
                  <w:color w:val="0000EE"/>
                </w:rPr>
                <w:t>Condensed Consolidated Balance Sheet</w:t>
              </w:r>
            </w:hyperlink>
          </w:p>
        </w:tc>
        <w:tc>
          <w:tcPr>
            <w:tcW w:w="6400" w:type="dxa"/>
            <w:vAlign w:val="bottom"/>
          </w:tcPr>
          <w:p>
            <w:pPr>
              <w:jc w:val="right"/>
              <w:ind w:right="15"/>
              <w:spacing w:after="0" w:line="170" w:lineRule="exact"/>
              <w:rPr>
                <w:sz w:val="20"/>
                <w:szCs w:val="20"/>
                <w:color w:val="auto"/>
              </w:rPr>
            </w:pPr>
            <w:r>
              <w:rPr>
                <w:rFonts w:ascii="Arial" w:cs="Arial" w:eastAsia="Arial" w:hAnsi="Arial"/>
                <w:sz w:val="18"/>
                <w:szCs w:val="18"/>
                <w:color w:val="auto"/>
              </w:rPr>
              <w:t>49</w:t>
            </w:r>
          </w:p>
        </w:tc>
      </w:tr>
      <w:tr>
        <w:trPr>
          <w:trHeight w:val="20"/>
        </w:trPr>
        <w:tc>
          <w:tcPr>
            <w:tcW w:w="2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Condensed Consolidated Statement of Income</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50</w:t>
            </w:r>
          </w:p>
        </w:tc>
      </w:tr>
      <w:tr>
        <w:trPr>
          <w:trHeight w:val="20"/>
        </w:trPr>
        <w:tc>
          <w:tcPr>
            <w:tcW w:w="3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Condensed Consolidated Statement of Comprehensive Income</w:t>
              </w:r>
            </w:hyperlink>
          </w:p>
        </w:tc>
        <w:tc>
          <w:tcPr>
            <w:tcW w:w="600" w:type="dxa"/>
            <w:vAlign w:val="bottom"/>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51</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Condensed Consolidated Statement of Cash Flows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52</w:t>
            </w:r>
          </w:p>
        </w:tc>
      </w:tr>
      <w:tr>
        <w:trPr>
          <w:trHeight w:val="20"/>
        </w:trPr>
        <w:tc>
          <w:tcPr>
            <w:tcW w:w="35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Condensed Consolidated Statement of Changes in Equity</w:t>
              </w:r>
            </w:hyperlink>
          </w:p>
        </w:tc>
        <w:tc>
          <w:tcPr>
            <w:tcW w:w="980" w:type="dxa"/>
            <w:vAlign w:val="bottom"/>
            <w:gridSpan w:val="2"/>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53</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Notes to Condensed Consolidated Financial Statements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54</w:t>
            </w:r>
          </w:p>
        </w:tc>
      </w:tr>
      <w:tr>
        <w:trPr>
          <w:trHeight w:val="61"/>
        </w:trPr>
        <w:tc>
          <w:tcPr>
            <w:tcW w:w="2800" w:type="dxa"/>
            <w:vAlign w:val="bottom"/>
            <w:tcBorders>
              <w:top w:val="single" w:sz="8" w:color="0000EE"/>
              <w:bottom w:val="single" w:sz="8" w:color="auto"/>
            </w:tcBorders>
          </w:tcPr>
          <w:p>
            <w:pPr>
              <w:spacing w:after="0"/>
              <w:rPr>
                <w:sz w:val="5"/>
                <w:szCs w:val="5"/>
                <w:color w:val="auto"/>
              </w:rPr>
            </w:pPr>
          </w:p>
        </w:tc>
        <w:tc>
          <w:tcPr>
            <w:tcW w:w="4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400" w:type="dxa"/>
            <w:vAlign w:val="bottom"/>
            <w:tcBorders>
              <w:bottom w:val="single" w:sz="8" w:color="auto"/>
            </w:tcBorders>
          </w:tcPr>
          <w:p>
            <w:pPr>
              <w:spacing w:after="0"/>
              <w:rPr>
                <w:sz w:val="5"/>
                <w:szCs w:val="5"/>
                <w:color w:val="auto"/>
              </w:rPr>
            </w:pPr>
          </w:p>
        </w:tc>
      </w:tr>
      <w:tr>
        <w:trPr>
          <w:trHeight w:val="383"/>
        </w:trPr>
        <w:tc>
          <w:tcPr>
            <w:tcW w:w="2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0" w:type="dxa"/>
            <w:vAlign w:val="bottom"/>
          </w:tcPr>
          <w:p>
            <w:pPr>
              <w:jc w:val="right"/>
              <w:ind w:right="5515"/>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780" w:type="dxa"/>
            <w:vAlign w:val="bottom"/>
            <w:gridSpan w:val="2"/>
          </w:tcPr>
          <w:p>
            <w:pPr>
              <w:jc w:val="right"/>
              <w:ind w:right="353"/>
              <w:spacing w:after="0"/>
              <w:rPr>
                <w:sz w:val="20"/>
                <w:szCs w:val="20"/>
                <w:color w:val="auto"/>
              </w:rPr>
            </w:pPr>
            <w:r>
              <w:rPr>
                <w:rFonts w:ascii="Arial" w:cs="Arial" w:eastAsia="Arial" w:hAnsi="Arial"/>
                <w:sz w:val="14"/>
                <w:szCs w:val="14"/>
                <w:color w:val="auto"/>
              </w:rPr>
              <w:t>June 30,</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73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920" w:type="dxa"/>
            <w:vAlign w:val="bottom"/>
          </w:tcPr>
          <w:p>
            <w:pPr>
              <w:spacing w:after="0"/>
              <w:rPr>
                <w:sz w:val="13"/>
                <w:szCs w:val="13"/>
                <w:color w:val="auto"/>
              </w:rPr>
            </w:pPr>
          </w:p>
        </w:tc>
        <w:tc>
          <w:tcPr>
            <w:tcW w:w="860" w:type="dxa"/>
            <w:vAlign w:val="bottom"/>
          </w:tcPr>
          <w:p>
            <w:pPr>
              <w:jc w:val="right"/>
              <w:ind w:right="433"/>
              <w:spacing w:after="0" w:line="159" w:lineRule="exact"/>
              <w:rPr>
                <w:sz w:val="20"/>
                <w:szCs w:val="20"/>
                <w:color w:val="auto"/>
              </w:rPr>
            </w:pPr>
            <w:r>
              <w:rPr>
                <w:rFonts w:ascii="Arial" w:cs="Arial" w:eastAsia="Arial" w:hAnsi="Arial"/>
                <w:sz w:val="14"/>
                <w:szCs w:val="14"/>
                <w:color w:val="auto"/>
              </w:rPr>
              <w:t>2014</w:t>
            </w:r>
          </w:p>
        </w:tc>
        <w:tc>
          <w:tcPr>
            <w:tcW w:w="560" w:type="dxa"/>
            <w:vAlign w:val="bottom"/>
          </w:tcPr>
          <w:p>
            <w:pPr>
              <w:spacing w:after="0"/>
              <w:rPr>
                <w:sz w:val="13"/>
                <w:szCs w:val="13"/>
                <w:color w:val="auto"/>
              </w:rPr>
            </w:pPr>
          </w:p>
        </w:tc>
        <w:tc>
          <w:tcPr>
            <w:tcW w:w="70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9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1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827</w:t>
            </w:r>
          </w:p>
        </w:tc>
        <w:tc>
          <w:tcPr>
            <w:tcW w:w="56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92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4,668</w:t>
            </w:r>
          </w:p>
        </w:tc>
        <w:tc>
          <w:tcPr>
            <w:tcW w:w="5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19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889</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1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806</w:t>
            </w: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19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7,190</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92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5,200</w:t>
            </w:r>
          </w:p>
        </w:tc>
        <w:tc>
          <w:tcPr>
            <w:tcW w:w="5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19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881</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$1,920 and $1,599</w:t>
            </w:r>
          </w:p>
        </w:tc>
        <w:tc>
          <w:tcPr>
            <w:tcW w:w="192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7,828</w:t>
            </w:r>
          </w:p>
        </w:tc>
        <w:tc>
          <w:tcPr>
            <w:tcW w:w="5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19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w w:val="83"/>
              </w:rPr>
              <w:t>14,905</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$4,351 and $4,003</w:t>
            </w:r>
          </w:p>
        </w:tc>
        <w:tc>
          <w:tcPr>
            <w:tcW w:w="192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w w:val="83"/>
              </w:rPr>
              <w:t>14,558</w:t>
            </w:r>
          </w:p>
        </w:tc>
        <w:tc>
          <w:tcPr>
            <w:tcW w:w="5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19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93"/>
              <w:spacing w:after="0"/>
              <w:rPr>
                <w:sz w:val="20"/>
                <w:szCs w:val="20"/>
                <w:color w:val="auto"/>
              </w:rPr>
            </w:pPr>
            <w:r>
              <w:rPr>
                <w:rFonts w:ascii="Arial" w:cs="Arial" w:eastAsia="Arial" w:hAnsi="Arial"/>
                <w:sz w:val="18"/>
                <w:szCs w:val="18"/>
                <w:color w:val="auto"/>
              </w:rPr>
              <w:t>1,141</w:t>
            </w:r>
          </w:p>
        </w:tc>
        <w:tc>
          <w:tcPr>
            <w:tcW w:w="5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w w:val="83"/>
              </w:rPr>
              <w:t>51,703</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51,739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19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1,251</w:t>
            </w:r>
          </w:p>
        </w:tc>
        <w:tc>
          <w:tcPr>
            <w:tcW w:w="56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192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1,364</w:t>
            </w:r>
          </w:p>
        </w:tc>
        <w:tc>
          <w:tcPr>
            <w:tcW w:w="5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 obligations</w:t>
            </w:r>
          </w:p>
        </w:tc>
        <w:tc>
          <w:tcPr>
            <w:tcW w:w="19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618</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92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747</w:t>
            </w:r>
          </w:p>
        </w:tc>
        <w:tc>
          <w:tcPr>
            <w:tcW w:w="5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9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1,187</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Note payable to Comcast</w:t>
            </w:r>
          </w:p>
        </w:tc>
        <w:tc>
          <w:tcPr>
            <w:tcW w:w="192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1,532</w:t>
            </w:r>
          </w:p>
        </w:tc>
        <w:tc>
          <w:tcPr>
            <w:tcW w:w="5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19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93"/>
              <w:spacing w:after="0"/>
              <w:rPr>
                <w:sz w:val="20"/>
                <w:szCs w:val="20"/>
                <w:color w:val="auto"/>
              </w:rPr>
            </w:pPr>
            <w:r>
              <w:rPr>
                <w:rFonts w:ascii="Arial" w:cs="Arial" w:eastAsia="Arial" w:hAnsi="Arial"/>
                <w:sz w:val="18"/>
                <w:szCs w:val="18"/>
                <w:color w:val="auto"/>
              </w:rPr>
              <w:t>1,014</w:t>
            </w:r>
          </w:p>
        </w:tc>
        <w:tc>
          <w:tcPr>
            <w:tcW w:w="5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92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7,713</w:t>
            </w:r>
          </w:p>
        </w:tc>
        <w:tc>
          <w:tcPr>
            <w:tcW w:w="5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19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9,243</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192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965</w:t>
            </w:r>
          </w:p>
        </w:tc>
        <w:tc>
          <w:tcPr>
            <w:tcW w:w="5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19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3,444</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19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319</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Equity:</w:t>
            </w: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Member’s capital</w:t>
            </w:r>
          </w:p>
        </w:tc>
        <w:tc>
          <w:tcPr>
            <w:tcW w:w="19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w w:val="83"/>
              </w:rPr>
              <w:t>29,734</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5</w:t>
            </w: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19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w w:val="83"/>
              </w:rPr>
              <w:t>29,739</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280</w:t>
            </w: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19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93"/>
              <w:spacing w:after="0"/>
              <w:rPr>
                <w:sz w:val="20"/>
                <w:szCs w:val="20"/>
                <w:color w:val="auto"/>
              </w:rPr>
            </w:pPr>
            <w:r>
              <w:rPr>
                <w:rFonts w:ascii="Arial" w:cs="Arial" w:eastAsia="Arial" w:hAnsi="Arial"/>
                <w:sz w:val="18"/>
                <w:szCs w:val="18"/>
                <w:color w:val="auto"/>
                <w:w w:val="83"/>
              </w:rPr>
              <w:t>30,019</w:t>
            </w:r>
          </w:p>
        </w:tc>
        <w:tc>
          <w:tcPr>
            <w:tcW w:w="5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29,327</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w w:val="83"/>
              </w:rPr>
              <w:t>51,703</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51,739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3"/>
          </w:tcPr>
          <w:p>
            <w:pPr>
              <w:jc w:val="right"/>
              <w:ind w:right="493"/>
              <w:spacing w:after="0"/>
              <w:rPr>
                <w:sz w:val="20"/>
                <w:szCs w:val="20"/>
                <w:color w:val="auto"/>
              </w:rPr>
            </w:pPr>
            <w:r>
              <w:rPr>
                <w:rFonts w:ascii="Arial" w:cs="Arial" w:eastAsia="Arial" w:hAnsi="Arial"/>
                <w:sz w:val="14"/>
                <w:szCs w:val="14"/>
                <w:color w:val="auto"/>
              </w:rPr>
              <w:t>Three Months</w:t>
            </w:r>
          </w:p>
        </w:tc>
        <w:tc>
          <w:tcPr>
            <w:tcW w:w="280" w:type="dxa"/>
            <w:vAlign w:val="bottom"/>
          </w:tcPr>
          <w:p>
            <w:pPr>
              <w:spacing w:after="0"/>
              <w:rPr>
                <w:sz w:val="14"/>
                <w:szCs w:val="14"/>
                <w:color w:val="auto"/>
              </w:rPr>
            </w:pPr>
          </w:p>
        </w:tc>
        <w:tc>
          <w:tcPr>
            <w:tcW w:w="1500" w:type="dxa"/>
            <w:vAlign w:val="bottom"/>
            <w:gridSpan w:val="3"/>
          </w:tcPr>
          <w:p>
            <w:pPr>
              <w:jc w:val="right"/>
              <w:ind w:right="453"/>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73"/>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color w:val="auto"/>
              </w:rPr>
              <w:t>Ended June 30</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color w:val="auto"/>
              </w:rPr>
              <w:t>Ended June 30</w:t>
            </w:r>
          </w:p>
        </w:tc>
        <w:tc>
          <w:tcPr>
            <w:tcW w:w="0" w:type="dxa"/>
            <w:vAlign w:val="bottom"/>
          </w:tcPr>
          <w:p>
            <w:pPr>
              <w:spacing w:after="0"/>
              <w:rPr>
                <w:sz w:val="1"/>
                <w:szCs w:val="1"/>
                <w:color w:val="auto"/>
              </w:rPr>
            </w:pPr>
          </w:p>
        </w:tc>
      </w:tr>
      <w:tr>
        <w:trPr>
          <w:trHeight w:val="142"/>
        </w:trPr>
        <w:tc>
          <w:tcPr>
            <w:tcW w:w="76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ind w:right="275"/>
              <w:spacing w:after="0" w:line="142" w:lineRule="exact"/>
              <w:rPr>
                <w:sz w:val="20"/>
                <w:szCs w:val="20"/>
                <w:color w:val="auto"/>
              </w:rPr>
            </w:pPr>
            <w:r>
              <w:rPr>
                <w:rFonts w:ascii="Arial" w:cs="Arial" w:eastAsia="Arial" w:hAnsi="Arial"/>
                <w:sz w:val="14"/>
                <w:szCs w:val="14"/>
                <w:color w:val="auto"/>
                <w:w w:val="83"/>
              </w:rPr>
              <w:t>2014</w:t>
            </w:r>
          </w:p>
        </w:tc>
        <w:tc>
          <w:tcPr>
            <w:tcW w:w="300" w:type="dxa"/>
            <w:vAlign w:val="bottom"/>
          </w:tcPr>
          <w:p>
            <w:pPr>
              <w:spacing w:after="0"/>
              <w:rPr>
                <w:sz w:val="12"/>
                <w:szCs w:val="12"/>
                <w:color w:val="auto"/>
              </w:rPr>
            </w:pPr>
          </w:p>
        </w:tc>
        <w:tc>
          <w:tcPr>
            <w:tcW w:w="640" w:type="dxa"/>
            <w:vAlign w:val="bottom"/>
          </w:tcPr>
          <w:p>
            <w:pPr>
              <w:jc w:val="right"/>
              <w:ind w:right="273"/>
              <w:spacing w:after="0" w:line="142" w:lineRule="exact"/>
              <w:rPr>
                <w:sz w:val="20"/>
                <w:szCs w:val="20"/>
                <w:color w:val="auto"/>
              </w:rPr>
            </w:pPr>
            <w:r>
              <w:rPr>
                <w:rFonts w:ascii="Arial" w:cs="Arial" w:eastAsia="Arial" w:hAnsi="Arial"/>
                <w:sz w:val="14"/>
                <w:szCs w:val="14"/>
                <w:color w:val="auto"/>
                <w:w w:val="83"/>
              </w:rPr>
              <w:t>2013</w:t>
            </w:r>
          </w:p>
        </w:tc>
        <w:tc>
          <w:tcPr>
            <w:tcW w:w="280" w:type="dxa"/>
            <w:vAlign w:val="bottom"/>
          </w:tcPr>
          <w:p>
            <w:pPr>
              <w:spacing w:after="0"/>
              <w:rPr>
                <w:sz w:val="12"/>
                <w:szCs w:val="12"/>
                <w:color w:val="auto"/>
              </w:rPr>
            </w:pPr>
          </w:p>
        </w:tc>
        <w:tc>
          <w:tcPr>
            <w:tcW w:w="68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4"/>
              </w:rPr>
              <w:t>6,016</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84"/>
              </w:rPr>
              <w:t>5,995</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83"/>
              </w:rPr>
              <w:t>12,892</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84"/>
              </w:rPr>
              <w:t>2,742</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4"/>
              </w:rPr>
              <w:t>2,992</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6,484</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18"/>
                <w:szCs w:val="18"/>
                <w:color w:val="auto"/>
              </w:rPr>
            </w:pPr>
          </w:p>
        </w:tc>
        <w:tc>
          <w:tcPr>
            <w:tcW w:w="640" w:type="dxa"/>
            <w:vAlign w:val="bottom"/>
          </w:tcPr>
          <w:p>
            <w:pPr>
              <w:jc w:val="right"/>
              <w:ind w:right="155"/>
              <w:spacing w:after="0"/>
              <w:rPr>
                <w:sz w:val="20"/>
                <w:szCs w:val="20"/>
                <w:color w:val="auto"/>
              </w:rPr>
            </w:pPr>
            <w:r>
              <w:rPr>
                <w:rFonts w:ascii="Arial" w:cs="Arial" w:eastAsia="Arial" w:hAnsi="Arial"/>
                <w:sz w:val="18"/>
                <w:szCs w:val="18"/>
                <w:color w:val="auto"/>
                <w:w w:val="84"/>
              </w:rPr>
              <w:t>1,340</w:t>
            </w:r>
          </w:p>
        </w:tc>
        <w:tc>
          <w:tcPr>
            <w:tcW w:w="300" w:type="dxa"/>
            <w:vAlign w:val="bottom"/>
          </w:tcPr>
          <w:p>
            <w:pPr>
              <w:spacing w:after="0"/>
              <w:rPr>
                <w:sz w:val="18"/>
                <w:szCs w:val="18"/>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w w:val="84"/>
              </w:rPr>
              <w:t>1,204</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2,614</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1,049</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640" w:type="dxa"/>
            <w:vAlign w:val="bottom"/>
          </w:tcPr>
          <w:p>
            <w:pPr>
              <w:jc w:val="right"/>
              <w:ind w:right="155"/>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8"/>
                <w:szCs w:val="18"/>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194</w:t>
            </w: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193</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84"/>
              </w:rPr>
              <w:t>4,952</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84"/>
              </w:rPr>
              <w:t>5,153</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3"/>
              </w:rPr>
              <w:t>10,882</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84"/>
              </w:rPr>
              <w:t>1,064</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842</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640" w:type="dxa"/>
            <w:vAlign w:val="bottom"/>
          </w:tcPr>
          <w:p>
            <w:pPr>
              <w:jc w:val="right"/>
              <w:ind w:right="155"/>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16</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29</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(153)</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640" w:type="dxa"/>
            <w:vAlign w:val="bottom"/>
          </w:tcPr>
          <w:p>
            <w:pPr>
              <w:jc w:val="right"/>
              <w:ind w:right="155"/>
              <w:spacing w:after="0"/>
              <w:rPr>
                <w:sz w:val="20"/>
                <w:szCs w:val="20"/>
                <w:color w:val="auto"/>
              </w:rPr>
            </w:pPr>
            <w:r>
              <w:rPr>
                <w:rFonts w:ascii="Arial" w:cs="Arial" w:eastAsia="Arial" w:hAnsi="Arial"/>
                <w:sz w:val="18"/>
                <w:szCs w:val="18"/>
                <w:color w:val="auto"/>
              </w:rPr>
              <w:t>916</w:t>
            </w:r>
          </w:p>
        </w:tc>
        <w:tc>
          <w:tcPr>
            <w:tcW w:w="300" w:type="dxa"/>
            <w:vAlign w:val="bottom"/>
          </w:tcPr>
          <w:p>
            <w:pPr>
              <w:spacing w:after="0"/>
              <w:rPr>
                <w:sz w:val="18"/>
                <w:szCs w:val="18"/>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1,721</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640" w:type="dxa"/>
            <w:vAlign w:val="bottom"/>
          </w:tcPr>
          <w:p>
            <w:pPr>
              <w:jc w:val="right"/>
              <w:ind w:right="155"/>
              <w:spacing w:after="0"/>
              <w:rPr>
                <w:sz w:val="20"/>
                <w:szCs w:val="20"/>
                <w:color w:val="auto"/>
              </w:rPr>
            </w:pPr>
            <w:r>
              <w:rPr>
                <w:rFonts w:ascii="Arial" w:cs="Arial" w:eastAsia="Arial" w:hAnsi="Arial"/>
                <w:sz w:val="18"/>
                <w:szCs w:val="18"/>
                <w:color w:val="auto"/>
              </w:rPr>
              <w:t>842</w:t>
            </w:r>
          </w:p>
        </w:tc>
        <w:tc>
          <w:tcPr>
            <w:tcW w:w="300" w:type="dxa"/>
            <w:vAlign w:val="bottom"/>
          </w:tcPr>
          <w:p>
            <w:pPr>
              <w:spacing w:after="0"/>
              <w:rPr>
                <w:sz w:val="18"/>
                <w:szCs w:val="18"/>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630</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1,583</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814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623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1,496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978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3"/>
          </w:tcPr>
          <w:p>
            <w:pPr>
              <w:jc w:val="right"/>
              <w:ind w:right="414"/>
              <w:spacing w:after="0"/>
              <w:rPr>
                <w:sz w:val="20"/>
                <w:szCs w:val="20"/>
                <w:color w:val="auto"/>
              </w:rPr>
            </w:pPr>
            <w:r>
              <w:rPr>
                <w:rFonts w:ascii="Arial" w:cs="Arial" w:eastAsia="Arial" w:hAnsi="Arial"/>
                <w:sz w:val="14"/>
                <w:szCs w:val="14"/>
                <w:color w:val="auto"/>
                <w:w w:val="94"/>
              </w:rPr>
              <w:t>Three Months Ended</w:t>
            </w:r>
          </w:p>
        </w:tc>
        <w:tc>
          <w:tcPr>
            <w:tcW w:w="1760" w:type="dxa"/>
            <w:vAlign w:val="bottom"/>
            <w:gridSpan w:val="3"/>
          </w:tcPr>
          <w:p>
            <w:pPr>
              <w:jc w:val="right"/>
              <w:ind w:right="27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3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3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jc w:val="right"/>
              <w:ind w:right="538"/>
              <w:spacing w:after="0" w:line="142" w:lineRule="exact"/>
              <w:rPr>
                <w:sz w:val="20"/>
                <w:szCs w:val="20"/>
                <w:color w:val="auto"/>
              </w:rPr>
            </w:pPr>
            <w:r>
              <w:rPr>
                <w:rFonts w:ascii="Arial" w:cs="Arial" w:eastAsia="Arial" w:hAnsi="Arial"/>
                <w:sz w:val="14"/>
                <w:szCs w:val="14"/>
                <w:color w:val="auto"/>
                <w:w w:val="89"/>
              </w:rPr>
              <w:t>2014</w:t>
            </w:r>
          </w:p>
        </w:tc>
        <w:tc>
          <w:tcPr>
            <w:tcW w:w="140" w:type="dxa"/>
            <w:vAlign w:val="bottom"/>
          </w:tcPr>
          <w:p>
            <w:pPr>
              <w:spacing w:after="0"/>
              <w:rPr>
                <w:sz w:val="12"/>
                <w:szCs w:val="12"/>
                <w:color w:val="auto"/>
              </w:rPr>
            </w:pPr>
          </w:p>
        </w:tc>
        <w:tc>
          <w:tcPr>
            <w:tcW w:w="700" w:type="dxa"/>
            <w:vAlign w:val="bottom"/>
          </w:tcPr>
          <w:p>
            <w:pPr>
              <w:jc w:val="right"/>
              <w:ind w:right="334"/>
              <w:spacing w:after="0" w:line="142" w:lineRule="exact"/>
              <w:rPr>
                <w:sz w:val="20"/>
                <w:szCs w:val="20"/>
                <w:color w:val="auto"/>
              </w:rPr>
            </w:pPr>
            <w:r>
              <w:rPr>
                <w:rFonts w:ascii="Arial" w:cs="Arial" w:eastAsia="Arial" w:hAnsi="Arial"/>
                <w:sz w:val="14"/>
                <w:szCs w:val="14"/>
                <w:color w:val="auto"/>
                <w:w w:val="83"/>
              </w:rPr>
              <w:t>2013</w:t>
            </w:r>
          </w:p>
        </w:tc>
        <w:tc>
          <w:tcPr>
            <w:tcW w:w="920" w:type="dxa"/>
            <w:vAlign w:val="bottom"/>
          </w:tcPr>
          <w:p>
            <w:pPr>
              <w:jc w:val="right"/>
              <w:ind w:right="218"/>
              <w:spacing w:after="0" w:line="142"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2"/>
                <w:szCs w:val="12"/>
                <w:color w:val="auto"/>
              </w:rPr>
            </w:pPr>
          </w:p>
        </w:tc>
        <w:tc>
          <w:tcPr>
            <w:tcW w:w="620" w:type="dxa"/>
            <w:vAlign w:val="bottom"/>
          </w:tcPr>
          <w:p>
            <w:pPr>
              <w:jc w:val="right"/>
              <w:ind w:right="254"/>
              <w:spacing w:after="0" w:line="142" w:lineRule="exact"/>
              <w:rPr>
                <w:sz w:val="20"/>
                <w:szCs w:val="20"/>
                <w:color w:val="auto"/>
              </w:rPr>
            </w:pPr>
            <w:r>
              <w:rPr>
                <w:rFonts w:ascii="Arial" w:cs="Arial" w:eastAsia="Arial" w:hAnsi="Arial"/>
                <w:sz w:val="14"/>
                <w:szCs w:val="14"/>
                <w:color w:val="auto"/>
                <w:w w:val="83"/>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418"/>
              <w:spacing w:after="0"/>
              <w:rPr>
                <w:sz w:val="20"/>
                <w:szCs w:val="20"/>
                <w:color w:val="auto"/>
              </w:rPr>
            </w:pPr>
            <w:r>
              <w:rPr>
                <w:rFonts w:ascii="Arial" w:cs="Arial" w:eastAsia="Arial" w:hAnsi="Arial"/>
                <w:sz w:val="18"/>
                <w:szCs w:val="18"/>
                <w:color w:val="auto"/>
              </w:rPr>
              <w:t>842</w:t>
            </w: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630</w:t>
            </w:r>
          </w:p>
        </w:tc>
        <w:tc>
          <w:tcPr>
            <w:tcW w:w="920" w:type="dxa"/>
            <w:vAlign w:val="bottom"/>
            <w:tcBorders>
              <w:top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$1,583</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84"/>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Unrealized gains (losses) on marketable securities, net</w:t>
            </w:r>
          </w:p>
        </w:tc>
        <w:tc>
          <w:tcPr>
            <w:tcW w:w="520" w:type="dxa"/>
            <w:vAlign w:val="bottom"/>
          </w:tcPr>
          <w:p>
            <w:pPr>
              <w:spacing w:after="0"/>
              <w:rPr>
                <w:sz w:val="18"/>
                <w:szCs w:val="18"/>
                <w:color w:val="auto"/>
              </w:rPr>
            </w:pPr>
          </w:p>
        </w:tc>
        <w:tc>
          <w:tcPr>
            <w:tcW w:w="920" w:type="dxa"/>
            <w:vAlign w:val="bottom"/>
          </w:tcPr>
          <w:p>
            <w:pPr>
              <w:jc w:val="right"/>
              <w:ind w:right="418"/>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8"/>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 net</w:t>
            </w: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58"/>
              <w:spacing w:after="0"/>
              <w:rPr>
                <w:sz w:val="20"/>
                <w:szCs w:val="20"/>
                <w:color w:val="auto"/>
              </w:rPr>
            </w:pPr>
            <w:r>
              <w:rPr>
                <w:rFonts w:ascii="Arial" w:cs="Arial" w:eastAsia="Arial" w:hAnsi="Arial"/>
                <w:sz w:val="18"/>
                <w:szCs w:val="18"/>
                <w:color w:val="auto"/>
              </w:rPr>
              <w:t>(2)</w:t>
            </w:r>
          </w:p>
        </w:tc>
        <w:tc>
          <w:tcPr>
            <w:tcW w:w="1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(2)</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Employee benefit obligations, net</w:t>
            </w:r>
          </w:p>
        </w:tc>
        <w:tc>
          <w:tcPr>
            <w:tcW w:w="520" w:type="dxa"/>
            <w:vAlign w:val="bottom"/>
          </w:tcPr>
          <w:p>
            <w:pPr>
              <w:spacing w:after="0"/>
              <w:rPr>
                <w:sz w:val="18"/>
                <w:szCs w:val="18"/>
                <w:color w:val="auto"/>
              </w:rPr>
            </w:pPr>
          </w:p>
        </w:tc>
        <w:tc>
          <w:tcPr>
            <w:tcW w:w="92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92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Currency translation adjustments, net</w:t>
            </w:r>
          </w:p>
        </w:tc>
        <w:tc>
          <w:tcPr>
            <w:tcW w:w="5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418"/>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(23)</w:t>
            </w:r>
          </w:p>
        </w:tc>
        <w:tc>
          <w:tcPr>
            <w:tcW w:w="92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520" w:type="dxa"/>
            <w:vAlign w:val="bottom"/>
          </w:tcPr>
          <w:p>
            <w:pPr>
              <w:spacing w:after="0"/>
              <w:rPr>
                <w:sz w:val="18"/>
                <w:szCs w:val="18"/>
                <w:color w:val="auto"/>
              </w:rPr>
            </w:pPr>
          </w:p>
        </w:tc>
        <w:tc>
          <w:tcPr>
            <w:tcW w:w="920" w:type="dxa"/>
            <w:vAlign w:val="bottom"/>
          </w:tcPr>
          <w:p>
            <w:pPr>
              <w:jc w:val="right"/>
              <w:ind w:right="418"/>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8"/>
                <w:szCs w:val="18"/>
                <w:color w:val="auto"/>
              </w:rPr>
              <w:t>606</w:t>
            </w:r>
          </w:p>
        </w:tc>
        <w:tc>
          <w:tcPr>
            <w:tcW w:w="920" w:type="dxa"/>
            <w:vAlign w:val="bottom"/>
          </w:tcPr>
          <w:p>
            <w:pPr>
              <w:jc w:val="right"/>
              <w:ind w:right="98"/>
              <w:spacing w:after="0"/>
              <w:rPr>
                <w:sz w:val="20"/>
                <w:szCs w:val="20"/>
                <w:color w:val="auto"/>
              </w:rPr>
            </w:pPr>
            <w:r>
              <w:rPr>
                <w:rFonts w:ascii="Arial" w:cs="Arial" w:eastAsia="Arial" w:hAnsi="Arial"/>
                <w:sz w:val="18"/>
                <w:szCs w:val="18"/>
                <w:color w:val="auto"/>
              </w:rPr>
              <w:t>1,604</w:t>
            </w:r>
          </w:p>
        </w:tc>
        <w:tc>
          <w:tcPr>
            <w:tcW w:w="22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358"/>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(7)</w:t>
            </w:r>
          </w:p>
        </w:tc>
        <w:tc>
          <w:tcPr>
            <w:tcW w:w="920" w:type="dxa"/>
            <w:vAlign w:val="bottom"/>
            <w:tcBorders>
              <w:bottom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b w:val="1"/>
                <w:bCs w:val="1"/>
                <w:color w:val="auto"/>
              </w:rPr>
              <w:t>832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599</w:t>
            </w: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$1,517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932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gridSpan w:val="3"/>
          </w:tcPr>
          <w:p>
            <w:pPr>
              <w:jc w:val="right"/>
              <w:ind w:right="333"/>
              <w:spacing w:after="0"/>
              <w:rPr>
                <w:sz w:val="20"/>
                <w:szCs w:val="20"/>
                <w:color w:val="auto"/>
              </w:rPr>
            </w:pPr>
            <w:r>
              <w:rPr>
                <w:rFonts w:ascii="Arial" w:cs="Arial" w:eastAsia="Arial" w:hAnsi="Arial"/>
                <w:sz w:val="14"/>
                <w:szCs w:val="14"/>
                <w:color w:val="auto"/>
                <w:w w:val="98"/>
              </w:rPr>
              <w:t>Six Months Ended</w:t>
            </w:r>
          </w:p>
        </w:tc>
        <w:tc>
          <w:tcPr>
            <w:tcW w:w="0" w:type="dxa"/>
            <w:vAlign w:val="bottom"/>
          </w:tcPr>
          <w:p>
            <w:pPr>
              <w:spacing w:after="0"/>
              <w:rPr>
                <w:sz w:val="1"/>
                <w:szCs w:val="1"/>
                <w:color w:val="auto"/>
              </w:rPr>
            </w:pPr>
          </w:p>
        </w:tc>
      </w:tr>
      <w:tr>
        <w:trPr>
          <w:trHeight w:val="159"/>
        </w:trPr>
        <w:tc>
          <w:tcPr>
            <w:tcW w:w="9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right"/>
              <w:ind w:right="255"/>
              <w:spacing w:after="0" w:line="142" w:lineRule="exact"/>
              <w:rPr>
                <w:sz w:val="20"/>
                <w:szCs w:val="20"/>
                <w:color w:val="auto"/>
              </w:rPr>
            </w:pPr>
            <w:r>
              <w:rPr>
                <w:rFonts w:ascii="Arial" w:cs="Arial" w:eastAsia="Arial" w:hAnsi="Arial"/>
                <w:sz w:val="14"/>
                <w:szCs w:val="14"/>
                <w:color w:val="auto"/>
                <w:w w:val="96"/>
              </w:rPr>
              <w:t>2014</w:t>
            </w:r>
          </w:p>
        </w:tc>
        <w:tc>
          <w:tcPr>
            <w:tcW w:w="220" w:type="dxa"/>
            <w:vAlign w:val="bottom"/>
          </w:tcPr>
          <w:p>
            <w:pPr>
              <w:spacing w:after="0"/>
              <w:rPr>
                <w:sz w:val="12"/>
                <w:szCs w:val="12"/>
                <w:color w:val="auto"/>
              </w:rPr>
            </w:pPr>
          </w:p>
        </w:tc>
        <w:tc>
          <w:tcPr>
            <w:tcW w:w="680" w:type="dxa"/>
            <w:vAlign w:val="bottom"/>
          </w:tcPr>
          <w:p>
            <w:pPr>
              <w:jc w:val="right"/>
              <w:ind w:right="273"/>
              <w:spacing w:after="0" w:line="142" w:lineRule="exact"/>
              <w:rPr>
                <w:sz w:val="20"/>
                <w:szCs w:val="20"/>
                <w:color w:val="auto"/>
              </w:rPr>
            </w:pPr>
            <w:r>
              <w:rPr>
                <w:rFonts w:ascii="Arial" w:cs="Arial" w:eastAsia="Arial" w:hAnsi="Arial"/>
                <w:sz w:val="14"/>
                <w:szCs w:val="14"/>
                <w:color w:val="auto"/>
                <w:w w:val="96"/>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w w:val="97"/>
              </w:rPr>
              <w:t>1,789</w:t>
            </w:r>
          </w:p>
        </w:tc>
        <w:tc>
          <w:tcPr>
            <w:tcW w:w="2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7"/>
              </w:rPr>
              <w:t>2,502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(589)</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5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of real estate properties</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7"/>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Note receivable from Comcast</w:t>
            </w:r>
          </w:p>
        </w:tc>
        <w:tc>
          <w:tcPr>
            <w:tcW w:w="540" w:type="dxa"/>
            <w:vAlign w:val="bottom"/>
          </w:tcPr>
          <w:p>
            <w:pPr>
              <w:spacing w:after="0"/>
              <w:rPr>
                <w:sz w:val="18"/>
                <w:szCs w:val="18"/>
                <w:color w:val="auto"/>
              </w:rPr>
            </w:pPr>
          </w:p>
        </w:tc>
        <w:tc>
          <w:tcPr>
            <w:tcW w:w="6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w w:val="87"/>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Return of capital from investees</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5</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5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(843)</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7"/>
              </w:rPr>
              <w:t>(2,929)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(repayments of) borrowings from Comcast, net</w:t>
            </w:r>
          </w:p>
        </w:tc>
        <w:tc>
          <w:tcPr>
            <w:tcW w:w="540" w:type="dxa"/>
            <w:vAlign w:val="bottom"/>
          </w:tcPr>
          <w:p>
            <w:pPr>
              <w:spacing w:after="0"/>
              <w:rPr>
                <w:sz w:val="18"/>
                <w:szCs w:val="18"/>
                <w:color w:val="auto"/>
              </w:rPr>
            </w:pPr>
          </w:p>
        </w:tc>
        <w:tc>
          <w:tcPr>
            <w:tcW w:w="660" w:type="dxa"/>
            <w:vAlign w:val="bottom"/>
          </w:tcPr>
          <w:p>
            <w:pPr>
              <w:jc w:val="right"/>
              <w:ind w:right="115"/>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(903)</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Redemption Transaction distribution</w:t>
            </w:r>
          </w:p>
        </w:tc>
        <w:tc>
          <w:tcPr>
            <w:tcW w:w="540" w:type="dxa"/>
            <w:vAlign w:val="bottom"/>
          </w:tcPr>
          <w:p>
            <w:pPr>
              <w:spacing w:after="0"/>
              <w:rPr>
                <w:sz w:val="18"/>
                <w:szCs w:val="18"/>
                <w:color w:val="auto"/>
              </w:rPr>
            </w:pPr>
          </w:p>
        </w:tc>
        <w:tc>
          <w:tcPr>
            <w:tcW w:w="6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w w:val="87"/>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(95)</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Distributions to member</w:t>
            </w:r>
          </w:p>
        </w:tc>
        <w:tc>
          <w:tcPr>
            <w:tcW w:w="5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(817)</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Settlement of Station Venture liability</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w w:val="87"/>
              </w:rPr>
              <w:t>(1,086)</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7"/>
              </w:rPr>
              <w:t>(4,585)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w w:val="87"/>
              </w:rPr>
              <w:t>(5,012)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967</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97"/>
              </w:rPr>
              <w:t>5,921</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827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909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40" w:type="dxa"/>
            <w:vAlign w:val="bottom"/>
            <w:tcBorders>
              <w:right w:val="single" w:sz="8" w:color="auto"/>
            </w:tcBorders>
            <w:gridSpan w:val="2"/>
          </w:tcPr>
          <w:p>
            <w:pPr>
              <w:jc w:val="right"/>
              <w:ind w:right="494"/>
              <w:spacing w:after="0" w:line="149" w:lineRule="exact"/>
              <w:rPr>
                <w:sz w:val="20"/>
                <w:szCs w:val="20"/>
                <w:color w:val="auto"/>
              </w:rPr>
            </w:pPr>
            <w:r>
              <w:rPr>
                <w:rFonts w:ascii="Arial" w:cs="Arial" w:eastAsia="Arial" w:hAnsi="Arial"/>
                <w:sz w:val="14"/>
                <w:szCs w:val="14"/>
                <w:color w:val="auto"/>
              </w:rPr>
              <w:t>Redeemable</w:t>
            </w: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center"/>
              <w:ind w:right="335"/>
              <w:spacing w:after="0" w:line="149" w:lineRule="exact"/>
              <w:rPr>
                <w:sz w:val="20"/>
                <w:szCs w:val="20"/>
                <w:color w:val="auto"/>
              </w:rPr>
            </w:pPr>
            <w:r>
              <w:rPr>
                <w:rFonts w:ascii="Arial" w:cs="Arial" w:eastAsia="Arial" w:hAnsi="Arial"/>
                <w:sz w:val="14"/>
                <w:szCs w:val="14"/>
                <w:color w:val="auto"/>
                <w:w w:val="91"/>
              </w:rPr>
              <w:t>Other</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40" w:type="dxa"/>
            <w:vAlign w:val="bottom"/>
            <w:tcBorders>
              <w:right w:val="single" w:sz="8" w:color="auto"/>
            </w:tcBorders>
            <w:gridSpan w:val="2"/>
          </w:tcPr>
          <w:p>
            <w:pPr>
              <w:ind w:left="420"/>
              <w:spacing w:after="0" w:line="149" w:lineRule="exact"/>
              <w:rPr>
                <w:sz w:val="20"/>
                <w:szCs w:val="20"/>
                <w:color w:val="auto"/>
              </w:rPr>
            </w:pPr>
            <w:r>
              <w:rPr>
                <w:rFonts w:ascii="Arial" w:cs="Arial" w:eastAsia="Arial" w:hAnsi="Arial"/>
                <w:sz w:val="14"/>
                <w:szCs w:val="14"/>
                <w:color w:val="auto"/>
              </w:rPr>
              <w:t>Noncontrolling</w:t>
            </w:r>
          </w:p>
        </w:tc>
        <w:tc>
          <w:tcPr>
            <w:tcW w:w="1440" w:type="dxa"/>
            <w:vAlign w:val="bottom"/>
          </w:tcPr>
          <w:p>
            <w:pPr>
              <w:jc w:val="right"/>
              <w:ind w:right="155"/>
              <w:spacing w:after="0" w:line="149" w:lineRule="exact"/>
              <w:rPr>
                <w:sz w:val="20"/>
                <w:szCs w:val="20"/>
                <w:color w:val="auto"/>
              </w:rPr>
            </w:pPr>
            <w:r>
              <w:rPr>
                <w:rFonts w:ascii="Arial" w:cs="Arial" w:eastAsia="Arial" w:hAnsi="Arial"/>
                <w:sz w:val="14"/>
                <w:szCs w:val="14"/>
                <w:color w:val="auto"/>
              </w:rPr>
              <w:t>Member’s</w:t>
            </w:r>
          </w:p>
        </w:tc>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Comprehensive</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Total</w:t>
            </w:r>
          </w:p>
        </w:tc>
      </w:tr>
      <w:tr>
        <w:trPr>
          <w:trHeight w:val="159"/>
        </w:trPr>
        <w:tc>
          <w:tcPr>
            <w:tcW w:w="50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3"/>
                <w:szCs w:val="13"/>
                <w:color w:val="auto"/>
              </w:rPr>
            </w:pPr>
          </w:p>
        </w:tc>
        <w:tc>
          <w:tcPr>
            <w:tcW w:w="1200" w:type="dxa"/>
            <w:vAlign w:val="bottom"/>
            <w:tcBorders>
              <w:right w:val="single" w:sz="8" w:color="auto"/>
            </w:tcBorders>
          </w:tcPr>
          <w:p>
            <w:pPr>
              <w:jc w:val="right"/>
              <w:ind w:right="594"/>
              <w:spacing w:after="0" w:line="159" w:lineRule="exact"/>
              <w:rPr>
                <w:sz w:val="20"/>
                <w:szCs w:val="20"/>
                <w:color w:val="auto"/>
              </w:rPr>
            </w:pPr>
            <w:r>
              <w:rPr>
                <w:rFonts w:ascii="Arial" w:cs="Arial" w:eastAsia="Arial" w:hAnsi="Arial"/>
                <w:sz w:val="14"/>
                <w:szCs w:val="14"/>
                <w:color w:val="auto"/>
                <w:w w:val="93"/>
              </w:rPr>
              <w:t>Interests</w:t>
            </w:r>
          </w:p>
        </w:tc>
        <w:tc>
          <w:tcPr>
            <w:tcW w:w="1440" w:type="dxa"/>
            <w:vAlign w:val="bottom"/>
          </w:tcPr>
          <w:p>
            <w:pPr>
              <w:jc w:val="right"/>
              <w:ind w:right="235"/>
              <w:spacing w:after="0" w:line="159" w:lineRule="exact"/>
              <w:rPr>
                <w:sz w:val="20"/>
                <w:szCs w:val="20"/>
                <w:color w:val="auto"/>
              </w:rPr>
            </w:pPr>
            <w:r>
              <w:rPr>
                <w:rFonts w:ascii="Arial" w:cs="Arial" w:eastAsia="Arial" w:hAnsi="Arial"/>
                <w:sz w:val="14"/>
                <w:szCs w:val="14"/>
                <w:color w:val="auto"/>
              </w:rPr>
              <w:t>Capital</w:t>
            </w:r>
          </w:p>
        </w:tc>
        <w:tc>
          <w:tcPr>
            <w:tcW w:w="12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0"/>
              </w:rPr>
              <w:t>Income (Loss)</w:t>
            </w:r>
          </w:p>
        </w:tc>
        <w:tc>
          <w:tcPr>
            <w:tcW w:w="300" w:type="dxa"/>
            <w:vAlign w:val="bottom"/>
          </w:tcPr>
          <w:p>
            <w:pPr>
              <w:spacing w:after="0"/>
              <w:rPr>
                <w:sz w:val="13"/>
                <w:szCs w:val="13"/>
                <w:color w:val="auto"/>
              </w:rPr>
            </w:pPr>
          </w:p>
        </w:tc>
        <w:tc>
          <w:tcPr>
            <w:tcW w:w="820" w:type="dxa"/>
            <w:vAlign w:val="bottom"/>
          </w:tcPr>
          <w:p>
            <w:pPr>
              <w:jc w:val="right"/>
              <w:ind w:right="234"/>
              <w:spacing w:after="0" w:line="159" w:lineRule="exact"/>
              <w:rPr>
                <w:sz w:val="20"/>
                <w:szCs w:val="20"/>
                <w:color w:val="auto"/>
              </w:rPr>
            </w:pPr>
            <w:r>
              <w:rPr>
                <w:rFonts w:ascii="Arial" w:cs="Arial" w:eastAsia="Arial" w:hAnsi="Arial"/>
                <w:sz w:val="14"/>
                <w:szCs w:val="14"/>
                <w:color w:val="auto"/>
                <w:w w:val="89"/>
              </w:rPr>
              <w:t>Interests</w:t>
            </w:r>
          </w:p>
        </w:tc>
        <w:tc>
          <w:tcPr>
            <w:tcW w:w="860" w:type="dxa"/>
            <w:vAlign w:val="bottom"/>
          </w:tcPr>
          <w:p>
            <w:pPr>
              <w:jc w:val="right"/>
              <w:ind w:right="234"/>
              <w:spacing w:after="0" w:line="159" w:lineRule="exact"/>
              <w:rPr>
                <w:sz w:val="20"/>
                <w:szCs w:val="20"/>
                <w:color w:val="auto"/>
              </w:rPr>
            </w:pPr>
            <w:r>
              <w:rPr>
                <w:rFonts w:ascii="Arial" w:cs="Arial" w:eastAsia="Arial" w:hAnsi="Arial"/>
                <w:sz w:val="14"/>
                <w:szCs w:val="14"/>
                <w:color w:val="auto"/>
              </w:rPr>
              <w:t>Equity</w:t>
            </w: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January 1, 2013</w:t>
            </w:r>
          </w:p>
        </w:tc>
        <w:tc>
          <w:tcPr>
            <w:tcW w:w="540" w:type="dxa"/>
            <w:vAlign w:val="bottom"/>
            <w:tcBorders>
              <w:top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right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color w:val="auto"/>
              </w:rPr>
              <w:t>131</w:t>
            </w:r>
          </w:p>
        </w:tc>
        <w:tc>
          <w:tcPr>
            <w:tcW w:w="1440" w:type="dxa"/>
            <w:vAlign w:val="bottom"/>
            <w:tcBorders>
              <w:top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$31,900</w:t>
            </w:r>
          </w:p>
        </w:tc>
        <w:tc>
          <w:tcPr>
            <w:tcW w:w="36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(65)</w:t>
            </w:r>
          </w:p>
        </w:tc>
        <w:tc>
          <w:tcPr>
            <w:tcW w:w="30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419</w:t>
            </w:r>
          </w:p>
        </w:tc>
        <w:tc>
          <w:tcPr>
            <w:tcW w:w="86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98"/>
              </w:rPr>
              <w:t>$32,254</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Compensation plans</w:t>
            </w:r>
          </w:p>
        </w:tc>
        <w:tc>
          <w:tcPr>
            <w:tcW w:w="5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980" w:type="dxa"/>
            <w:vAlign w:val="bottom"/>
            <w:shd w:val="clear" w:color="auto" w:fill="E5E5E5"/>
          </w:tcPr>
          <w:p>
            <w:pPr>
              <w:spacing w:after="0"/>
              <w:rPr>
                <w:sz w:val="20"/>
                <w:szCs w:val="20"/>
                <w:color w:val="auto"/>
              </w:rPr>
            </w:pPr>
            <w:r>
              <w:rPr>
                <w:rFonts w:ascii="Arial" w:cs="Arial" w:eastAsia="Arial" w:hAnsi="Arial"/>
                <w:sz w:val="18"/>
                <w:szCs w:val="18"/>
                <w:color w:val="auto"/>
              </w:rPr>
              <w:t>Redemption Transaction distribution</w:t>
            </w:r>
          </w:p>
        </w:tc>
        <w:tc>
          <w:tcPr>
            <w:tcW w:w="540" w:type="dxa"/>
            <w:vAlign w:val="bottom"/>
            <w:shd w:val="clear" w:color="auto" w:fill="E5E5E5"/>
          </w:tcPr>
          <w:p>
            <w:pPr>
              <w:spacing w:after="0"/>
              <w:rPr>
                <w:sz w:val="18"/>
                <w:szCs w:val="18"/>
                <w:color w:val="auto"/>
              </w:rPr>
            </w:pPr>
          </w:p>
        </w:tc>
        <w:tc>
          <w:tcPr>
            <w:tcW w:w="1200" w:type="dxa"/>
            <w:vAlign w:val="bottom"/>
            <w:tcBorders>
              <w:right w:val="single" w:sz="8" w:color="auto"/>
            </w:tcBorders>
            <w:shd w:val="clear" w:color="auto" w:fill="E5E5E5"/>
          </w:tcPr>
          <w:p>
            <w:pPr>
              <w:spacing w:after="0"/>
              <w:rPr>
                <w:sz w:val="18"/>
                <w:szCs w:val="18"/>
                <w:color w:val="auto"/>
              </w:rPr>
            </w:pPr>
          </w:p>
        </w:tc>
        <w:tc>
          <w:tcPr>
            <w:tcW w:w="144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(3,200)</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(3,200)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Dividends declared</w:t>
            </w:r>
          </w:p>
        </w:tc>
        <w:tc>
          <w:tcPr>
            <w:tcW w:w="5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(548)</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(548)</w:t>
            </w:r>
          </w:p>
        </w:tc>
      </w:tr>
      <w:tr>
        <w:trPr>
          <w:trHeight w:val="216"/>
        </w:trPr>
        <w:tc>
          <w:tcPr>
            <w:tcW w:w="20" w:type="dxa"/>
            <w:vAlign w:val="bottom"/>
          </w:tcPr>
          <w:p>
            <w:pPr>
              <w:spacing w:after="0"/>
              <w:rPr>
                <w:sz w:val="18"/>
                <w:szCs w:val="18"/>
                <w:color w:val="auto"/>
              </w:rPr>
            </w:pPr>
          </w:p>
        </w:tc>
        <w:tc>
          <w:tcPr>
            <w:tcW w:w="4980" w:type="dxa"/>
            <w:vAlign w:val="bottom"/>
            <w:shd w:val="clear" w:color="auto" w:fill="E5E5E5"/>
          </w:tcPr>
          <w:p>
            <w:pPr>
              <w:spacing w:after="0"/>
              <w:rPr>
                <w:sz w:val="20"/>
                <w:szCs w:val="20"/>
                <w:color w:val="auto"/>
              </w:rPr>
            </w:pPr>
            <w:r>
              <w:rPr>
                <w:rFonts w:ascii="Arial" w:cs="Arial" w:eastAsia="Arial" w:hAnsi="Arial"/>
                <w:sz w:val="18"/>
                <w:szCs w:val="18"/>
                <w:color w:val="auto"/>
                <w:w w:val="98"/>
              </w:rPr>
              <w:t>Contributions from (distributions to) noncontrolling interests, net</w:t>
            </w:r>
          </w:p>
        </w:tc>
        <w:tc>
          <w:tcPr>
            <w:tcW w:w="540" w:type="dxa"/>
            <w:vAlign w:val="bottom"/>
            <w:shd w:val="clear" w:color="auto" w:fill="E5E5E5"/>
          </w:tcPr>
          <w:p>
            <w:pPr>
              <w:spacing w:after="0"/>
              <w:rPr>
                <w:sz w:val="18"/>
                <w:szCs w:val="18"/>
                <w:color w:val="auto"/>
              </w:rPr>
            </w:pPr>
          </w:p>
        </w:tc>
        <w:tc>
          <w:tcPr>
            <w:tcW w:w="1200" w:type="dxa"/>
            <w:vAlign w:val="bottom"/>
            <w:tcBorders>
              <w:right w:val="single" w:sz="8" w:color="auto"/>
            </w:tcBorders>
            <w:shd w:val="clear" w:color="auto" w:fill="E5E5E5"/>
          </w:tcPr>
          <w:p>
            <w:pPr>
              <w:jc w:val="right"/>
              <w:ind w:right="354"/>
              <w:spacing w:after="0"/>
              <w:rPr>
                <w:sz w:val="20"/>
                <w:szCs w:val="20"/>
                <w:color w:val="auto"/>
              </w:rPr>
            </w:pPr>
            <w:r>
              <w:rPr>
                <w:rFonts w:ascii="Arial" w:cs="Arial" w:eastAsia="Arial" w:hAnsi="Arial"/>
                <w:sz w:val="18"/>
                <w:szCs w:val="18"/>
                <w:color w:val="auto"/>
              </w:rPr>
              <w:t>(12)</w:t>
            </w:r>
          </w:p>
        </w:tc>
        <w:tc>
          <w:tcPr>
            <w:tcW w:w="14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w:t>
            </w:r>
          </w:p>
        </w:tc>
        <w:tc>
          <w:tcPr>
            <w:tcW w:w="86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(181)</w:t>
            </w:r>
          </w:p>
        </w:tc>
      </w:tr>
      <w:tr>
        <w:trPr>
          <w:trHeight w:val="216"/>
        </w:trPr>
        <w:tc>
          <w:tcPr>
            <w:tcW w:w="20" w:type="dxa"/>
            <w:vAlign w:val="bottom"/>
          </w:tcPr>
          <w:p>
            <w:pPr>
              <w:spacing w:after="0"/>
              <w:rPr>
                <w:sz w:val="18"/>
                <w:szCs w:val="18"/>
                <w:color w:val="auto"/>
              </w:rPr>
            </w:pPr>
          </w:p>
        </w:tc>
        <w:tc>
          <w:tcPr>
            <w:tcW w:w="498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540" w:type="dxa"/>
            <w:vAlign w:val="bottom"/>
            <w:shd w:val="clear" w:color="auto" w:fill="E5E5E5"/>
          </w:tcPr>
          <w:p>
            <w:pPr>
              <w:spacing w:after="0"/>
              <w:rPr>
                <w:sz w:val="18"/>
                <w:szCs w:val="18"/>
                <w:color w:val="auto"/>
              </w:rPr>
            </w:pPr>
          </w:p>
        </w:tc>
        <w:tc>
          <w:tcPr>
            <w:tcW w:w="1200" w:type="dxa"/>
            <w:vAlign w:val="bottom"/>
            <w:tcBorders>
              <w:right w:val="single" w:sz="8" w:color="auto"/>
            </w:tcBorders>
            <w:shd w:val="clear" w:color="auto" w:fill="E5E5E5"/>
          </w:tcPr>
          <w:p>
            <w:pPr>
              <w:spacing w:after="0"/>
              <w:rPr>
                <w:sz w:val="18"/>
                <w:szCs w:val="18"/>
                <w:color w:val="auto"/>
              </w:rPr>
            </w:pPr>
          </w:p>
        </w:tc>
        <w:tc>
          <w:tcPr>
            <w:tcW w:w="14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(46)</w:t>
            </w: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414"/>
              <w:spacing w:after="0"/>
              <w:rPr>
                <w:sz w:val="20"/>
                <w:szCs w:val="20"/>
                <w:color w:val="auto"/>
              </w:rPr>
            </w:pPr>
            <w:r>
              <w:rPr>
                <w:rFonts w:ascii="Arial" w:cs="Arial" w:eastAsia="Arial" w:hAnsi="Arial"/>
                <w:sz w:val="18"/>
                <w:szCs w:val="18"/>
                <w:color w:val="auto"/>
              </w:rPr>
              <w:t>8</w:t>
            </w: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978</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55</w:t>
            </w: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1,033</w:t>
            </w:r>
          </w:p>
        </w:tc>
      </w:tr>
      <w:tr>
        <w:trPr>
          <w:trHeight w:val="217"/>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June 30, 2013</w:t>
            </w:r>
          </w:p>
        </w:tc>
        <w:tc>
          <w:tcPr>
            <w:tcW w:w="5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right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b w:val="1"/>
                <w:bCs w:val="1"/>
                <w:color w:val="auto"/>
              </w:rPr>
              <w:t>127</w:t>
            </w:r>
          </w:p>
        </w:tc>
        <w:tc>
          <w:tcPr>
            <w:tcW w:w="14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$28,964</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(111)</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b w:val="1"/>
                <w:bCs w:val="1"/>
                <w:color w:val="auto"/>
              </w:rPr>
              <w:t>373</w:t>
            </w:r>
          </w:p>
        </w:tc>
        <w:tc>
          <w:tcPr>
            <w:tcW w:w="8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w w:val="98"/>
              </w:rPr>
              <w:t>$29,226</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Balance, January 1, 2014</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tcPr>
          <w:p>
            <w:pPr>
              <w:jc w:val="right"/>
              <w:ind w:right="414"/>
              <w:spacing w:after="0"/>
              <w:rPr>
                <w:sz w:val="20"/>
                <w:szCs w:val="20"/>
                <w:color w:val="auto"/>
              </w:rPr>
            </w:pPr>
            <w:r>
              <w:rPr>
                <w:rFonts w:ascii="Arial" w:cs="Arial" w:eastAsia="Arial" w:hAnsi="Arial"/>
                <w:sz w:val="18"/>
                <w:szCs w:val="18"/>
                <w:color w:val="auto"/>
              </w:rPr>
              <w:t>231</w:t>
            </w: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$29,056</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(16)</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287</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w w:val="98"/>
              </w:rPr>
              <w:t>$29,327</w:t>
            </w:r>
          </w:p>
        </w:tc>
      </w:tr>
      <w:tr>
        <w:trPr>
          <w:trHeight w:val="216"/>
        </w:trPr>
        <w:tc>
          <w:tcPr>
            <w:tcW w:w="20" w:type="dxa"/>
            <w:vAlign w:val="bottom"/>
          </w:tcPr>
          <w:p>
            <w:pPr>
              <w:spacing w:after="0"/>
              <w:rPr>
                <w:sz w:val="18"/>
                <w:szCs w:val="18"/>
                <w:color w:val="auto"/>
              </w:rPr>
            </w:pPr>
          </w:p>
        </w:tc>
        <w:tc>
          <w:tcPr>
            <w:tcW w:w="498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540" w:type="dxa"/>
            <w:vAlign w:val="bottom"/>
            <w:shd w:val="clear" w:color="auto" w:fill="E5E5E5"/>
          </w:tcPr>
          <w:p>
            <w:pPr>
              <w:spacing w:after="0"/>
              <w:rPr>
                <w:sz w:val="18"/>
                <w:szCs w:val="18"/>
                <w:color w:val="auto"/>
              </w:rPr>
            </w:pPr>
          </w:p>
        </w:tc>
        <w:tc>
          <w:tcPr>
            <w:tcW w:w="1200" w:type="dxa"/>
            <w:vAlign w:val="bottom"/>
            <w:tcBorders>
              <w:right w:val="single" w:sz="8" w:color="auto"/>
            </w:tcBorders>
            <w:shd w:val="clear" w:color="auto" w:fill="E5E5E5"/>
          </w:tcPr>
          <w:p>
            <w:pPr>
              <w:spacing w:after="0"/>
              <w:rPr>
                <w:sz w:val="18"/>
                <w:szCs w:val="18"/>
                <w:color w:val="auto"/>
              </w:rPr>
            </w:pPr>
          </w:p>
        </w:tc>
        <w:tc>
          <w:tcPr>
            <w:tcW w:w="144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(817)</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(817)</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Issuance of subsidiary shares to noncontrolling interests</w:t>
            </w:r>
          </w:p>
        </w:tc>
        <w:tc>
          <w:tcPr>
            <w:tcW w:w="540" w:type="dxa"/>
            <w:vAlign w:val="bottom"/>
          </w:tcPr>
          <w:p>
            <w:pPr>
              <w:spacing w:after="0"/>
              <w:rPr>
                <w:sz w:val="18"/>
                <w:szCs w:val="18"/>
                <w:color w:val="auto"/>
              </w:rPr>
            </w:pPr>
          </w:p>
        </w:tc>
        <w:tc>
          <w:tcPr>
            <w:tcW w:w="1200" w:type="dxa"/>
            <w:vAlign w:val="bottom"/>
            <w:tcBorders>
              <w:right w:val="single" w:sz="8" w:color="auto"/>
            </w:tcBorders>
          </w:tcPr>
          <w:p>
            <w:pPr>
              <w:jc w:val="right"/>
              <w:ind w:right="414"/>
              <w:spacing w:after="0"/>
              <w:rPr>
                <w:sz w:val="20"/>
                <w:szCs w:val="20"/>
                <w:color w:val="auto"/>
              </w:rPr>
            </w:pPr>
            <w:r>
              <w:rPr>
                <w:rFonts w:ascii="Arial" w:cs="Arial" w:eastAsia="Arial" w:hAnsi="Arial"/>
                <w:sz w:val="18"/>
                <w:szCs w:val="18"/>
                <w:color w:val="auto"/>
              </w:rPr>
              <w:t>85</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5E5E5"/>
          </w:tcPr>
          <w:p>
            <w:pPr>
              <w:spacing w:after="0"/>
              <w:rPr>
                <w:sz w:val="20"/>
                <w:szCs w:val="20"/>
                <w:color w:val="auto"/>
              </w:rPr>
            </w:pPr>
            <w:r>
              <w:rPr>
                <w:rFonts w:ascii="Arial" w:cs="Arial" w:eastAsia="Arial" w:hAnsi="Arial"/>
                <w:sz w:val="18"/>
                <w:szCs w:val="18"/>
                <w:color w:val="auto"/>
                <w:w w:val="98"/>
              </w:rPr>
              <w:t>Contributions from (distributions to) noncontrolling interests, net</w:t>
            </w:r>
          </w:p>
        </w:tc>
        <w:tc>
          <w:tcPr>
            <w:tcW w:w="540" w:type="dxa"/>
            <w:vAlign w:val="bottom"/>
            <w:shd w:val="clear" w:color="auto" w:fill="E5E5E5"/>
          </w:tcPr>
          <w:p>
            <w:pPr>
              <w:spacing w:after="0"/>
              <w:rPr>
                <w:sz w:val="18"/>
                <w:szCs w:val="18"/>
                <w:color w:val="auto"/>
              </w:rPr>
            </w:pPr>
          </w:p>
        </w:tc>
        <w:tc>
          <w:tcPr>
            <w:tcW w:w="1200" w:type="dxa"/>
            <w:vAlign w:val="bottom"/>
            <w:tcBorders>
              <w:right w:val="single" w:sz="8" w:color="auto"/>
            </w:tcBorders>
            <w:shd w:val="clear" w:color="auto" w:fill="E5E5E5"/>
          </w:tcPr>
          <w:p>
            <w:pPr>
              <w:jc w:val="right"/>
              <w:ind w:right="354"/>
              <w:spacing w:after="0"/>
              <w:rPr>
                <w:sz w:val="20"/>
                <w:szCs w:val="20"/>
                <w:color w:val="auto"/>
              </w:rPr>
            </w:pPr>
            <w:r>
              <w:rPr>
                <w:rFonts w:ascii="Arial" w:cs="Arial" w:eastAsia="Arial" w:hAnsi="Arial"/>
                <w:sz w:val="18"/>
                <w:szCs w:val="18"/>
                <w:color w:val="auto"/>
              </w:rPr>
              <w:t>(13)</w:t>
            </w:r>
          </w:p>
        </w:tc>
        <w:tc>
          <w:tcPr>
            <w:tcW w:w="14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(82)</w:t>
            </w:r>
          </w:p>
        </w:tc>
        <w:tc>
          <w:tcPr>
            <w:tcW w:w="86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98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540" w:type="dxa"/>
            <w:vAlign w:val="bottom"/>
            <w:shd w:val="clear" w:color="auto" w:fill="E5E5E5"/>
          </w:tcPr>
          <w:p>
            <w:pPr>
              <w:spacing w:after="0"/>
              <w:rPr>
                <w:sz w:val="18"/>
                <w:szCs w:val="18"/>
                <w:color w:val="auto"/>
              </w:rPr>
            </w:pPr>
          </w:p>
        </w:tc>
        <w:tc>
          <w:tcPr>
            <w:tcW w:w="1200" w:type="dxa"/>
            <w:vAlign w:val="bottom"/>
            <w:tcBorders>
              <w:right w:val="single" w:sz="8" w:color="auto"/>
            </w:tcBorders>
            <w:shd w:val="clear" w:color="auto" w:fill="E5E5E5"/>
          </w:tcPr>
          <w:p>
            <w:pPr>
              <w:spacing w:after="0"/>
              <w:rPr>
                <w:sz w:val="18"/>
                <w:szCs w:val="18"/>
                <w:color w:val="auto"/>
              </w:rPr>
            </w:pPr>
          </w:p>
        </w:tc>
        <w:tc>
          <w:tcPr>
            <w:tcW w:w="14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21</w:t>
            </w: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414"/>
              <w:spacing w:after="0"/>
              <w:rPr>
                <w:sz w:val="20"/>
                <w:szCs w:val="20"/>
                <w:color w:val="auto"/>
              </w:rPr>
            </w:pPr>
            <w:r>
              <w:rPr>
                <w:rFonts w:ascii="Arial" w:cs="Arial" w:eastAsia="Arial" w:hAnsi="Arial"/>
                <w:sz w:val="18"/>
                <w:szCs w:val="18"/>
                <w:color w:val="auto"/>
              </w:rPr>
              <w:t>16</w:t>
            </w: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1,496</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71</w:t>
            </w: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1,567</w:t>
            </w:r>
          </w:p>
        </w:tc>
      </w:tr>
      <w:tr>
        <w:trPr>
          <w:trHeight w:val="217"/>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June 30, 2014</w:t>
            </w:r>
          </w:p>
        </w:tc>
        <w:tc>
          <w:tcPr>
            <w:tcW w:w="5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right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b w:val="1"/>
                <w:bCs w:val="1"/>
                <w:color w:val="auto"/>
              </w:rPr>
              <w:t>319</w:t>
            </w:r>
          </w:p>
        </w:tc>
        <w:tc>
          <w:tcPr>
            <w:tcW w:w="14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$29,734</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b w:val="1"/>
                <w:bCs w:val="1"/>
                <w:color w:val="auto"/>
              </w:rPr>
              <w:t>280</w:t>
            </w:r>
          </w:p>
        </w:tc>
        <w:tc>
          <w:tcPr>
            <w:tcW w:w="8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w w:val="98"/>
              </w:rPr>
              <w:t>$30,019</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indicated otherwise, throughout these notes to the condensed consolidated financial statements, we refer to NBCUniversal Media, LLC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year-end condensed consolidated balance sheet was derived from audited financial statements but does not include all disclosures required by generally accepted accounting principles in the United States of America (“GAAP”). For a more complete discussion of our accounting policies and certain other information, refer to our consolidated financial statements included in our 2013 Annual Report on Form 10-K.</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2014, the Financial Accounting Standards Board (“FASB”) updated the accounting guidance related to discontinued operations. The updated accounting guidance provides a narrower definition of discontinued operations than existing GAAP. The updated accounting guidance requires that only disposals of components of an entity, or groups of components, that represent a strategic shift that has or will have a material effect on the reporting entity’s operations be reported in the financial statements as discontinued operations. The updated accounting guidance also provides guidance on the financial statement presentations and disclosures of discontinued operations. The updated accounting guidance will be effective prospectively for us on January 1, 2015, with early adoption permitted in 2014.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The updated accounting guidance will be effective for us on January 1, 2017, and early adoption is not permitted. The updated accounting guidance allows for either a full retrospective adoption or modified retrospective adoption. We are currently in the process of determining the impact that the updated accounting guidance will have on our consolidated financial statements and our method of adoption.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Related Party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 revenue from Comcast primarily from the distribution of our cable network programming and, to a lesser extent, the sale of advertising and our owned programming, and we incur expenses primarily related to various support services provided by Comcast to us.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2013, as part of the Comcast cash management process, we and Comcast entered into a revolving credit agreement under which we can borrow up to $3 billion from Comcast and Comcast can borrow up to $3 billion from us. Amounts owed by us to Comcast under the revolving credit agreement, including accrued interest, are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presented under the caption “note payable to Comcast” in our condensed consolidated balance sheet. The revolving credit agreement bears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As of June 30, 2014, the borrowing margin for our London Interbank Offered Rate-based borrowings was 1.00%.</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Comcast is the counterparty to one of our contractual obligations. As of June 30, 2014, the carrying value of the liability associated with this contractual obligation was $383 million.</w:t>
      </w:r>
    </w:p>
    <w:p>
      <w:pPr>
        <w:spacing w:after="0" w:line="37"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The following tables present transactions with Comcast and its consolidated subsidiaries that are included in our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jc w:val="right"/>
              <w:ind w:right="17"/>
              <w:spacing w:after="0"/>
              <w:rPr>
                <w:sz w:val="20"/>
                <w:szCs w:val="20"/>
                <w:color w:val="auto"/>
              </w:rPr>
            </w:pPr>
            <w:r>
              <w:rPr>
                <w:rFonts w:ascii="Arial" w:cs="Arial" w:eastAsia="Arial" w:hAnsi="Arial"/>
                <w:sz w:val="14"/>
                <w:szCs w:val="14"/>
                <w:color w:val="auto"/>
              </w:rPr>
              <w:t>June 30,</w:t>
            </w:r>
          </w:p>
        </w:tc>
        <w:tc>
          <w:tcPr>
            <w:tcW w:w="4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December 31,</w:t>
            </w:r>
          </w:p>
        </w:tc>
      </w:tr>
      <w:tr>
        <w:trPr>
          <w:trHeight w:val="159"/>
        </w:trPr>
        <w:tc>
          <w:tcPr>
            <w:tcW w:w="6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w w:val="83"/>
              </w:rPr>
              <w:t>2014</w:t>
            </w: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340"/>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6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252</w:t>
            </w:r>
          </w:p>
        </w:tc>
        <w:tc>
          <w:tcPr>
            <w:tcW w:w="46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228</w:t>
            </w:r>
          </w:p>
        </w:tc>
      </w:tr>
      <w:tr>
        <w:trPr>
          <w:trHeight w:val="216"/>
        </w:trPr>
        <w:tc>
          <w:tcPr>
            <w:tcW w:w="66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w:t>
            </w:r>
          </w:p>
        </w:tc>
        <w:tc>
          <w:tcPr>
            <w:tcW w:w="460" w:type="dxa"/>
            <w:vAlign w:val="bottom"/>
            <w:shd w:val="clear" w:color="auto" w:fill="E5E5E5"/>
          </w:tcPr>
          <w:p>
            <w:pPr>
              <w:spacing w:after="0"/>
              <w:rPr>
                <w:sz w:val="18"/>
                <w:szCs w:val="18"/>
                <w:color w:val="auto"/>
              </w:rPr>
            </w:pPr>
          </w:p>
        </w:tc>
        <w:tc>
          <w:tcPr>
            <w:tcW w:w="4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56</w:t>
            </w: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37</w:t>
            </w:r>
          </w:p>
        </w:tc>
      </w:tr>
      <w:tr>
        <w:trPr>
          <w:trHeight w:val="216"/>
        </w:trPr>
        <w:tc>
          <w:tcPr>
            <w:tcW w:w="66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payable to Comcast</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$1,532</w:t>
            </w:r>
          </w:p>
        </w:tc>
        <w:tc>
          <w:tcPr>
            <w:tcW w:w="460" w:type="dxa"/>
            <w:vAlign w:val="bottom"/>
            <w:shd w:val="clear" w:color="auto" w:fill="E5E5E5"/>
          </w:tcPr>
          <w:p>
            <w:pPr>
              <w:spacing w:after="0"/>
              <w:rPr>
                <w:sz w:val="18"/>
                <w:szCs w:val="18"/>
                <w:color w:val="auto"/>
              </w:rPr>
            </w:pPr>
          </w:p>
        </w:tc>
        <w:tc>
          <w:tcPr>
            <w:tcW w:w="4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799</w:t>
            </w:r>
          </w:p>
        </w:tc>
      </w:tr>
      <w:tr>
        <w:trPr>
          <w:trHeight w:val="216"/>
        </w:trPr>
        <w:tc>
          <w:tcPr>
            <w:tcW w:w="6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noncurrent liabilities</w:t>
            </w: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383</w:t>
            </w:r>
          </w:p>
        </w:tc>
      </w:tr>
      <w:tr>
        <w:trPr>
          <w:trHeight w:val="397"/>
        </w:trPr>
        <w:tc>
          <w:tcPr>
            <w:tcW w:w="7860" w:type="dxa"/>
            <w:vAlign w:val="bottom"/>
            <w:gridSpan w:val="3"/>
          </w:tcPr>
          <w:p>
            <w:pPr>
              <w:ind w:left="3760"/>
              <w:spacing w:after="0"/>
              <w:rPr>
                <w:sz w:val="20"/>
                <w:szCs w:val="20"/>
                <w:color w:val="auto"/>
              </w:rPr>
            </w:pPr>
            <w:r>
              <w:rPr>
                <w:rFonts w:ascii="Arial" w:cs="Arial" w:eastAsia="Arial" w:hAnsi="Arial"/>
                <w:sz w:val="18"/>
                <w:szCs w:val="18"/>
                <w:b w:val="1"/>
                <w:bCs w:val="1"/>
                <w:color w:val="auto"/>
              </w:rPr>
              <w:t>Condensed Consolidated Statement of Income</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1"/>
        </w:trPr>
        <w:tc>
          <w:tcPr>
            <w:tcW w:w="6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gridSpan w:val="3"/>
          </w:tcPr>
          <w:p>
            <w:pPr>
              <w:jc w:val="right"/>
              <w:ind w:right="437"/>
              <w:spacing w:after="0"/>
              <w:rPr>
                <w:sz w:val="20"/>
                <w:szCs w:val="20"/>
                <w:color w:val="auto"/>
              </w:rPr>
            </w:pPr>
            <w:r>
              <w:rPr>
                <w:rFonts w:ascii="Arial" w:cs="Arial" w:eastAsia="Arial" w:hAnsi="Arial"/>
                <w:sz w:val="14"/>
                <w:szCs w:val="14"/>
                <w:color w:val="auto"/>
                <w:w w:val="99"/>
              </w:rPr>
              <w:t>Three Months Ended</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gridSpan w:val="3"/>
          </w:tcPr>
          <w:p>
            <w:pPr>
              <w:jc w:val="center"/>
              <w:ind w:right="334"/>
              <w:spacing w:after="0"/>
              <w:rPr>
                <w:sz w:val="20"/>
                <w:szCs w:val="20"/>
                <w:color w:val="auto"/>
              </w:rPr>
            </w:pPr>
            <w:r>
              <w:rPr>
                <w:rFonts w:ascii="Arial" w:cs="Arial" w:eastAsia="Arial" w:hAnsi="Arial"/>
                <w:sz w:val="14"/>
                <w:szCs w:val="14"/>
                <w:color w:val="auto"/>
                <w:w w:val="87"/>
              </w:rPr>
              <w:t>Six Months Ended</w:t>
            </w:r>
          </w:p>
        </w:tc>
      </w:tr>
      <w:tr>
        <w:trPr>
          <w:trHeight w:val="172"/>
        </w:trPr>
        <w:tc>
          <w:tcPr>
            <w:tcW w:w="6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w w:val="84"/>
              </w:rPr>
              <w:t>June 30</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left="120"/>
              <w:spacing w:after="0"/>
              <w:rPr>
                <w:sz w:val="20"/>
                <w:szCs w:val="20"/>
                <w:color w:val="auto"/>
              </w:rPr>
            </w:pPr>
            <w:r>
              <w:rPr>
                <w:rFonts w:ascii="Arial" w:cs="Arial" w:eastAsia="Arial" w:hAnsi="Arial"/>
                <w:sz w:val="14"/>
                <w:szCs w:val="14"/>
                <w:color w:val="auto"/>
                <w:w w:val="84"/>
              </w:rPr>
              <w:t>June 30</w:t>
            </w:r>
          </w:p>
        </w:tc>
        <w:tc>
          <w:tcPr>
            <w:tcW w:w="640" w:type="dxa"/>
            <w:vAlign w:val="bottom"/>
            <w:tcBorders>
              <w:bottom w:val="single" w:sz="8" w:color="auto"/>
            </w:tcBorders>
          </w:tcPr>
          <w:p>
            <w:pPr>
              <w:spacing w:after="0"/>
              <w:rPr>
                <w:sz w:val="14"/>
                <w:szCs w:val="14"/>
                <w:color w:val="auto"/>
              </w:rPr>
            </w:pPr>
          </w:p>
        </w:tc>
      </w:tr>
      <w:tr>
        <w:trPr>
          <w:trHeight w:val="143"/>
        </w:trPr>
        <w:tc>
          <w:tcPr>
            <w:tcW w:w="66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0"/>
              <w:spacing w:after="0" w:line="143" w:lineRule="exact"/>
              <w:rPr>
                <w:sz w:val="20"/>
                <w:szCs w:val="20"/>
                <w:color w:val="auto"/>
              </w:rPr>
            </w:pPr>
            <w:r>
              <w:rPr>
                <w:rFonts w:ascii="Arial" w:cs="Arial" w:eastAsia="Arial" w:hAnsi="Arial"/>
                <w:sz w:val="14"/>
                <w:szCs w:val="14"/>
                <w:color w:val="auto"/>
                <w:w w:val="83"/>
              </w:rPr>
              <w:t>2014</w:t>
            </w: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7"/>
              <w:spacing w:after="0" w:line="143" w:lineRule="exact"/>
              <w:rPr>
                <w:sz w:val="20"/>
                <w:szCs w:val="20"/>
                <w:color w:val="auto"/>
              </w:rPr>
            </w:pPr>
            <w:r>
              <w:rPr>
                <w:rFonts w:ascii="Arial" w:cs="Arial" w:eastAsia="Arial" w:hAnsi="Arial"/>
                <w:sz w:val="14"/>
                <w:szCs w:val="14"/>
                <w:color w:val="auto"/>
                <w:w w:val="89"/>
              </w:rPr>
              <w:t>2013</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200"/>
              <w:spacing w:after="0" w:line="143" w:lineRule="exact"/>
              <w:rPr>
                <w:sz w:val="20"/>
                <w:szCs w:val="20"/>
                <w:color w:val="auto"/>
              </w:rPr>
            </w:pPr>
            <w:r>
              <w:rPr>
                <w:rFonts w:ascii="Arial" w:cs="Arial" w:eastAsia="Arial" w:hAnsi="Arial"/>
                <w:sz w:val="14"/>
                <w:szCs w:val="14"/>
                <w:color w:val="auto"/>
              </w:rPr>
              <w:t>2014</w:t>
            </w: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3" w:lineRule="exact"/>
              <w:rPr>
                <w:sz w:val="20"/>
                <w:szCs w:val="20"/>
                <w:color w:val="auto"/>
              </w:rPr>
            </w:pPr>
            <w:r>
              <w:rPr>
                <w:rFonts w:ascii="Arial" w:cs="Arial" w:eastAsia="Arial" w:hAnsi="Arial"/>
                <w:sz w:val="14"/>
                <w:szCs w:val="14"/>
                <w:color w:val="auto"/>
                <w:w w:val="89"/>
              </w:rPr>
              <w:t>2013</w:t>
            </w:r>
          </w:p>
        </w:tc>
      </w:tr>
      <w:tr>
        <w:trPr>
          <w:trHeight w:val="210"/>
        </w:trPr>
        <w:tc>
          <w:tcPr>
            <w:tcW w:w="6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Revenue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0"/>
              <w:spacing w:after="0"/>
              <w:rPr>
                <w:sz w:val="20"/>
                <w:szCs w:val="20"/>
                <w:color w:val="auto"/>
              </w:rPr>
            </w:pPr>
            <w:r>
              <w:rPr>
                <w:rFonts w:ascii="Arial" w:cs="Arial" w:eastAsia="Arial" w:hAnsi="Arial"/>
                <w:sz w:val="18"/>
                <w:szCs w:val="18"/>
                <w:color w:val="auto"/>
              </w:rPr>
              <w:t>331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7"/>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4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60"/>
              <w:spacing w:after="0"/>
              <w:rPr>
                <w:sz w:val="20"/>
                <w:szCs w:val="20"/>
                <w:color w:val="auto"/>
              </w:rPr>
            </w:pPr>
            <w:r>
              <w:rPr>
                <w:rFonts w:ascii="Arial" w:cs="Arial" w:eastAsia="Arial" w:hAnsi="Arial"/>
                <w:sz w:val="18"/>
                <w:szCs w:val="18"/>
                <w:color w:val="auto"/>
                <w:w w:val="99"/>
              </w:rPr>
              <w:t>685</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654</w:t>
            </w:r>
          </w:p>
        </w:tc>
      </w:tr>
      <w:tr>
        <w:trPr>
          <w:trHeight w:val="216"/>
        </w:trPr>
        <w:tc>
          <w:tcPr>
            <w:tcW w:w="66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(35)</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(64)</w:t>
            </w:r>
          </w:p>
        </w:tc>
        <w:tc>
          <w:tcPr>
            <w:tcW w:w="440" w:type="dxa"/>
            <w:vAlign w:val="bottom"/>
            <w:shd w:val="clear" w:color="auto" w:fill="E5E5E5"/>
          </w:tcPr>
          <w:p>
            <w:pPr>
              <w:ind w:left="3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(97)</w:t>
            </w:r>
          </w:p>
        </w:tc>
      </w:tr>
      <w:tr>
        <w:trPr>
          <w:trHeight w:val="216"/>
        </w:trPr>
        <w:tc>
          <w:tcPr>
            <w:tcW w:w="6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income (expense)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(22)</w:t>
            </w:r>
          </w:p>
        </w:tc>
        <w:tc>
          <w:tcPr>
            <w:tcW w:w="4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to the transactions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payments to NBCUniversal Enterprise, Inc. (“NBCUniversal Enterprise”) at an initial annual rate of 8.25% on the $9.4 billion aggregate liquidation preference of preferred units. These distributions are presented under the caption “distributions to member” in our condensed consolidated statement of cash flows.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960" w:type="dxa"/>
            <w:vAlign w:val="bottom"/>
          </w:tcPr>
          <w:p>
            <w:pPr>
              <w:jc w:val="right"/>
              <w:ind w:right="255"/>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59"/>
        </w:trPr>
        <w:tc>
          <w:tcPr>
            <w:tcW w:w="6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960" w:type="dxa"/>
            <w:vAlign w:val="bottom"/>
            <w:tcBorders>
              <w:bottom w:val="single" w:sz="8" w:color="auto"/>
            </w:tcBorders>
          </w:tcPr>
          <w:p>
            <w:pPr>
              <w:jc w:val="right"/>
              <w:ind w:right="355"/>
              <w:spacing w:after="0" w:line="159" w:lineRule="exact"/>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62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39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960" w:type="dxa"/>
            <w:vAlign w:val="bottom"/>
          </w:tcPr>
          <w:p>
            <w:pPr>
              <w:jc w:val="right"/>
              <w:ind w:right="235"/>
              <w:spacing w:after="0"/>
              <w:rPr>
                <w:sz w:val="20"/>
                <w:szCs w:val="20"/>
                <w:color w:val="auto"/>
              </w:rPr>
            </w:pPr>
            <w:r>
              <w:rPr>
                <w:rFonts w:ascii="Arial" w:cs="Arial" w:eastAsia="Arial" w:hAnsi="Arial"/>
                <w:sz w:val="18"/>
                <w:szCs w:val="18"/>
                <w:color w:val="auto"/>
              </w:rPr>
              <w:t>$1,356</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1,630</w:t>
            </w:r>
          </w:p>
        </w:tc>
      </w:tr>
      <w:tr>
        <w:trPr>
          <w:trHeight w:val="216"/>
        </w:trPr>
        <w:tc>
          <w:tcPr>
            <w:tcW w:w="6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65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70</w:t>
            </w:r>
          </w:p>
        </w:tc>
      </w:tr>
      <w:tr>
        <w:trPr>
          <w:trHeight w:val="216"/>
        </w:trPr>
        <w:tc>
          <w:tcPr>
            <w:tcW w:w="6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1,077</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658</w:t>
            </w:r>
          </w:p>
        </w:tc>
      </w:tr>
      <w:tr>
        <w:trPr>
          <w:trHeight w:val="210"/>
        </w:trPr>
        <w:tc>
          <w:tcPr>
            <w:tcW w:w="628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2,498</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2,358</w:t>
            </w: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3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1,165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1,155</w:t>
            </w:r>
          </w:p>
        </w:tc>
      </w:tr>
      <w:tr>
        <w:trPr>
          <w:trHeight w:val="216"/>
        </w:trPr>
        <w:tc>
          <w:tcPr>
            <w:tcW w:w="6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361</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370</w:t>
            </w:r>
          </w:p>
        </w:tc>
      </w:tr>
      <w:tr>
        <w:trPr>
          <w:trHeight w:val="210"/>
        </w:trPr>
        <w:tc>
          <w:tcPr>
            <w:tcW w:w="628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1,526</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1,525</w:t>
            </w:r>
          </w:p>
        </w:tc>
      </w:tr>
      <w:tr>
        <w:trPr>
          <w:trHeight w:val="216"/>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2,065</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2,003</w:t>
            </w:r>
          </w:p>
        </w:tc>
      </w:tr>
      <w:tr>
        <w:trPr>
          <w:trHeight w:val="210"/>
        </w:trPr>
        <w:tc>
          <w:tcPr>
            <w:tcW w:w="628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6,089</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5,886</w:t>
            </w:r>
          </w:p>
        </w:tc>
      </w:tr>
      <w:tr>
        <w:trPr>
          <w:trHeight w:val="216"/>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889</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903</w:t>
            </w:r>
          </w:p>
        </w:tc>
      </w:tr>
      <w:tr>
        <w:trPr>
          <w:trHeight w:val="230"/>
        </w:trPr>
        <w:tc>
          <w:tcPr>
            <w:tcW w:w="6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96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rPr>
              <w:t>$5,200</w:t>
            </w:r>
          </w:p>
        </w:tc>
        <w:tc>
          <w:tcPr>
            <w:tcW w:w="4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4,983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540" w:type="dxa"/>
            <w:vAlign w:val="bottom"/>
            <w:gridSpan w:val="2"/>
          </w:tcPr>
          <w:p>
            <w:pPr>
              <w:ind w:left="3720"/>
              <w:spacing w:after="0"/>
              <w:rPr>
                <w:sz w:val="20"/>
                <w:szCs w:val="20"/>
                <w:color w:val="auto"/>
              </w:rPr>
            </w:pPr>
            <w:r>
              <w:rPr>
                <w:rFonts w:ascii="Arial" w:cs="Arial" w:eastAsia="Arial" w:hAnsi="Arial"/>
                <w:sz w:val="14"/>
                <w:szCs w:val="14"/>
                <w:color w:val="auto"/>
              </w:rPr>
              <w:t>June 30,</w:t>
            </w: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w w:val="95"/>
              </w:rPr>
              <w:t>December 31,</w:t>
            </w:r>
          </w:p>
        </w:tc>
      </w:tr>
      <w:tr>
        <w:trPr>
          <w:trHeight w:val="159"/>
        </w:trPr>
        <w:tc>
          <w:tcPr>
            <w:tcW w:w="56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800" w:type="dxa"/>
            <w:vAlign w:val="bottom"/>
          </w:tcPr>
          <w:p>
            <w:pPr>
              <w:spacing w:after="0"/>
              <w:rPr>
                <w:sz w:val="13"/>
                <w:szCs w:val="13"/>
                <w:color w:val="auto"/>
              </w:rPr>
            </w:pPr>
          </w:p>
        </w:tc>
        <w:tc>
          <w:tcPr>
            <w:tcW w:w="740" w:type="dxa"/>
            <w:vAlign w:val="bottom"/>
          </w:tcPr>
          <w:p>
            <w:pPr>
              <w:jc w:val="right"/>
              <w:ind w:right="374"/>
              <w:spacing w:after="0" w:line="159" w:lineRule="exact"/>
              <w:rPr>
                <w:sz w:val="20"/>
                <w:szCs w:val="20"/>
                <w:color w:val="auto"/>
              </w:rPr>
            </w:pPr>
            <w:r>
              <w:rPr>
                <w:rFonts w:ascii="Arial" w:cs="Arial" w:eastAsia="Arial" w:hAnsi="Arial"/>
                <w:sz w:val="14"/>
                <w:szCs w:val="14"/>
                <w:color w:val="auto"/>
                <w:w w:val="83"/>
              </w:rPr>
              <w:t>2014</w:t>
            </w:r>
          </w:p>
        </w:tc>
        <w:tc>
          <w:tcPr>
            <w:tcW w:w="520" w:type="dxa"/>
            <w:vAlign w:val="bottom"/>
          </w:tcPr>
          <w:p>
            <w:pPr>
              <w:spacing w:after="0"/>
              <w:rPr>
                <w:sz w:val="13"/>
                <w:szCs w:val="13"/>
                <w:color w:val="auto"/>
              </w:rPr>
            </w:pPr>
          </w:p>
        </w:tc>
        <w:tc>
          <w:tcPr>
            <w:tcW w:w="700" w:type="dxa"/>
            <w:vAlign w:val="bottom"/>
          </w:tcPr>
          <w:p>
            <w:pPr>
              <w:jc w:val="right"/>
              <w:ind w:right="254"/>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3800" w:type="dxa"/>
            <w:vAlign w:val="bottom"/>
            <w:tcBorders>
              <w:top w:val="single" w:sz="8" w:color="auto"/>
            </w:tcBorders>
            <w:shd w:val="clear" w:color="auto" w:fill="E5E5E5"/>
          </w:tcPr>
          <w:p>
            <w:pPr>
              <w:ind w:left="370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color w:val="auto"/>
              </w:rPr>
              <w:t>19</w:t>
            </w:r>
          </w:p>
        </w:tc>
        <w:tc>
          <w:tcPr>
            <w:tcW w:w="52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Equity Method:</w:t>
            </w:r>
          </w:p>
        </w:tc>
        <w:tc>
          <w:tcPr>
            <w:tcW w:w="3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The Weather Channel</w:t>
            </w:r>
          </w:p>
        </w:tc>
        <w:tc>
          <w:tcPr>
            <w:tcW w:w="38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331</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333</w:t>
            </w: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Hulu</w:t>
            </w:r>
          </w:p>
        </w:tc>
        <w:tc>
          <w:tcPr>
            <w:tcW w:w="3800" w:type="dxa"/>
            <w:vAlign w:val="bottom"/>
          </w:tcPr>
          <w:p>
            <w:pPr>
              <w:spacing w:after="0"/>
              <w:rPr>
                <w:sz w:val="18"/>
                <w:szCs w:val="18"/>
                <w:color w:val="auto"/>
              </w:rPr>
            </w:pPr>
          </w:p>
        </w:tc>
        <w:tc>
          <w:tcPr>
            <w:tcW w:w="740" w:type="dxa"/>
            <w:vAlign w:val="bottom"/>
          </w:tcPr>
          <w:p>
            <w:pPr>
              <w:jc w:val="right"/>
              <w:ind w:right="294"/>
              <w:spacing w:after="0"/>
              <w:rPr>
                <w:sz w:val="20"/>
                <w:szCs w:val="20"/>
                <w:color w:val="auto"/>
              </w:rPr>
            </w:pPr>
            <w:r>
              <w:rPr>
                <w:rFonts w:ascii="Arial" w:cs="Arial" w:eastAsia="Arial" w:hAnsi="Arial"/>
                <w:sz w:val="18"/>
                <w:szCs w:val="18"/>
                <w:color w:val="auto"/>
              </w:rPr>
              <w:t>187</w:t>
            </w:r>
          </w:p>
        </w:tc>
        <w:tc>
          <w:tcPr>
            <w:tcW w:w="5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56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38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color w:val="auto"/>
              </w:rPr>
              <w:t>333</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332</w:t>
            </w: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0" w:type="dxa"/>
            <w:vAlign w:val="bottom"/>
          </w:tcPr>
          <w:p>
            <w:pPr>
              <w:jc w:val="right"/>
              <w:ind w:right="294"/>
              <w:spacing w:after="0"/>
              <w:rPr>
                <w:sz w:val="20"/>
                <w:szCs w:val="20"/>
                <w:color w:val="auto"/>
              </w:rPr>
            </w:pPr>
            <w:r>
              <w:rPr>
                <w:rFonts w:ascii="Arial" w:cs="Arial" w:eastAsia="Arial" w:hAnsi="Arial"/>
                <w:sz w:val="18"/>
                <w:szCs w:val="18"/>
                <w:color w:val="auto"/>
              </w:rPr>
              <w:t>851</w:t>
            </w:r>
          </w:p>
        </w:tc>
        <w:tc>
          <w:tcPr>
            <w:tcW w:w="5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852</w:t>
            </w:r>
          </w:p>
        </w:tc>
      </w:tr>
      <w:tr>
        <w:trPr>
          <w:trHeight w:val="216"/>
        </w:trPr>
        <w:tc>
          <w:tcPr>
            <w:tcW w:w="20" w:type="dxa"/>
            <w:vAlign w:val="bottom"/>
          </w:tcPr>
          <w:p>
            <w:pPr>
              <w:spacing w:after="0"/>
              <w:rPr>
                <w:sz w:val="18"/>
                <w:szCs w:val="18"/>
                <w:color w:val="auto"/>
              </w:rPr>
            </w:pPr>
          </w:p>
        </w:tc>
        <w:tc>
          <w:tcPr>
            <w:tcW w:w="5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w:t>
            </w:r>
          </w:p>
        </w:tc>
        <w:tc>
          <w:tcPr>
            <w:tcW w:w="38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color w:val="auto"/>
              </w:rPr>
              <w:t>19</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21</w:t>
            </w: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investments</w:t>
            </w:r>
          </w:p>
        </w:tc>
        <w:tc>
          <w:tcPr>
            <w:tcW w:w="3800" w:type="dxa"/>
            <w:vAlign w:val="bottom"/>
          </w:tcPr>
          <w:p>
            <w:pPr>
              <w:spacing w:after="0"/>
              <w:rPr>
                <w:sz w:val="18"/>
                <w:szCs w:val="18"/>
                <w:color w:val="auto"/>
              </w:rPr>
            </w:pPr>
          </w:p>
        </w:tc>
        <w:tc>
          <w:tcPr>
            <w:tcW w:w="740" w:type="dxa"/>
            <w:vAlign w:val="bottom"/>
          </w:tcPr>
          <w:p>
            <w:pPr>
              <w:jc w:val="right"/>
              <w:ind w:right="294"/>
              <w:spacing w:after="0"/>
              <w:rPr>
                <w:sz w:val="20"/>
                <w:szCs w:val="20"/>
                <w:color w:val="auto"/>
              </w:rPr>
            </w:pPr>
            <w:r>
              <w:rPr>
                <w:rFonts w:ascii="Arial" w:cs="Arial" w:eastAsia="Arial" w:hAnsi="Arial"/>
                <w:sz w:val="18"/>
                <w:szCs w:val="18"/>
                <w:color w:val="auto"/>
              </w:rPr>
              <w:t>889</w:t>
            </w:r>
          </w:p>
        </w:tc>
        <w:tc>
          <w:tcPr>
            <w:tcW w:w="5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884</w:t>
            </w:r>
          </w:p>
        </w:tc>
      </w:tr>
      <w:tr>
        <w:trPr>
          <w:trHeight w:val="216"/>
        </w:trPr>
        <w:tc>
          <w:tcPr>
            <w:tcW w:w="20" w:type="dxa"/>
            <w:vAlign w:val="bottom"/>
          </w:tcPr>
          <w:p>
            <w:pPr>
              <w:spacing w:after="0"/>
              <w:rPr>
                <w:sz w:val="18"/>
                <w:szCs w:val="18"/>
                <w:color w:val="auto"/>
              </w:rPr>
            </w:pPr>
          </w:p>
        </w:tc>
        <w:tc>
          <w:tcPr>
            <w:tcW w:w="5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38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color w:val="auto"/>
              </w:rPr>
              <w:t>8</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tcPr>
          <w:p>
            <w:pPr>
              <w:spacing w:after="0"/>
              <w:rPr>
                <w:sz w:val="20"/>
                <w:szCs w:val="20"/>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3800" w:type="dxa"/>
            <w:vAlign w:val="bottom"/>
            <w:tcBorders>
              <w:bottom w:val="single" w:sz="8" w:color="auto"/>
            </w:tcBorders>
          </w:tcPr>
          <w:p>
            <w:pPr>
              <w:ind w:left="370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881</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884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June 30, 2014, our debt, excluding the note payable to Comcast, had a carrying value of $10.3 billion and an estimated fair value of $11.4 billion. The estimated fair value of our publicly traded debt is based on Level 1 inputs using quoted market values for the debt. The estimated fair value of debt for which there are no quoted market prices is based on Level 2 inputs using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April 2014, we repaid $900 million aggregate principal amount of 2.10% senior notes due April 2014 at maturity.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2013, we, Comcast and certain of Comcast’s 100%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of June 30, 2014, we guaranteed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$30.7 billion of outstanding debt securities of Comcast and the cable guarantors. We also fully and unconditionally guarantee the $6.25 billion Comcast revolving credit facility due 2017, of which no amounts were outstanding as of June 30, 2014.</w:t>
      </w:r>
    </w:p>
    <w:p>
      <w:pPr>
        <w:spacing w:after="0" w:line="3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do not, however, guarantee the obligations of NBCUniversal Enterprise with respect to its $4 billion aggregate principal amount of senior notes, $1.35 billion revolving credit facility and associated commercial paper program, or $725 million liquidation preference of Series A cumulative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Fair Value Measurements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Our assessment of the significance of a particular input to the fair value measurement requires judgment and may affect the valuation of financial instruments and their classification within the fair value hierarchy.</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financial instruments that are accounted for at fair value on a recurring basis were not material for all periods presented, except for the liability associated with our contractual obligation. The estimated fair value of the contractual obligation is primarily based on certain expected future discounted cash flows, the determination of which involves the use of significant unobservable inputs. As the inputs used are not quoted market prices or observable inputs, we classify the contractual obligation as a Level 3 financial instrument.</w:t>
      </w:r>
    </w:p>
    <w:p>
      <w:pPr>
        <w:spacing w:after="0" w:line="4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most significant unobservable inputs we use include our estimates of the future revenue we expect to generate from certain of our businesses. The discount rates used in the measurement of fair value were between 12% and 13% and are based on the underlying risk associated with our estimate of future revenue and the terms of the respective contract. The fair value adjustments to the contractual obligation are sensitive to the assumptions related to future revenue, as well as to current interest rates, and therefore, the adjustments are recorded to other income (expense), net in our condensed consolidated statement of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60" w:type="dxa"/>
            <w:vAlign w:val="bottom"/>
          </w:tcPr>
          <w:p>
            <w:pPr>
              <w:spacing w:after="0"/>
              <w:rPr>
                <w:sz w:val="20"/>
                <w:szCs w:val="20"/>
                <w:color w:val="auto"/>
              </w:rPr>
            </w:pPr>
          </w:p>
        </w:tc>
        <w:tc>
          <w:tcPr>
            <w:tcW w:w="7740" w:type="dxa"/>
            <w:vAlign w:val="bottom"/>
          </w:tcPr>
          <w:p>
            <w:pPr>
              <w:ind w:left="1120"/>
              <w:spacing w:after="0"/>
              <w:rPr>
                <w:sz w:val="20"/>
                <w:szCs w:val="20"/>
                <w:color w:val="auto"/>
              </w:rPr>
            </w:pPr>
            <w:r>
              <w:rPr>
                <w:rFonts w:ascii="Arial" w:cs="Arial" w:eastAsia="Arial" w:hAnsi="Arial"/>
                <w:sz w:val="18"/>
                <w:szCs w:val="18"/>
                <w:b w:val="1"/>
                <w:bCs w:val="1"/>
                <w:color w:val="auto"/>
              </w:rPr>
              <w:t>Changes in Contractual Obligation</w:t>
            </w:r>
          </w:p>
        </w:tc>
        <w:tc>
          <w:tcPr>
            <w:tcW w:w="520" w:type="dxa"/>
            <w:vAlign w:val="bottom"/>
          </w:tcPr>
          <w:p>
            <w:pPr>
              <w:spacing w:after="0"/>
              <w:rPr>
                <w:sz w:val="20"/>
                <w:szCs w:val="20"/>
                <w:color w:val="auto"/>
              </w:rPr>
            </w:pPr>
          </w:p>
        </w:tc>
      </w:tr>
      <w:tr>
        <w:trPr>
          <w:trHeight w:val="261"/>
        </w:trPr>
        <w:tc>
          <w:tcPr>
            <w:tcW w:w="3160" w:type="dxa"/>
            <w:vAlign w:val="bottom"/>
          </w:tcPr>
          <w:p>
            <w:pPr>
              <w:spacing w:after="0"/>
              <w:rPr>
                <w:sz w:val="22"/>
                <w:szCs w:val="22"/>
                <w:color w:val="auto"/>
              </w:rPr>
            </w:pPr>
          </w:p>
        </w:tc>
        <w:tc>
          <w:tcPr>
            <w:tcW w:w="8260" w:type="dxa"/>
            <w:vAlign w:val="bottom"/>
            <w:gridSpan w:val="2"/>
          </w:tcPr>
          <w:p>
            <w:pPr>
              <w:ind w:left="7520"/>
              <w:spacing w:after="0"/>
              <w:rPr>
                <w:sz w:val="20"/>
                <w:szCs w:val="20"/>
                <w:color w:val="auto"/>
              </w:rPr>
            </w:pPr>
            <w:r>
              <w:rPr>
                <w:rFonts w:ascii="Arial" w:cs="Arial" w:eastAsia="Arial" w:hAnsi="Arial"/>
                <w:sz w:val="14"/>
                <w:szCs w:val="14"/>
                <w:color w:val="auto"/>
              </w:rPr>
              <w:t>Contractual</w:t>
            </w:r>
          </w:p>
        </w:tc>
      </w:tr>
      <w:tr>
        <w:trPr>
          <w:trHeight w:val="159"/>
        </w:trPr>
        <w:tc>
          <w:tcPr>
            <w:tcW w:w="31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8260" w:type="dxa"/>
            <w:vAlign w:val="bottom"/>
            <w:tcBorders>
              <w:bottom w:val="single" w:sz="8" w:color="auto"/>
            </w:tcBorders>
            <w:gridSpan w:val="2"/>
          </w:tcPr>
          <w:p>
            <w:pPr>
              <w:jc w:val="right"/>
              <w:ind w:right="52"/>
              <w:spacing w:after="0" w:line="159" w:lineRule="exact"/>
              <w:rPr>
                <w:sz w:val="20"/>
                <w:szCs w:val="20"/>
                <w:color w:val="auto"/>
              </w:rPr>
            </w:pPr>
            <w:r>
              <w:rPr>
                <w:rFonts w:ascii="Arial" w:cs="Arial" w:eastAsia="Arial" w:hAnsi="Arial"/>
                <w:sz w:val="14"/>
                <w:szCs w:val="14"/>
                <w:color w:val="auto"/>
              </w:rPr>
              <w:t>Obligation</w:t>
            </w:r>
          </w:p>
        </w:tc>
      </w:tr>
      <w:tr>
        <w:trPr>
          <w:trHeight w:val="210"/>
        </w:trPr>
        <w:tc>
          <w:tcPr>
            <w:tcW w:w="316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2013</w:t>
            </w:r>
          </w:p>
        </w:tc>
        <w:tc>
          <w:tcPr>
            <w:tcW w:w="7740" w:type="dxa"/>
            <w:vAlign w:val="bottom"/>
            <w:shd w:val="clear" w:color="auto" w:fill="E5E5E5"/>
          </w:tcPr>
          <w:p>
            <w:pPr>
              <w:ind w:left="7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747</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Fair value adjustments</w:t>
            </w:r>
          </w:p>
        </w:tc>
        <w:tc>
          <w:tcPr>
            <w:tcW w:w="774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68</w:t>
            </w:r>
          </w:p>
        </w:tc>
      </w:tr>
      <w:tr>
        <w:trPr>
          <w:trHeight w:val="216"/>
        </w:trPr>
        <w:tc>
          <w:tcPr>
            <w:tcW w:w="3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77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w:t>
            </w:r>
          </w:p>
        </w:tc>
      </w:tr>
      <w:tr>
        <w:trPr>
          <w:trHeight w:val="217"/>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2014</w:t>
            </w:r>
          </w:p>
        </w:tc>
        <w:tc>
          <w:tcPr>
            <w:tcW w:w="7740" w:type="dxa"/>
            <w:vAlign w:val="bottom"/>
            <w:tcBorders>
              <w:bottom w:val="single" w:sz="8" w:color="auto"/>
            </w:tcBorders>
          </w:tcPr>
          <w:p>
            <w:pPr>
              <w:ind w:left="75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788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maintains share-based compensation plans that primarily consist of awards of stock options and restricted share units (“RSUs”) to certain employees and directors as part of its approach to long-term incentive compensation. Additionally, through Comcast’s employee stock purchase plans, employees are able to purchase shares of its Class A common stock at a discount through payroll deductions. Certain of our employees participate in these plans and the expense associated with their participation is settled in cash with Comcast.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gridSpan w:val="3"/>
          </w:tcPr>
          <w:p>
            <w:pPr>
              <w:jc w:val="right"/>
              <w:ind w:right="476"/>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640" w:type="dxa"/>
            <w:vAlign w:val="bottom"/>
            <w:gridSpan w:val="3"/>
          </w:tcPr>
          <w:p>
            <w:pPr>
              <w:jc w:val="right"/>
              <w:ind w:right="33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39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0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8"/>
              </w:rPr>
              <w:t>June 30</w:t>
            </w: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8"/>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auto"/>
            </w:tcBorders>
            <w:vMerge w:val="continue"/>
          </w:tcPr>
          <w:p>
            <w:pPr>
              <w:spacing w:after="0"/>
              <w:rPr>
                <w:sz w:val="12"/>
                <w:szCs w:val="12"/>
                <w:color w:val="auto"/>
              </w:rPr>
            </w:pPr>
          </w:p>
        </w:tc>
        <w:tc>
          <w:tcPr>
            <w:tcW w:w="30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83"/>
              </w:rPr>
              <w:t>2014</w:t>
            </w: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w w:val="83"/>
              </w:rPr>
              <w:t>2013</w:t>
            </w:r>
          </w:p>
        </w:tc>
        <w:tc>
          <w:tcPr>
            <w:tcW w:w="4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83"/>
              </w:rPr>
              <w:t>2014</w:t>
            </w:r>
          </w:p>
        </w:tc>
        <w:tc>
          <w:tcPr>
            <w:tcW w:w="6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36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4</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Restricted share units</w:t>
            </w:r>
          </w:p>
        </w:tc>
        <w:tc>
          <w:tcPr>
            <w:tcW w:w="3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8"/>
                <w:szCs w:val="18"/>
                <w:color w:val="auto"/>
              </w:rPr>
            </w:pPr>
          </w:p>
        </w:tc>
        <w:tc>
          <w:tcPr>
            <w:tcW w:w="720" w:type="dxa"/>
            <w:vAlign w:val="bottom"/>
          </w:tcPr>
          <w:p>
            <w:pPr>
              <w:jc w:val="right"/>
              <w:ind w:right="216"/>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66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30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6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3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17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363"/>
        </w:trPr>
        <w:tc>
          <w:tcPr>
            <w:tcW w:w="3920" w:type="dxa"/>
            <w:vAlign w:val="bottom"/>
          </w:tcPr>
          <w:p>
            <w:pPr>
              <w:spacing w:after="0"/>
              <w:rPr>
                <w:sz w:val="24"/>
                <w:szCs w:val="24"/>
                <w:color w:val="auto"/>
              </w:rPr>
            </w:pPr>
          </w:p>
        </w:tc>
        <w:tc>
          <w:tcPr>
            <w:tcW w:w="3020" w:type="dxa"/>
            <w:vAlign w:val="bottom"/>
          </w:tcPr>
          <w:p>
            <w:pPr>
              <w:jc w:val="right"/>
              <w:ind w:right="1032"/>
              <w:spacing w:after="0"/>
              <w:rPr>
                <w:sz w:val="20"/>
                <w:szCs w:val="20"/>
                <w:color w:val="auto"/>
              </w:rPr>
            </w:pPr>
            <w:r>
              <w:rPr>
                <w:rFonts w:ascii="Arial" w:cs="Arial" w:eastAsia="Arial" w:hAnsi="Arial"/>
                <w:sz w:val="18"/>
                <w:szCs w:val="18"/>
                <w:color w:val="auto"/>
              </w:rPr>
              <w:t>57</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6"/>
              </w:rPr>
              <w:t>June 30,</w:t>
            </w:r>
          </w:p>
        </w:tc>
        <w:tc>
          <w:tcPr>
            <w:tcW w:w="54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w w:val="95"/>
              </w:rPr>
              <w:t>December 31,</w:t>
            </w:r>
          </w:p>
        </w:tc>
      </w:tr>
      <w:tr>
        <w:trPr>
          <w:trHeight w:val="159"/>
        </w:trPr>
        <w:tc>
          <w:tcPr>
            <w:tcW w:w="93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jc w:val="right"/>
              <w:ind w:right="61"/>
              <w:spacing w:after="0" w:line="159" w:lineRule="exact"/>
              <w:rPr>
                <w:sz w:val="20"/>
                <w:szCs w:val="20"/>
                <w:color w:val="auto"/>
              </w:rPr>
            </w:pPr>
            <w:r>
              <w:rPr>
                <w:rFonts w:ascii="Arial" w:cs="Arial" w:eastAsia="Arial" w:hAnsi="Arial"/>
                <w:sz w:val="14"/>
                <w:szCs w:val="14"/>
                <w:color w:val="auto"/>
              </w:rPr>
              <w:t>2014</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53"/>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$5,022</w:t>
            </w: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5,348</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580" w:type="dxa"/>
            <w:vAlign w:val="bottom"/>
          </w:tcPr>
          <w:p>
            <w:pPr>
              <w:jc w:val="right"/>
              <w:spacing w:after="0"/>
              <w:rPr>
                <w:sz w:val="20"/>
                <w:szCs w:val="20"/>
                <w:color w:val="auto"/>
              </w:rPr>
            </w:pPr>
            <w:r>
              <w:rPr>
                <w:rFonts w:ascii="Arial" w:cs="Arial" w:eastAsia="Arial" w:hAnsi="Arial"/>
                <w:sz w:val="18"/>
                <w:szCs w:val="18"/>
                <w:color w:val="auto"/>
              </w:rPr>
              <w:t>288</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372</w:t>
            </w:r>
          </w:p>
        </w:tc>
      </w:tr>
      <w:tr>
        <w:trPr>
          <w:trHeight w:val="216"/>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66</w:t>
            </w:r>
          </w:p>
        </w:tc>
        <w:tc>
          <w:tcPr>
            <w:tcW w:w="5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65</w:t>
            </w:r>
          </w:p>
        </w:tc>
      </w:tr>
      <w:tr>
        <w:trPr>
          <w:trHeight w:val="217"/>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$4,668</w:t>
            </w: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4,911</w:t>
            </w:r>
          </w:p>
        </w:tc>
      </w:tr>
      <w:tr>
        <w:trPr>
          <w:trHeight w:val="403"/>
        </w:trPr>
        <w:tc>
          <w:tcPr>
            <w:tcW w:w="9360" w:type="dxa"/>
            <w:vAlign w:val="bottom"/>
          </w:tcPr>
          <w:p>
            <w:pPr>
              <w:ind w:left="3600"/>
              <w:spacing w:after="0"/>
              <w:rPr>
                <w:sz w:val="20"/>
                <w:szCs w:val="20"/>
                <w:color w:val="auto"/>
              </w:rPr>
            </w:pPr>
            <w:r>
              <w:rPr>
                <w:rFonts w:ascii="Arial" w:cs="Arial" w:eastAsia="Arial" w:hAnsi="Arial"/>
                <w:sz w:val="18"/>
                <w:szCs w:val="18"/>
                <w:b w:val="1"/>
                <w:bCs w:val="1"/>
                <w:color w:val="auto"/>
              </w:rPr>
              <w:t>Accumulated Other Comprehensive Income (Loss)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1"/>
        </w:trPr>
        <w:tc>
          <w:tcPr>
            <w:tcW w:w="9360" w:type="dxa"/>
            <w:vAlign w:val="bottom"/>
          </w:tcPr>
          <w:p>
            <w:pPr>
              <w:spacing w:after="0"/>
              <w:rPr>
                <w:sz w:val="22"/>
                <w:szCs w:val="22"/>
                <w:color w:val="auto"/>
              </w:rPr>
            </w:pPr>
          </w:p>
        </w:tc>
        <w:tc>
          <w:tcPr>
            <w:tcW w:w="1120" w:type="dxa"/>
            <w:vAlign w:val="bottom"/>
            <w:gridSpan w:val="2"/>
          </w:tcPr>
          <w:p>
            <w:pPr>
              <w:ind w:left="500"/>
              <w:spacing w:after="0"/>
              <w:rPr>
                <w:sz w:val="20"/>
                <w:szCs w:val="20"/>
                <w:color w:val="auto"/>
              </w:rPr>
            </w:pPr>
            <w:r>
              <w:rPr>
                <w:rFonts w:ascii="Arial" w:cs="Arial" w:eastAsia="Arial" w:hAnsi="Arial"/>
                <w:sz w:val="14"/>
                <w:szCs w:val="14"/>
                <w:color w:val="auto"/>
              </w:rPr>
              <w:t>June 30,</w:t>
            </w:r>
          </w:p>
        </w:tc>
        <w:tc>
          <w:tcPr>
            <w:tcW w:w="940" w:type="dxa"/>
            <w:vAlign w:val="bottom"/>
            <w:gridSpan w:val="2"/>
          </w:tcPr>
          <w:p>
            <w:pPr>
              <w:ind w:left="260"/>
              <w:spacing w:after="0"/>
              <w:rPr>
                <w:sz w:val="20"/>
                <w:szCs w:val="20"/>
                <w:color w:val="auto"/>
              </w:rPr>
            </w:pPr>
            <w:r>
              <w:rPr>
                <w:rFonts w:ascii="Arial" w:cs="Arial" w:eastAsia="Arial" w:hAnsi="Arial"/>
                <w:sz w:val="14"/>
                <w:szCs w:val="14"/>
                <w:color w:val="auto"/>
              </w:rPr>
              <w:t>June 30,</w:t>
            </w:r>
          </w:p>
        </w:tc>
      </w:tr>
      <w:tr>
        <w:trPr>
          <w:trHeight w:val="159"/>
        </w:trPr>
        <w:tc>
          <w:tcPr>
            <w:tcW w:w="93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w w:val="83"/>
              </w:rPr>
              <w:t>2014</w:t>
            </w: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33"/>
              <w:spacing w:after="0" w:line="159" w:lineRule="exact"/>
              <w:rPr>
                <w:sz w:val="20"/>
                <w:szCs w:val="20"/>
                <w:color w:val="auto"/>
              </w:rPr>
            </w:pPr>
            <w:r>
              <w:rPr>
                <w:rFonts w:ascii="Arial" w:cs="Arial" w:eastAsia="Arial" w:hAnsi="Arial"/>
                <w:sz w:val="14"/>
                <w:szCs w:val="14"/>
                <w:color w:val="auto"/>
                <w:w w:val="76"/>
              </w:rPr>
              <w:t>2013</w:t>
            </w:r>
          </w:p>
        </w:tc>
      </w:tr>
      <w:tr>
        <w:trPr>
          <w:trHeight w:val="210"/>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580" w:type="dxa"/>
            <w:vAlign w:val="bottom"/>
            <w:shd w:val="clear" w:color="auto" w:fill="E5E5E5"/>
          </w:tcPr>
          <w:p>
            <w:pPr>
              <w:ind w:left="5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5</w:t>
            </w:r>
          </w:p>
        </w:tc>
        <w:tc>
          <w:tcPr>
            <w:tcW w:w="360" w:type="dxa"/>
            <w:vAlign w:val="bottom"/>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58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45</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(51)</w:t>
            </w:r>
          </w:p>
        </w:tc>
      </w:tr>
      <w:tr>
        <w:trPr>
          <w:trHeight w:val="216"/>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(60)</w:t>
            </w:r>
          </w:p>
        </w:tc>
      </w:tr>
      <w:tr>
        <w:trPr>
          <w:trHeight w:val="217"/>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580" w:type="dxa"/>
            <w:vAlign w:val="bottom"/>
            <w:tcBorders>
              <w:bottom w:val="single" w:sz="8" w:color="auto"/>
            </w:tcBorders>
            <w:shd w:val="clear" w:color="auto" w:fill="E5E5E5"/>
          </w:tcPr>
          <w:p>
            <w:pPr>
              <w:ind w:left="500"/>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b w:val="1"/>
                <w:bCs w:val="1"/>
                <w:color w:val="auto"/>
              </w:rPr>
              <w:t>5</w:t>
            </w:r>
          </w:p>
        </w:tc>
        <w:tc>
          <w:tcPr>
            <w:tcW w:w="940" w:type="dxa"/>
            <w:vAlign w:val="bottom"/>
            <w:tcBorders>
              <w:bottom w:val="single" w:sz="8" w:color="auto"/>
            </w:tcBorders>
            <w:gridSpan w:val="2"/>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 (111)</w:t>
            </w:r>
          </w:p>
        </w:tc>
      </w:tr>
      <w:tr>
        <w:trPr>
          <w:trHeight w:val="403"/>
        </w:trPr>
        <w:tc>
          <w:tcPr>
            <w:tcW w:w="9360" w:type="dxa"/>
            <w:vAlign w:val="bottom"/>
          </w:tcPr>
          <w:p>
            <w:pPr>
              <w:ind w:left="3960"/>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1"/>
        </w:trPr>
        <w:tc>
          <w:tcPr>
            <w:tcW w:w="9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80" w:type="dxa"/>
            <w:vAlign w:val="bottom"/>
            <w:gridSpan w:val="3"/>
          </w:tcPr>
          <w:p>
            <w:pPr>
              <w:jc w:val="center"/>
              <w:ind w:right="273"/>
              <w:spacing w:after="0"/>
              <w:rPr>
                <w:sz w:val="20"/>
                <w:szCs w:val="20"/>
                <w:color w:val="auto"/>
              </w:rPr>
            </w:pPr>
            <w:r>
              <w:rPr>
                <w:rFonts w:ascii="Arial" w:cs="Arial" w:eastAsia="Arial" w:hAnsi="Arial"/>
                <w:sz w:val="14"/>
                <w:szCs w:val="14"/>
                <w:color w:val="auto"/>
                <w:w w:val="87"/>
              </w:rPr>
              <w:t>Six Months Ended</w:t>
            </w:r>
          </w:p>
        </w:tc>
      </w:tr>
      <w:tr>
        <w:trPr>
          <w:trHeight w:val="172"/>
        </w:trPr>
        <w:tc>
          <w:tcPr>
            <w:tcW w:w="9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left="136"/>
              <w:spacing w:after="0"/>
              <w:rPr>
                <w:sz w:val="20"/>
                <w:szCs w:val="20"/>
                <w:color w:val="auto"/>
              </w:rPr>
            </w:pPr>
            <w:r>
              <w:rPr>
                <w:rFonts w:ascii="Arial" w:cs="Arial" w:eastAsia="Arial" w:hAnsi="Arial"/>
                <w:sz w:val="14"/>
                <w:szCs w:val="14"/>
                <w:color w:val="auto"/>
                <w:w w:val="80"/>
              </w:rPr>
              <w:t>June 30</w:t>
            </w:r>
          </w:p>
        </w:tc>
        <w:tc>
          <w:tcPr>
            <w:tcW w:w="580" w:type="dxa"/>
            <w:vAlign w:val="bottom"/>
            <w:tcBorders>
              <w:bottom w:val="single" w:sz="8" w:color="auto"/>
            </w:tcBorders>
          </w:tcPr>
          <w:p>
            <w:pPr>
              <w:spacing w:after="0"/>
              <w:rPr>
                <w:sz w:val="14"/>
                <w:szCs w:val="14"/>
                <w:color w:val="auto"/>
              </w:rPr>
            </w:pPr>
          </w:p>
        </w:tc>
      </w:tr>
      <w:tr>
        <w:trPr>
          <w:trHeight w:val="143"/>
        </w:trPr>
        <w:tc>
          <w:tcPr>
            <w:tcW w:w="93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1120" w:type="dxa"/>
            <w:vAlign w:val="bottom"/>
            <w:tcBorders>
              <w:bottom w:val="single" w:sz="8" w:color="auto"/>
            </w:tcBorders>
            <w:gridSpan w:val="2"/>
          </w:tcPr>
          <w:p>
            <w:pPr>
              <w:jc w:val="right"/>
              <w:ind w:right="196"/>
              <w:spacing w:after="0" w:line="143" w:lineRule="exact"/>
              <w:rPr>
                <w:sz w:val="20"/>
                <w:szCs w:val="20"/>
                <w:color w:val="auto"/>
              </w:rPr>
            </w:pPr>
            <w:r>
              <w:rPr>
                <w:rFonts w:ascii="Arial" w:cs="Arial" w:eastAsia="Arial" w:hAnsi="Arial"/>
                <w:sz w:val="14"/>
                <w:szCs w:val="14"/>
                <w:color w:val="auto"/>
              </w:rPr>
              <w:t>2014</w:t>
            </w:r>
          </w:p>
        </w:tc>
        <w:tc>
          <w:tcPr>
            <w:tcW w:w="940" w:type="dxa"/>
            <w:vAlign w:val="bottom"/>
            <w:tcBorders>
              <w:bottom w:val="single" w:sz="8" w:color="auto"/>
            </w:tcBorders>
            <w:gridSpan w:val="2"/>
          </w:tcPr>
          <w:p>
            <w:pPr>
              <w:jc w:val="right"/>
              <w:ind w:right="273"/>
              <w:spacing w:after="0" w:line="143" w:lineRule="exact"/>
              <w:rPr>
                <w:sz w:val="20"/>
                <w:szCs w:val="20"/>
                <w:color w:val="auto"/>
              </w:rPr>
            </w:pPr>
            <w:r>
              <w:rPr>
                <w:rFonts w:ascii="Arial" w:cs="Arial" w:eastAsia="Arial" w:hAnsi="Arial"/>
                <w:sz w:val="14"/>
                <w:szCs w:val="14"/>
                <w:color w:val="auto"/>
              </w:rPr>
              <w:t>2013</w:t>
            </w:r>
          </w:p>
        </w:tc>
      </w:tr>
      <w:tr>
        <w:trPr>
          <w:trHeight w:val="210"/>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E5E5E5"/>
          </w:tcPr>
          <w:p>
            <w:pPr>
              <w:jc w:val="right"/>
              <w:ind w:right="56"/>
              <w:spacing w:after="0"/>
              <w:rPr>
                <w:sz w:val="20"/>
                <w:szCs w:val="20"/>
                <w:color w:val="auto"/>
              </w:rPr>
            </w:pPr>
            <w:r>
              <w:rPr>
                <w:rFonts w:ascii="Arial" w:cs="Arial" w:eastAsia="Arial" w:hAnsi="Arial"/>
                <w:sz w:val="18"/>
                <w:szCs w:val="18"/>
                <w:color w:val="auto"/>
              </w:rPr>
              <w:t>$ 1,583</w:t>
            </w:r>
          </w:p>
        </w:tc>
        <w:tc>
          <w:tcPr>
            <w:tcW w:w="940" w:type="dxa"/>
            <w:vAlign w:val="bottom"/>
            <w:gridSpan w:val="2"/>
            <w:shd w:val="clear" w:color="auto" w:fill="E5E5E5"/>
          </w:tcPr>
          <w:p>
            <w:pPr>
              <w:jc w:val="right"/>
              <w:ind w:right="133"/>
              <w:spacing w:after="0"/>
              <w:rPr>
                <w:sz w:val="20"/>
                <w:szCs w:val="20"/>
                <w:color w:val="auto"/>
              </w:rPr>
            </w:pPr>
            <w:r>
              <w:rPr>
                <w:rFonts w:ascii="Arial" w:cs="Arial" w:eastAsia="Arial" w:hAnsi="Arial"/>
                <w:sz w:val="18"/>
                <w:szCs w:val="18"/>
                <w:color w:val="auto"/>
              </w:rPr>
              <w:t>$ 1,041</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735</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693</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58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8"/>
                <w:szCs w:val="18"/>
                <w:color w:val="auto"/>
              </w:rPr>
              <w:t>7</w:t>
            </w: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(27)</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Cash received from investees</w:t>
            </w:r>
          </w:p>
        </w:tc>
        <w:tc>
          <w:tcPr>
            <w:tcW w:w="58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8"/>
                <w:szCs w:val="18"/>
                <w:color w:val="auto"/>
              </w:rPr>
              <w:t>58</w:t>
            </w: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45</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61</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8"/>
                <w:szCs w:val="18"/>
                <w:color w:val="auto"/>
              </w:rPr>
              <w:t>2</w:t>
            </w:r>
          </w:p>
        </w:tc>
      </w:tr>
      <w:tr>
        <w:trPr>
          <w:trHeight w:val="216"/>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58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8"/>
                <w:szCs w:val="18"/>
                <w:color w:val="auto"/>
              </w:rPr>
              <w:t>26</w:t>
            </w: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 and television costs, net</w:t>
            </w:r>
            <w:r>
              <w:rPr>
                <w:rFonts w:ascii="Arial" w:cs="Arial" w:eastAsia="Arial" w:hAnsi="Arial"/>
                <w:sz w:val="11"/>
                <w:szCs w:val="11"/>
                <w:color w:val="auto"/>
              </w:rPr>
              <w:t>(a)</w:t>
            </w: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726</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(280)</w:t>
            </w:r>
          </w:p>
        </w:tc>
        <w:tc>
          <w:tcPr>
            <w:tcW w:w="360" w:type="dxa"/>
            <w:vAlign w:val="bottom"/>
          </w:tcPr>
          <w:p>
            <w:pPr>
              <w:spacing w:after="0"/>
              <w:rPr>
                <w:sz w:val="18"/>
                <w:szCs w:val="18"/>
                <w:color w:val="auto"/>
              </w:rPr>
            </w:pPr>
          </w:p>
        </w:tc>
        <w:tc>
          <w:tcPr>
            <w:tcW w:w="580" w:type="dxa"/>
            <w:vAlign w:val="bottom"/>
          </w:tcPr>
          <w:p>
            <w:pPr>
              <w:jc w:val="right"/>
              <w:ind w:right="73"/>
              <w:spacing w:after="0"/>
              <w:rPr>
                <w:sz w:val="20"/>
                <w:szCs w:val="20"/>
                <w:color w:val="auto"/>
              </w:rPr>
            </w:pPr>
            <w:r>
              <w:rPr>
                <w:rFonts w:ascii="Arial" w:cs="Arial" w:eastAsia="Arial" w:hAnsi="Arial"/>
                <w:sz w:val="18"/>
                <w:szCs w:val="18"/>
                <w:color w:val="auto"/>
                <w:w w:val="95"/>
              </w:rPr>
              <w:t>(198)</w:t>
            </w:r>
          </w:p>
        </w:tc>
      </w:tr>
      <w:tr>
        <w:trPr>
          <w:trHeight w:val="216"/>
        </w:trPr>
        <w:tc>
          <w:tcPr>
            <w:tcW w:w="93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5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(458)</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113</w:t>
            </w:r>
          </w:p>
        </w:tc>
      </w:tr>
      <w:tr>
        <w:trPr>
          <w:trHeight w:val="217"/>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8"/>
                <w:szCs w:val="18"/>
                <w:b w:val="1"/>
                <w:bCs w:val="1"/>
                <w:color w:val="auto"/>
              </w:rPr>
              <w:t>$ 1,789</w:t>
            </w:r>
          </w:p>
        </w:tc>
        <w:tc>
          <w:tcPr>
            <w:tcW w:w="9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8"/>
                <w:szCs w:val="18"/>
                <w:b w:val="1"/>
                <w:bCs w:val="1"/>
                <w:color w:val="auto"/>
              </w:rPr>
              <w:t>$ 2,502</w:t>
            </w:r>
          </w:p>
        </w:tc>
      </w:tr>
    </w:tbl>
    <w:p>
      <w:pPr>
        <w:spacing w:after="0" w:line="57" w:lineRule="exact"/>
        <w:rPr>
          <w:sz w:val="20"/>
          <w:szCs w:val="20"/>
          <w:color w:val="auto"/>
        </w:rPr>
      </w:pPr>
    </w:p>
    <w:p>
      <w:pPr>
        <w:ind w:left="340" w:hanging="332"/>
        <w:spacing w:after="0" w:line="239"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Comprised of additions to our film and television cost assets of $4,999 million and $3,319 million, net of film and television cost amortization of $4,959 million and $4,045 million in 2014 and 2013,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right"/>
              <w:ind w:right="399"/>
              <w:spacing w:after="0"/>
              <w:rPr>
                <w:sz w:val="20"/>
                <w:szCs w:val="20"/>
                <w:color w:val="auto"/>
              </w:rPr>
            </w:pPr>
            <w:r>
              <w:rPr>
                <w:rFonts w:ascii="Arial" w:cs="Arial" w:eastAsia="Arial" w:hAnsi="Arial"/>
                <w:sz w:val="14"/>
                <w:szCs w:val="14"/>
                <w:color w:val="auto"/>
                <w:w w:val="93"/>
              </w:rPr>
              <w:t>Three Months Ended</w:t>
            </w:r>
          </w:p>
        </w:tc>
        <w:tc>
          <w:tcPr>
            <w:tcW w:w="360" w:type="dxa"/>
            <w:vAlign w:val="bottom"/>
          </w:tcPr>
          <w:p>
            <w:pPr>
              <w:spacing w:after="0"/>
              <w:rPr>
                <w:sz w:val="14"/>
                <w:szCs w:val="14"/>
                <w:color w:val="auto"/>
              </w:rPr>
            </w:pPr>
          </w:p>
        </w:tc>
        <w:tc>
          <w:tcPr>
            <w:tcW w:w="1560" w:type="dxa"/>
            <w:vAlign w:val="bottom"/>
            <w:gridSpan w:val="3"/>
          </w:tcPr>
          <w:p>
            <w:pPr>
              <w:ind w:left="1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w w:val="89"/>
              </w:rPr>
              <w:t>2014</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color w:val="auto"/>
                <w:w w:val="89"/>
              </w:rPr>
              <w:t>2013</w:t>
            </w: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w w:val="89"/>
              </w:rPr>
              <w:t>2014</w:t>
            </w:r>
          </w:p>
        </w:tc>
        <w:tc>
          <w:tcPr>
            <w:tcW w:w="6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220</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204</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ind w:left="160"/>
              <w:spacing w:after="0"/>
              <w:rPr>
                <w:sz w:val="20"/>
                <w:szCs w:val="20"/>
                <w:color w:val="auto"/>
              </w:rPr>
            </w:pPr>
            <w:r>
              <w:rPr>
                <w:rFonts w:ascii="Arial" w:cs="Arial" w:eastAsia="Arial" w:hAnsi="Arial"/>
                <w:sz w:val="18"/>
                <w:szCs w:val="18"/>
                <w:color w:val="auto"/>
                <w:w w:val="86"/>
              </w:rPr>
              <w:t>256</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47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6"/>
              </w:rPr>
              <w:t>110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2014:</w:t>
      </w:r>
    </w:p>
    <w:p>
      <w:pPr>
        <w:spacing w:after="0" w:line="77" w:lineRule="exact"/>
        <w:rPr>
          <w:sz w:val="20"/>
          <w:szCs w:val="20"/>
          <w:color w:val="auto"/>
        </w:rPr>
      </w:pPr>
    </w:p>
    <w:p>
      <w:pPr>
        <w:ind w:left="5620" w:right="3120" w:hanging="4815"/>
        <w:spacing w:after="0" w:line="440" w:lineRule="auto"/>
        <w:tabs>
          <w:tab w:leader="none" w:pos="10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acquired $198 million of property and equipment and intangible assets that were accrued but unpaid 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60" w:hanging="215"/>
        <w:spacing w:after="0" w:line="27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our cable television production operations.</w:t>
      </w:r>
    </w:p>
    <w:p>
      <w:pPr>
        <w:spacing w:after="0" w:line="25" w:lineRule="exact"/>
        <w:rPr>
          <w:rFonts w:ascii="Arial" w:cs="Arial" w:eastAsia="Arial" w:hAnsi="Arial"/>
          <w:sz w:val="18"/>
          <w:szCs w:val="18"/>
          <w:color w:val="auto"/>
        </w:rPr>
      </w:pPr>
    </w:p>
    <w:p>
      <w:pPr>
        <w:ind w:left="1020" w:right="1260" w:hanging="215"/>
        <w:spacing w:after="0" w:line="27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production operations.</w:t>
      </w:r>
    </w:p>
    <w:p>
      <w:pPr>
        <w:spacing w:after="0" w:line="25"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left="597"/>
              <w:spacing w:after="0"/>
              <w:rPr>
                <w:sz w:val="20"/>
                <w:szCs w:val="20"/>
                <w:color w:val="auto"/>
              </w:rPr>
            </w:pPr>
            <w:r>
              <w:rPr>
                <w:rFonts w:ascii="Arial" w:cs="Arial" w:eastAsia="Arial" w:hAnsi="Arial"/>
                <w:sz w:val="14"/>
                <w:szCs w:val="14"/>
                <w:color w:val="auto"/>
                <w:w w:val="86"/>
              </w:rPr>
              <w:t>Three Months Ended June 30, 2014</w:t>
            </w: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6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4"/>
              </w:rPr>
              <w:t>Operating Income (Loss)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7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color w:val="auto"/>
                <w:w w:val="94"/>
              </w:rPr>
              <w:t>Revenue</w:t>
            </w:r>
            <w:r>
              <w:rPr>
                <w:rFonts w:ascii="Arial" w:cs="Arial" w:eastAsia="Arial" w:hAnsi="Arial"/>
                <w:sz w:val="22"/>
                <w:szCs w:val="22"/>
                <w:color w:val="auto"/>
                <w:w w:val="94"/>
                <w:vertAlign w:val="superscript"/>
              </w:rPr>
              <w:t>(d)</w:t>
            </w:r>
          </w:p>
        </w:tc>
        <w:tc>
          <w:tcPr>
            <w:tcW w:w="156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5"/>
              </w:rPr>
              <w:t>Before Depreciation and</w:t>
            </w:r>
          </w:p>
        </w:tc>
        <w:tc>
          <w:tcPr>
            <w:tcW w:w="108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2"/>
              </w:rPr>
              <w:t>Depreciation and</w:t>
            </w:r>
          </w:p>
        </w:tc>
        <w:tc>
          <w:tcPr>
            <w:tcW w:w="120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2"/>
              </w:rPr>
              <w:t>Amortization</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2400" w:type="dxa"/>
            <w:vAlign w:val="bottom"/>
            <w:gridSpan w:val="2"/>
            <w:shd w:val="clear" w:color="auto" w:fill="E5E5E5"/>
          </w:tcPr>
          <w:p>
            <w:pPr>
              <w:ind w:left="2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2,476</w:t>
            </w:r>
          </w:p>
        </w:tc>
        <w:tc>
          <w:tcPr>
            <w:tcW w:w="2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180</w:t>
            </w:r>
          </w:p>
        </w:tc>
        <w:tc>
          <w:tcPr>
            <w:tcW w:w="3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734</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Broadcast Television</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1,816</w:t>
            </w:r>
          </w:p>
        </w:tc>
        <w:tc>
          <w:tcPr>
            <w:tcW w:w="24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(a)</w:t>
            </w:r>
          </w:p>
        </w:tc>
        <w:tc>
          <w:tcPr>
            <w:tcW w:w="21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1,176</w:t>
            </w:r>
          </w:p>
        </w:tc>
        <w:tc>
          <w:tcPr>
            <w:tcW w:w="24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E5E5E5"/>
          </w:tcPr>
          <w:p>
            <w:pPr>
              <w:spacing w:after="0"/>
              <w:rPr>
                <w:sz w:val="18"/>
                <w:szCs w:val="18"/>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Theme Parks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615</w:t>
            </w:r>
          </w:p>
        </w:tc>
        <w:tc>
          <w:tcPr>
            <w:tcW w:w="24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21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w:t>
            </w:r>
          </w:p>
        </w:tc>
        <w:tc>
          <w:tcPr>
            <w:tcW w:w="24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E5E5E5"/>
          </w:tcPr>
          <w:p>
            <w:pPr>
              <w:spacing w:after="0"/>
              <w:rPr>
                <w:sz w:val="18"/>
                <w:szCs w:val="18"/>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2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400" w:type="dxa"/>
            <w:vAlign w:val="bottom"/>
            <w:tcBorders>
              <w:bottom w:val="single" w:sz="8" w:color="auto"/>
            </w:tcBorders>
            <w:gridSpan w:val="2"/>
            <w:shd w:val="clear" w:color="auto" w:fill="E5E5E5"/>
          </w:tcPr>
          <w:p>
            <w:pPr>
              <w:ind w:left="22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7"/>
              </w:rPr>
              <w:t>6,016</w:t>
            </w:r>
          </w:p>
        </w:tc>
        <w:tc>
          <w:tcPr>
            <w:tcW w:w="2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1,434</w:t>
            </w: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370</w:t>
            </w:r>
          </w:p>
        </w:tc>
        <w:tc>
          <w:tcPr>
            <w:tcW w:w="3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1,064</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298</w:t>
            </w:r>
          </w:p>
        </w:tc>
        <w:tc>
          <w:tcPr>
            <w:tcW w:w="0" w:type="dxa"/>
            <w:vAlign w:val="bottom"/>
          </w:tcPr>
          <w:p>
            <w:pPr>
              <w:spacing w:after="0"/>
              <w:rPr>
                <w:sz w:val="1"/>
                <w:szCs w:val="1"/>
                <w:color w:val="auto"/>
              </w:rPr>
            </w:pPr>
          </w:p>
        </w:tc>
      </w:tr>
      <w:tr>
        <w:trPr>
          <w:trHeight w:val="284"/>
        </w:trPr>
        <w:tc>
          <w:tcPr>
            <w:tcW w:w="3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left="597"/>
              <w:spacing w:after="0"/>
              <w:rPr>
                <w:sz w:val="20"/>
                <w:szCs w:val="20"/>
                <w:color w:val="auto"/>
              </w:rPr>
            </w:pPr>
            <w:r>
              <w:rPr>
                <w:rFonts w:ascii="Arial" w:cs="Arial" w:eastAsia="Arial" w:hAnsi="Arial"/>
                <w:sz w:val="14"/>
                <w:szCs w:val="14"/>
                <w:color w:val="auto"/>
                <w:w w:val="86"/>
              </w:rPr>
              <w:t>Three Months Ended June 30, 2013</w:t>
            </w: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6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4"/>
              </w:rPr>
              <w:t>Operating Income (Loss)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7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color w:val="auto"/>
                <w:w w:val="94"/>
              </w:rPr>
              <w:t>Revenue</w:t>
            </w:r>
            <w:r>
              <w:rPr>
                <w:rFonts w:ascii="Arial" w:cs="Arial" w:eastAsia="Arial" w:hAnsi="Arial"/>
                <w:sz w:val="22"/>
                <w:szCs w:val="22"/>
                <w:color w:val="auto"/>
                <w:w w:val="94"/>
                <w:vertAlign w:val="superscript"/>
              </w:rPr>
              <w:t>(d)</w:t>
            </w:r>
          </w:p>
        </w:tc>
        <w:tc>
          <w:tcPr>
            <w:tcW w:w="156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5"/>
              </w:rPr>
              <w:t>Before Depreciation and</w:t>
            </w:r>
          </w:p>
        </w:tc>
        <w:tc>
          <w:tcPr>
            <w:tcW w:w="108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2"/>
              </w:rPr>
              <w:t>Depreciation and</w:t>
            </w:r>
          </w:p>
        </w:tc>
        <w:tc>
          <w:tcPr>
            <w:tcW w:w="120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2"/>
              </w:rPr>
              <w:t>Amortization</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2400" w:type="dxa"/>
            <w:vAlign w:val="bottom"/>
            <w:gridSpan w:val="2"/>
            <w:shd w:val="clear" w:color="auto" w:fill="E5E5E5"/>
          </w:tcPr>
          <w:p>
            <w:pPr>
              <w:ind w:left="2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2,413</w:t>
            </w:r>
          </w:p>
        </w:tc>
        <w:tc>
          <w:tcPr>
            <w:tcW w:w="2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860</w:t>
            </w: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182</w:t>
            </w:r>
          </w:p>
        </w:tc>
        <w:tc>
          <w:tcPr>
            <w:tcW w:w="3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678</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Broadcast Television</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1,732</w:t>
            </w:r>
          </w:p>
        </w:tc>
        <w:tc>
          <w:tcPr>
            <w:tcW w:w="24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(a)</w:t>
            </w:r>
          </w:p>
        </w:tc>
        <w:tc>
          <w:tcPr>
            <w:tcW w:w="21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1,388</w:t>
            </w:r>
          </w:p>
        </w:tc>
        <w:tc>
          <w:tcPr>
            <w:tcW w:w="24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33</w:t>
            </w:r>
          </w:p>
        </w:tc>
        <w:tc>
          <w:tcPr>
            <w:tcW w:w="160" w:type="dxa"/>
            <w:vAlign w:val="bottom"/>
            <w:shd w:val="clear" w:color="auto" w:fill="E5E5E5"/>
          </w:tcPr>
          <w:p>
            <w:pPr>
              <w:spacing w:after="0"/>
              <w:rPr>
                <w:sz w:val="18"/>
                <w:szCs w:val="18"/>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30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Theme Parks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21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w:t>
            </w:r>
          </w:p>
        </w:tc>
        <w:tc>
          <w:tcPr>
            <w:tcW w:w="24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E5E5E5"/>
          </w:tcPr>
          <w:p>
            <w:pPr>
              <w:spacing w:after="0"/>
              <w:rPr>
                <w:sz w:val="18"/>
                <w:szCs w:val="18"/>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2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400" w:type="dxa"/>
            <w:vAlign w:val="bottom"/>
            <w:tcBorders>
              <w:bottom w:val="single" w:sz="8" w:color="auto"/>
            </w:tcBorders>
            <w:gridSpan w:val="2"/>
            <w:shd w:val="clear" w:color="auto" w:fill="E5E5E5"/>
          </w:tcPr>
          <w:p>
            <w:pPr>
              <w:ind w:left="22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7"/>
              </w:rPr>
              <w:t>5,995</w:t>
            </w:r>
          </w:p>
        </w:tc>
        <w:tc>
          <w:tcPr>
            <w:tcW w:w="2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1,191</w:t>
            </w: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349</w:t>
            </w:r>
          </w:p>
        </w:tc>
        <w:tc>
          <w:tcPr>
            <w:tcW w:w="3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842</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84"/>
        </w:trPr>
        <w:tc>
          <w:tcPr>
            <w:tcW w:w="3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left="597"/>
              <w:spacing w:after="0"/>
              <w:rPr>
                <w:sz w:val="20"/>
                <w:szCs w:val="20"/>
                <w:color w:val="auto"/>
              </w:rPr>
            </w:pPr>
            <w:r>
              <w:rPr>
                <w:rFonts w:ascii="Arial" w:cs="Arial" w:eastAsia="Arial" w:hAnsi="Arial"/>
                <w:sz w:val="14"/>
                <w:szCs w:val="14"/>
                <w:color w:val="auto"/>
                <w:w w:val="86"/>
              </w:rPr>
              <w:t>Six Months Ended June 30, 2014</w:t>
            </w: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6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4"/>
              </w:rPr>
              <w:t>Operating Income (Loss)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7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color w:val="auto"/>
                <w:w w:val="94"/>
              </w:rPr>
              <w:t>Revenue</w:t>
            </w:r>
            <w:r>
              <w:rPr>
                <w:rFonts w:ascii="Arial" w:cs="Arial" w:eastAsia="Arial" w:hAnsi="Arial"/>
                <w:sz w:val="22"/>
                <w:szCs w:val="22"/>
                <w:color w:val="auto"/>
                <w:w w:val="94"/>
                <w:vertAlign w:val="superscript"/>
              </w:rPr>
              <w:t>(d)</w:t>
            </w:r>
          </w:p>
        </w:tc>
        <w:tc>
          <w:tcPr>
            <w:tcW w:w="156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5"/>
              </w:rPr>
              <w:t>Before Depreciation and</w:t>
            </w:r>
          </w:p>
        </w:tc>
        <w:tc>
          <w:tcPr>
            <w:tcW w:w="108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2"/>
              </w:rPr>
              <w:t>Depreciation and</w:t>
            </w:r>
          </w:p>
        </w:tc>
        <w:tc>
          <w:tcPr>
            <w:tcW w:w="120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2"/>
              </w:rPr>
              <w:t>Amortization</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2400" w:type="dxa"/>
            <w:vAlign w:val="bottom"/>
            <w:gridSpan w:val="2"/>
            <w:shd w:val="clear" w:color="auto" w:fill="E5E5E5"/>
          </w:tcPr>
          <w:p>
            <w:pPr>
              <w:ind w:left="2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4,981</w:t>
            </w:r>
          </w:p>
        </w:tc>
        <w:tc>
          <w:tcPr>
            <w:tcW w:w="2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1,809</w:t>
            </w: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369</w:t>
            </w:r>
          </w:p>
        </w:tc>
        <w:tc>
          <w:tcPr>
            <w:tcW w:w="3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1,440</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Broadcast Television</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4,437</w:t>
            </w:r>
          </w:p>
        </w:tc>
        <w:tc>
          <w:tcPr>
            <w:tcW w:w="24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(a)</w:t>
            </w:r>
          </w:p>
        </w:tc>
        <w:tc>
          <w:tcPr>
            <w:tcW w:w="21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2,527</w:t>
            </w:r>
          </w:p>
        </w:tc>
        <w:tc>
          <w:tcPr>
            <w:tcW w:w="24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E5E5E5"/>
          </w:tcPr>
          <w:p>
            <w:pPr>
              <w:spacing w:after="0"/>
              <w:rPr>
                <w:sz w:val="18"/>
                <w:szCs w:val="18"/>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Theme Parks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1,102</w:t>
            </w:r>
          </w:p>
        </w:tc>
        <w:tc>
          <w:tcPr>
            <w:tcW w:w="24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21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w:t>
            </w:r>
          </w:p>
        </w:tc>
        <w:tc>
          <w:tcPr>
            <w:tcW w:w="24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E5E5E5"/>
          </w:tcPr>
          <w:p>
            <w:pPr>
              <w:spacing w:after="0"/>
              <w:rPr>
                <w:sz w:val="18"/>
                <w:szCs w:val="18"/>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2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980" w:type="dxa"/>
            <w:vAlign w:val="bottom"/>
            <w:tcBorders>
              <w:bottom w:val="single" w:sz="8" w:color="auto"/>
            </w:tcBorders>
            <w:gridSpan w:val="3"/>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$ 12,892</w:t>
            </w:r>
          </w:p>
        </w:tc>
        <w:tc>
          <w:tcPr>
            <w:tcW w:w="2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2,745</w:t>
            </w: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735</w:t>
            </w:r>
          </w:p>
        </w:tc>
        <w:tc>
          <w:tcPr>
            <w:tcW w:w="3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589</w:t>
            </w:r>
          </w:p>
        </w:tc>
        <w:tc>
          <w:tcPr>
            <w:tcW w:w="0" w:type="dxa"/>
            <w:vAlign w:val="bottom"/>
          </w:tcPr>
          <w:p>
            <w:pPr>
              <w:spacing w:after="0"/>
              <w:rPr>
                <w:sz w:val="1"/>
                <w:szCs w:val="1"/>
                <w:color w:val="auto"/>
              </w:rPr>
            </w:pPr>
          </w:p>
        </w:tc>
      </w:tr>
      <w:tr>
        <w:trPr>
          <w:trHeight w:val="363"/>
        </w:trPr>
        <w:tc>
          <w:tcPr>
            <w:tcW w:w="37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color w:val="auto"/>
                <w:w w:val="91"/>
              </w:rPr>
              <w:t>Six Months Ended June 30, 2013</w:t>
            </w: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6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4"/>
              </w:rPr>
              <w:t>Operating Income (Loss)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0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color w:val="auto"/>
                <w:w w:val="94"/>
              </w:rPr>
              <w:t>Revenue</w:t>
            </w:r>
            <w:r>
              <w:rPr>
                <w:rFonts w:ascii="Arial" w:cs="Arial" w:eastAsia="Arial" w:hAnsi="Arial"/>
                <w:sz w:val="22"/>
                <w:szCs w:val="22"/>
                <w:color w:val="auto"/>
                <w:w w:val="94"/>
                <w:vertAlign w:val="superscript"/>
              </w:rPr>
              <w:t>(d)</w:t>
            </w:r>
          </w:p>
        </w:tc>
        <w:tc>
          <w:tcPr>
            <w:tcW w:w="156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5"/>
              </w:rPr>
              <w:t>Before Depreciation and</w:t>
            </w:r>
          </w:p>
        </w:tc>
        <w:tc>
          <w:tcPr>
            <w:tcW w:w="108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2"/>
              </w:rPr>
              <w:t>Depreciation and</w:t>
            </w:r>
          </w:p>
        </w:tc>
        <w:tc>
          <w:tcPr>
            <w:tcW w:w="120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2"/>
              </w:rPr>
              <w:t>Amortization</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4,638</w:t>
            </w:r>
          </w:p>
        </w:tc>
        <w:tc>
          <w:tcPr>
            <w:tcW w:w="2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1,719</w:t>
            </w: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366</w:t>
            </w:r>
          </w:p>
        </w:tc>
        <w:tc>
          <w:tcPr>
            <w:tcW w:w="3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1,353</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Broadcast Television</w:t>
            </w:r>
          </w:p>
        </w:tc>
        <w:tc>
          <w:tcPr>
            <w:tcW w:w="18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3,249</w:t>
            </w:r>
          </w:p>
        </w:tc>
        <w:tc>
          <w:tcPr>
            <w:tcW w:w="24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(a)</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2,604</w:t>
            </w:r>
          </w:p>
        </w:tc>
        <w:tc>
          <w:tcPr>
            <w:tcW w:w="24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E5E5E5"/>
          </w:tcPr>
          <w:p>
            <w:pPr>
              <w:spacing w:after="0"/>
              <w:rPr>
                <w:sz w:val="18"/>
                <w:szCs w:val="18"/>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95</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Theme Parks</w:t>
            </w:r>
          </w:p>
        </w:tc>
        <w:tc>
          <w:tcPr>
            <w:tcW w:w="18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1,008</w:t>
            </w:r>
          </w:p>
        </w:tc>
        <w:tc>
          <w:tcPr>
            <w:tcW w:w="24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18</w:t>
            </w:r>
          </w:p>
        </w:tc>
        <w:tc>
          <w:tcPr>
            <w:tcW w:w="24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E5E5E5"/>
          </w:tcPr>
          <w:p>
            <w:pPr>
              <w:spacing w:after="0"/>
              <w:rPr>
                <w:sz w:val="18"/>
                <w:szCs w:val="18"/>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87"/>
              </w:rPr>
              <w:t>11,335</w:t>
            </w:r>
          </w:p>
        </w:tc>
        <w:tc>
          <w:tcPr>
            <w:tcW w:w="2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2,144</w:t>
            </w: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693</w:t>
            </w:r>
          </w:p>
        </w:tc>
        <w:tc>
          <w:tcPr>
            <w:tcW w:w="3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1,451</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523</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hanging="332"/>
        <w:spacing w:after="0" w:line="233"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Beginning in 2014, Fandango, our movie ticketing and entertainment business that was previously presented in our Cable Networks segment, is now presented in the Filmed Entertainment segment to reflect the change in our current management reporting presentation. Due to immateriality, prior period amounts have not been adjusted. The change in presentation resulted in the reclassification of $195 million of goodwill from our Cable Networks segment to our Filmed Entertainment segment.</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24, 2014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24, 2014</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24, 2014</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Principal Executive Officer, and Michael J. Angelakis, the Principal Financial Officer, of NBCUniversal Media, LLC,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2"/>
    </w:lvl>
    <w:lvl w:ilvl="1">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
      <w:numFmt w:val="bullet"/>
      <w:start w:val="1"/>
    </w:lvl>
    <w:lvl w:ilvl="1">
      <w:lvlJc w:val="left"/>
      <w:lvlText w:val="%2"/>
      <w:numFmt w:val="decimal"/>
      <w:start w:val="101"/>
    </w:lvl>
  </w:abstractNum>
  <w:abstractNum w:abstractNumId="11">
    <w:nsid w:val="25E45D32"/>
    <w:multiLevelType w:val="hybridMultilevel"/>
    <w:lvl w:ilvl="0">
      <w:lvlJc w:val="left"/>
      <w:lvlText w:val="%1"/>
      <w:numFmt w:val="decimal"/>
      <w:start w:val="10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2019-12-07T03:24:38Z</dcterms:created>
  <dcterms:modified xsi:type="dcterms:W3CDTF">2019-12-07T03:24:38Z</dcterms:modified>
</cp:coreProperties>
</file>