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115570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156210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133350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Comcast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124460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5"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2540" w:type="dxa"/>
            <w:vAlign w:val="bottom"/>
          </w:tcPr>
          <w:p>
            <w:pPr>
              <w:spacing w:after="0"/>
              <w:rPr>
                <w:sz w:val="18"/>
                <w:szCs w:val="18"/>
                <w:color w:val="auto"/>
              </w:rPr>
            </w:pPr>
          </w:p>
        </w:tc>
        <w:tc>
          <w:tcPr>
            <w:tcW w:w="4820" w:type="dxa"/>
            <w:vAlign w:val="bottom"/>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r>
        <w:trPr>
          <w:trHeight w:val="190"/>
        </w:trPr>
        <w:tc>
          <w:tcPr>
            <w:tcW w:w="2540" w:type="dxa"/>
            <w:vAlign w:val="bottom"/>
          </w:tcPr>
          <w:p>
            <w:pPr>
              <w:spacing w:after="0"/>
              <w:rPr>
                <w:sz w:val="16"/>
                <w:szCs w:val="16"/>
                <w:color w:val="auto"/>
              </w:rPr>
            </w:pPr>
          </w:p>
        </w:tc>
        <w:tc>
          <w:tcPr>
            <w:tcW w:w="4820" w:type="dxa"/>
            <w:vAlign w:val="bottom"/>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r>
      <w:tr>
        <w:trPr>
          <w:trHeight w:val="255"/>
        </w:trPr>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4820" w:type="dxa"/>
            <w:vAlign w:val="bottom"/>
          </w:tcPr>
          <w:p>
            <w:pPr>
              <w:jc w:val="center"/>
              <w:ind w:left="3620"/>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148"/>
        </w:trPr>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4820" w:type="dxa"/>
            <w:vAlign w:val="bottom"/>
          </w:tcPr>
          <w:p>
            <w:pPr>
              <w:jc w:val="center"/>
              <w:ind w:left="362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820" w:type="dxa"/>
            <w:vAlign w:val="bottom"/>
          </w:tcPr>
          <w:p>
            <w:pPr>
              <w:jc w:val="center"/>
              <w:ind w:left="36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1"/>
        </w:trPr>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4820" w:type="dxa"/>
            <w:vAlign w:val="bottom"/>
          </w:tcPr>
          <w:p>
            <w:pPr>
              <w:spacing w:after="0"/>
              <w:rPr>
                <w:sz w:val="23"/>
                <w:szCs w:val="23"/>
                <w:color w:val="auto"/>
              </w:rPr>
            </w:pPr>
          </w:p>
        </w:tc>
      </w:tr>
      <w:tr>
        <w:trPr>
          <w:trHeight w:val="227"/>
        </w:trPr>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4820" w:type="dxa"/>
            <w:vAlign w:val="bottom"/>
          </w:tcPr>
          <w:p>
            <w:pPr>
              <w:jc w:val="center"/>
              <w:ind w:left="3620"/>
              <w:spacing w:after="0"/>
              <w:rPr>
                <w:sz w:val="20"/>
                <w:szCs w:val="20"/>
                <w:color w:val="auto"/>
              </w:rPr>
            </w:pPr>
            <w:r>
              <w:rPr>
                <w:rFonts w:ascii="Times New Roman" w:cs="Times New Roman" w:eastAsia="Times New Roman" w:hAnsi="Times New Roman"/>
                <w:sz w:val="18"/>
                <w:szCs w:val="18"/>
                <w:b w:val="1"/>
                <w:bCs w:val="1"/>
                <w:color w:val="auto"/>
              </w:rPr>
              <w:t>19103-2838</w:t>
            </w:r>
          </w:p>
        </w:tc>
      </w:tr>
      <w:tr>
        <w:trPr>
          <w:trHeight w:val="190"/>
        </w:trPr>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20" w:type="dxa"/>
            <w:vAlign w:val="bottom"/>
          </w:tcPr>
          <w:p>
            <w:pPr>
              <w:jc w:val="center"/>
              <w:ind w:left="362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286-1700</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127635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57" w:lineRule="exact"/>
        <w:rPr>
          <w:sz w:val="24"/>
          <w:szCs w:val="24"/>
          <w:color w:val="auto"/>
        </w:rPr>
      </w:pPr>
    </w:p>
    <w:p>
      <w:pPr>
        <w:ind w:right="40" w:firstLine="44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14a-12(b) under the Exchange Act (17 CFR 240.14a-12)</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0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4060" w:type="dxa"/>
            <w:vAlign w:val="bottom"/>
            <w:gridSpan w:val="2"/>
            <w:vMerge w:val="continue"/>
          </w:tcPr>
          <w:p>
            <w:pPr>
              <w:spacing w:after="0"/>
              <w:rPr>
                <w:sz w:val="16"/>
                <w:szCs w:val="16"/>
                <w:color w:val="auto"/>
              </w:rPr>
            </w:pPr>
          </w:p>
        </w:tc>
        <w:tc>
          <w:tcPr>
            <w:tcW w:w="3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40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6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CMCSA</w:t>
            </w:r>
          </w:p>
        </w:tc>
        <w:tc>
          <w:tcPr>
            <w:tcW w:w="100" w:type="dxa"/>
            <w:vAlign w:val="bottom"/>
          </w:tcPr>
          <w:p>
            <w:pPr>
              <w:spacing w:after="0"/>
              <w:rPr>
                <w:sz w:val="16"/>
                <w:szCs w:val="16"/>
                <w:color w:val="auto"/>
              </w:rPr>
            </w:pPr>
          </w:p>
        </w:tc>
        <w:tc>
          <w:tcPr>
            <w:tcW w:w="34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16"/>
        </w:trPr>
        <w:tc>
          <w:tcPr>
            <w:tcW w:w="4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CMCS26</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16"/>
        </w:trPr>
        <w:tc>
          <w:tcPr>
            <w:tcW w:w="4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CMCS27</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16"/>
        </w:trPr>
        <w:tc>
          <w:tcPr>
            <w:tcW w:w="4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CMCS29</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16"/>
        </w:trPr>
        <w:tc>
          <w:tcPr>
            <w:tcW w:w="4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3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CMCS29A</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16"/>
        </w:trPr>
        <w:tc>
          <w:tcPr>
            <w:tcW w:w="4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CMCS32</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16"/>
        </w:trPr>
        <w:tc>
          <w:tcPr>
            <w:tcW w:w="4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CMCS36</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16"/>
        </w:trPr>
        <w:tc>
          <w:tcPr>
            <w:tcW w:w="4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CMCS40</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216"/>
        </w:trPr>
        <w:tc>
          <w:tcPr>
            <w:tcW w:w="4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3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CCGBP29</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0" w:type="dxa"/>
            <w:vAlign w:val="bottom"/>
          </w:tcPr>
          <w:p>
            <w:pPr>
              <w:spacing w:after="0"/>
              <w:rPr>
                <w:sz w:val="1"/>
                <w:szCs w:val="1"/>
                <w:color w:val="auto"/>
              </w:rPr>
            </w:pPr>
          </w:p>
        </w:tc>
      </w:tr>
      <w:tr>
        <w:trPr>
          <w:trHeight w:val="234"/>
        </w:trPr>
        <w:tc>
          <w:tcPr>
            <w:tcW w:w="40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2.0% Exchangeable Subordinated Debentures due 2029</w:t>
            </w:r>
          </w:p>
        </w:tc>
        <w:tc>
          <w:tcPr>
            <w:tcW w:w="3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CCZ</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1"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111125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May 22, 2024, Comcast Corporation (“Comcast”) consummated the issuance and sale of $750,000,000 aggregate principal amount of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5.100% Notes due 2029 (the “2029 Notes”), $1,300,000,000 aggregate principal amount of its 5.300% Notes due 2034 (the “2034 Notes”)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$1,200,000,000 aggregate principal amount of its 5.650% Notes due 2054 (the “2054 Notes” and, together with the 2029 Notes and the 2034 Notes,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pursuant to an underwriting agreement dated May 20, 2024 among Comcast, the Guarantors (as defined below) and 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 and Santander US Capital Markets LLC, as representatives of the several underwriters named therein. The Notes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pursuant to an Indenture dated as of September 18, 2013 (the “Base Indenture”) among Comcast, the guarantors named therein and The Bank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Mellon, as trustee (the “Trustee”), as supplemented by the First Supplemental Indenture dated as of November 17, 2015 (the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Indenture”) among Comcast, the guarantors named therein and the Trustee and as further supplemented by the Second Supplemental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dated as of July 29, 2022 (the “Second Supplemental Indenture”) among Comcast, the guarantors named therein and the Trustee, and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certificate issued pursuant thereto. The Notes are guaranteed on an unsecured and unsubordinated basis by Comcast Cable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and NBCUniversal Media, LLC (the “Guarantors”).</w:t>
      </w:r>
    </w:p>
    <w:p>
      <w:pPr>
        <w:spacing w:after="0" w:line="207"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The Notes were offered pursuant to Comcast’s Registration Statement on Form S-3 filed on July 29, 2022 (the “Registration Statement”), as amended at the date of the underwriting agreement (Reg. No. 333-266390), including the prospectus contained therein, and a related prospectus supplement, dated May 20, 2024.</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material terms and conditions of the Notes are set forth (i) in the Form of Officers’ Certificate filed herewith as Exhibit 4.1, (ii) in the Base Indenture, filed as Exhibit 4.3 to Comcast’s Registration Statement on Form S-3, as amended, filed on September 18, 2013 (Reg. No 333-191239), (iii) in the First Supplemental Indenture, filed as Exhibit 4.4 to Comcast’s Post Effective Amendment No. 2 to Registration Statement on Form S-3, filed on November 23, 2015 (Reg. No 333-191239) and (iv) in the Second Supplemental Indenture, which was filed as Exhibit 4.4 to the Registration Statement, each of which are incorporated by reference herein.</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9.01(d)</w:t>
            </w:r>
          </w:p>
        </w:tc>
        <w:tc>
          <w:tcPr>
            <w:tcW w:w="998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45"/>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8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4"/>
                <w:szCs w:val="24"/>
                <w:color w:val="auto"/>
              </w:rPr>
            </w:pPr>
          </w:p>
        </w:tc>
        <w:tc>
          <w:tcPr>
            <w:tcW w:w="4680" w:type="dxa"/>
            <w:vAlign w:val="bottom"/>
            <w:tcBorders>
              <w:top w:val="single" w:sz="8" w:color="auto"/>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Form of Officers’ Certificate setting forth the terms of the Notes.</w:t>
            </w:r>
          </w:p>
        </w:tc>
        <w:tc>
          <w:tcPr>
            <w:tcW w:w="530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Opinion of Elizabeth Wideman, Esq.</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540" w:type="dxa"/>
            <w:vAlign w:val="bottom"/>
          </w:tcPr>
          <w:p>
            <w:pPr>
              <w:spacing w:after="0"/>
              <w:rPr>
                <w:sz w:val="24"/>
                <w:szCs w:val="24"/>
                <w:color w:val="auto"/>
              </w:rPr>
            </w:pPr>
          </w:p>
        </w:tc>
        <w:tc>
          <w:tcPr>
            <w:tcW w:w="29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Opinion of Davis Polk &amp; Wardwell LLP.</w:t>
            </w:r>
          </w:p>
        </w:tc>
        <w:tc>
          <w:tcPr>
            <w:tcW w:w="70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Elizabeth Wideman, Esq. (contained in Exhibit 5.1)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4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Davis Polk &amp; Wardwell LLP (contained in Exhibit 5.2)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0" w:type="dxa"/>
            <w:vAlign w:val="bottom"/>
            <w:gridSpan w:val="5"/>
            <w:shd w:val="clear" w:color="auto" w:fill="0000EE"/>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70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2024</w:t>
            </w: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Elizabeth Wideman</w:t>
            </w:r>
          </w:p>
        </w:tc>
      </w:tr>
      <w:tr>
        <w:trPr>
          <w:trHeight w:val="205"/>
        </w:trPr>
        <w:tc>
          <w:tcPr>
            <w:tcW w:w="3320" w:type="dxa"/>
            <w:vAlign w:val="bottom"/>
          </w:tcPr>
          <w:p>
            <w:pPr>
              <w:spacing w:after="0"/>
              <w:rPr>
                <w:sz w:val="17"/>
                <w:szCs w:val="17"/>
                <w:color w:val="auto"/>
              </w:rPr>
            </w:pPr>
          </w:p>
        </w:tc>
        <w:tc>
          <w:tcPr>
            <w:tcW w:w="2520" w:type="dxa"/>
            <w:vAlign w:val="bottom"/>
          </w:tcPr>
          <w:p>
            <w:pPr>
              <w:ind w:left="18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Elizabeth Wideman</w:t>
            </w:r>
          </w:p>
        </w:tc>
      </w:tr>
      <w:tr>
        <w:trPr>
          <w:trHeight w:val="216"/>
        </w:trPr>
        <w:tc>
          <w:tcPr>
            <w:tcW w:w="3320" w:type="dxa"/>
            <w:vAlign w:val="bottom"/>
          </w:tcPr>
          <w:p>
            <w:pPr>
              <w:spacing w:after="0"/>
              <w:rPr>
                <w:sz w:val="18"/>
                <w:szCs w:val="18"/>
                <w:color w:val="auto"/>
              </w:rPr>
            </w:pPr>
          </w:p>
        </w:tc>
        <w:tc>
          <w:tcPr>
            <w:tcW w:w="2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Senior Deputy General Counsel and Assistant</w:t>
            </w:r>
          </w:p>
        </w:tc>
      </w:tr>
      <w:tr>
        <w:trPr>
          <w:trHeight w:val="234"/>
        </w:trPr>
        <w:tc>
          <w:tcPr>
            <w:tcW w:w="33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Officers’ Certificate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22, 2024</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Section 2.03 of the Indenture dated as of September 18, 2013, by and among Comcast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guarantors named therein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supplemented by the First Supplemental Indenture dated as of November 17, 2015 by and among Comcast, the guarantors named therein and the Trustee and as further supplemented by the second Supplemental Indenture dated as of July 29, 2022 (as amended,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among the Company, the guarantors named therein and the Trustee, and guaranteed on an unsecured and unsubordinated basis by Comcast Cable Communications, LLC and NBCUniversal Media, LLC, the undersigned officers of the Company do hereby certify, in connection with the issuance of the Company’s $750,000,000 aggregate principal amount of 5.100% Notes due 2029 (the “</w:t>
      </w:r>
      <w:r>
        <w:rPr>
          <w:rFonts w:ascii="Times New Roman" w:cs="Times New Roman" w:eastAsia="Times New Roman" w:hAnsi="Times New Roman"/>
          <w:sz w:val="18"/>
          <w:szCs w:val="18"/>
          <w:b w:val="1"/>
          <w:bCs w:val="1"/>
          <w:color w:val="auto"/>
        </w:rPr>
        <w:t>2029 Notes</w:t>
      </w:r>
      <w:r>
        <w:rPr>
          <w:rFonts w:ascii="Times New Roman" w:cs="Times New Roman" w:eastAsia="Times New Roman" w:hAnsi="Times New Roman"/>
          <w:sz w:val="18"/>
          <w:szCs w:val="18"/>
          <w:color w:val="auto"/>
        </w:rPr>
        <w:t>”), $1,300,000,000 aggregate principal amount of 5.300% Notes due 2034 (the “</w:t>
      </w:r>
      <w:r>
        <w:rPr>
          <w:rFonts w:ascii="Times New Roman" w:cs="Times New Roman" w:eastAsia="Times New Roman" w:hAnsi="Times New Roman"/>
          <w:sz w:val="18"/>
          <w:szCs w:val="18"/>
          <w:b w:val="1"/>
          <w:bCs w:val="1"/>
          <w:color w:val="auto"/>
        </w:rPr>
        <w:t>2034 Notes</w:t>
      </w:r>
      <w:r>
        <w:rPr>
          <w:rFonts w:ascii="Times New Roman" w:cs="Times New Roman" w:eastAsia="Times New Roman" w:hAnsi="Times New Roman"/>
          <w:sz w:val="18"/>
          <w:szCs w:val="18"/>
          <w:color w:val="auto"/>
        </w:rPr>
        <w:t>”) and $1,200,000,000 aggregate principal amount of 5.650% Notes due 2054 (the “</w:t>
      </w:r>
      <w:r>
        <w:rPr>
          <w:rFonts w:ascii="Times New Roman" w:cs="Times New Roman" w:eastAsia="Times New Roman" w:hAnsi="Times New Roman"/>
          <w:sz w:val="18"/>
          <w:szCs w:val="18"/>
          <w:b w:val="1"/>
          <w:bCs w:val="1"/>
          <w:color w:val="auto"/>
        </w:rPr>
        <w:t>2054 Notes</w:t>
      </w:r>
      <w:r>
        <w:rPr>
          <w:rFonts w:ascii="Times New Roman" w:cs="Times New Roman" w:eastAsia="Times New Roman" w:hAnsi="Times New Roman"/>
          <w:sz w:val="18"/>
          <w:szCs w:val="18"/>
          <w:color w:val="auto"/>
        </w:rPr>
        <w:t>” and, together with the 2029 Notes and the 2034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that the terms of the Notes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5.</w:t>
            </w:r>
            <w:r>
              <w:rPr>
                <w:rFonts w:ascii="Times New Roman" w:cs="Times New Roman" w:eastAsia="Times New Roman" w:hAnsi="Times New Roman"/>
                <w:sz w:val="18"/>
                <w:szCs w:val="18"/>
                <w:b w:val="1"/>
                <w:bCs w:val="1"/>
                <w:u w:val="single" w:color="auto"/>
                <w:color w:val="auto"/>
                <w:w w:val="99"/>
              </w:rPr>
              <w:t>100%</w:t>
            </w:r>
            <w:r>
              <w:rPr>
                <w:rFonts w:ascii="Times New Roman" w:cs="Times New Roman" w:eastAsia="Times New Roman" w:hAnsi="Times New Roman"/>
                <w:sz w:val="18"/>
                <w:szCs w:val="18"/>
                <w:b w:val="1"/>
                <w:bCs w:val="1"/>
                <w:color w:val="auto"/>
                <w:w w:val="99"/>
              </w:rPr>
              <w:t xml:space="preserve"> Notes due 2029</w:t>
            </w:r>
          </w:p>
        </w:tc>
        <w:tc>
          <w:tcPr>
            <w:tcW w:w="4320" w:type="dxa"/>
            <w:vAlign w:val="bottom"/>
          </w:tcPr>
          <w:p>
            <w:pPr>
              <w:spacing w:after="0"/>
              <w:rPr>
                <w:sz w:val="17"/>
                <w:szCs w:val="17"/>
                <w:color w:val="auto"/>
              </w:rPr>
            </w:pPr>
          </w:p>
        </w:tc>
      </w:tr>
      <w:tr>
        <w:trPr>
          <w:trHeight w:val="453"/>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Title:</w:t>
            </w:r>
          </w:p>
        </w:tc>
        <w:tc>
          <w:tcPr>
            <w:tcW w:w="82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5.100% Notes due 2029</w:t>
            </w:r>
          </w:p>
        </w:tc>
      </w:tr>
      <w:tr>
        <w:trPr>
          <w:trHeight w:val="324"/>
        </w:trPr>
        <w:tc>
          <w:tcPr>
            <w:tcW w:w="107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 xml:space="preserve">Aggregate Principal Amount at Maturity:   </w:t>
            </w:r>
            <w:r>
              <w:rPr>
                <w:rFonts w:ascii="Times New Roman" w:cs="Times New Roman" w:eastAsia="Times New Roman" w:hAnsi="Times New Roman"/>
                <w:sz w:val="18"/>
                <w:szCs w:val="18"/>
                <w:color w:val="auto"/>
              </w:rPr>
              <w:t>$750,000,000</w:t>
            </w:r>
          </w:p>
        </w:tc>
      </w:tr>
      <w:tr>
        <w:trPr>
          <w:trHeight w:val="324"/>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Payment Date:</w:t>
            </w:r>
          </w:p>
        </w:tc>
        <w:tc>
          <w:tcPr>
            <w:tcW w:w="82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June 1, 2029</w:t>
            </w:r>
          </w:p>
        </w:tc>
      </w:tr>
      <w:tr>
        <w:trPr>
          <w:trHeight w:val="324"/>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w:t>
            </w:r>
          </w:p>
        </w:tc>
        <w:tc>
          <w:tcPr>
            <w:tcW w:w="2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5.100%</w:t>
            </w:r>
          </w:p>
        </w:tc>
        <w:tc>
          <w:tcPr>
            <w:tcW w:w="180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302"/>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Redemption:</w:t>
            </w:r>
          </w:p>
        </w:tc>
        <w:tc>
          <w:tcPr>
            <w:tcW w:w="82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Prior to May 1, 2029 (one (1) month prior to the maturity date of the 2029 Notes) (the “</w:t>
            </w:r>
            <w:r>
              <w:rPr>
                <w:rFonts w:ascii="Times New Roman" w:cs="Times New Roman" w:eastAsia="Times New Roman" w:hAnsi="Times New Roman"/>
                <w:sz w:val="18"/>
                <w:szCs w:val="18"/>
                <w:b w:val="1"/>
                <w:bCs w:val="1"/>
                <w:color w:val="auto"/>
              </w:rPr>
              <w:t>2029 Par Call</w:t>
            </w:r>
          </w:p>
        </w:tc>
      </w:tr>
      <w:tr>
        <w:trPr>
          <w:trHeight w:val="238"/>
        </w:trPr>
        <w:tc>
          <w:tcPr>
            <w:tcW w:w="2500" w:type="dxa"/>
            <w:vAlign w:val="bottom"/>
          </w:tcPr>
          <w:p>
            <w:pPr>
              <w:spacing w:after="0"/>
              <w:rPr>
                <w:sz w:val="20"/>
                <w:szCs w:val="20"/>
                <w:color w:val="auto"/>
              </w:rPr>
            </w:pPr>
          </w:p>
        </w:tc>
        <w:tc>
          <w:tcPr>
            <w:tcW w:w="822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Date</w:t>
            </w:r>
            <w:r>
              <w:rPr>
                <w:rFonts w:ascii="Times New Roman" w:cs="Times New Roman" w:eastAsia="Times New Roman" w:hAnsi="Times New Roman"/>
                <w:sz w:val="18"/>
                <w:szCs w:val="18"/>
                <w:color w:val="auto"/>
                <w:w w:val="99"/>
              </w:rPr>
              <w:t>”), the Company may redeem the 2029 Notes at its option, in whole or in part, at any time and from</w:t>
            </w:r>
          </w:p>
        </w:tc>
      </w:tr>
    </w:tbl>
    <w:p>
      <w:pPr>
        <w:ind w:left="3200" w:right="80"/>
        <w:spacing w:after="0" w:line="252" w:lineRule="auto"/>
        <w:rPr>
          <w:sz w:val="20"/>
          <w:szCs w:val="20"/>
          <w:color w:val="auto"/>
        </w:rPr>
      </w:pPr>
      <w:r>
        <w:rPr>
          <w:rFonts w:ascii="Times New Roman" w:cs="Times New Roman" w:eastAsia="Times New Roman" w:hAnsi="Times New Roman"/>
          <w:sz w:val="18"/>
          <w:szCs w:val="18"/>
          <w:color w:val="auto"/>
        </w:rPr>
        <w:t>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that the 2029 Notes matured on the 2029 Par Call Date) on a semi-annual basis (assuming a 360-day year consisting of twelve 30-day months) at the Treasury Rate (as defined in the 2029 Notes) plus 10 basis points, less (b) interest accrued to the date of redemption, and (2) 100% of the principal amount of the 2029 Notes to be redeemed, plus, in either case, accrued and unpaid interest thereon to the redemption date.</w:t>
      </w:r>
    </w:p>
    <w:p>
      <w:pPr>
        <w:sectPr>
          <w:pgSz w:w="11900" w:h="16838" w:orient="portrait"/>
          <w:cols w:equalWidth="0" w:num="1">
            <w:col w:w="11020"/>
          </w:cols>
          <w:pgMar w:left="440" w:top="11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842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On or after the 2029 Par Call Date, the Company may redeem the 2029 Notes, in whole or in part, at any</w:t>
            </w:r>
          </w:p>
        </w:tc>
      </w:tr>
      <w:tr>
        <w:trPr>
          <w:trHeight w:val="216"/>
        </w:trPr>
        <w:tc>
          <w:tcPr>
            <w:tcW w:w="2500" w:type="dxa"/>
            <w:vAlign w:val="bottom"/>
          </w:tcPr>
          <w:p>
            <w:pPr>
              <w:spacing w:after="0"/>
              <w:rPr>
                <w:sz w:val="18"/>
                <w:szCs w:val="18"/>
                <w:color w:val="auto"/>
              </w:rPr>
            </w:pPr>
          </w:p>
        </w:tc>
        <w:tc>
          <w:tcPr>
            <w:tcW w:w="842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time and from time to time, at a redemption price equal to 100% of the principal amount of the 2029 Notes</w:t>
            </w:r>
          </w:p>
        </w:tc>
      </w:tr>
      <w:tr>
        <w:trPr>
          <w:trHeight w:val="234"/>
        </w:trPr>
        <w:tc>
          <w:tcPr>
            <w:tcW w:w="2500" w:type="dxa"/>
            <w:vAlign w:val="bottom"/>
          </w:tcPr>
          <w:p>
            <w:pPr>
              <w:spacing w:after="0"/>
              <w:rPr>
                <w:sz w:val="20"/>
                <w:szCs w:val="20"/>
                <w:color w:val="auto"/>
              </w:rPr>
            </w:pPr>
          </w:p>
        </w:tc>
        <w:tc>
          <w:tcPr>
            <w:tcW w:w="842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being redeemed plus accrued and unpaid interest thereon to the redemption date.</w:t>
            </w:r>
          </w:p>
        </w:tc>
      </w:tr>
      <w:tr>
        <w:trPr>
          <w:trHeight w:val="306"/>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Additional Issuances:</w:t>
            </w:r>
          </w:p>
        </w:tc>
        <w:tc>
          <w:tcPr>
            <w:tcW w:w="842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The 2029 Notes need not be issued at the same time and the series may be reopened for issuance of an</w:t>
            </w:r>
          </w:p>
        </w:tc>
      </w:tr>
      <w:tr>
        <w:trPr>
          <w:trHeight w:val="216"/>
        </w:trPr>
        <w:tc>
          <w:tcPr>
            <w:tcW w:w="2500" w:type="dxa"/>
            <w:vAlign w:val="bottom"/>
          </w:tcPr>
          <w:p>
            <w:pPr>
              <w:spacing w:after="0"/>
              <w:rPr>
                <w:sz w:val="18"/>
                <w:szCs w:val="18"/>
                <w:color w:val="auto"/>
              </w:rPr>
            </w:pPr>
          </w:p>
        </w:tc>
        <w:tc>
          <w:tcPr>
            <w:tcW w:w="842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unlimited principal amount of additional 2029 Notes under this series. Additional 2029 Notes of this series</w:t>
            </w:r>
          </w:p>
        </w:tc>
      </w:tr>
      <w:tr>
        <w:trPr>
          <w:trHeight w:val="216"/>
        </w:trPr>
        <w:tc>
          <w:tcPr>
            <w:tcW w:w="2500" w:type="dxa"/>
            <w:vAlign w:val="bottom"/>
          </w:tcPr>
          <w:p>
            <w:pPr>
              <w:spacing w:after="0"/>
              <w:rPr>
                <w:sz w:val="18"/>
                <w:szCs w:val="18"/>
                <w:color w:val="auto"/>
              </w:rPr>
            </w:pPr>
          </w:p>
        </w:tc>
        <w:tc>
          <w:tcPr>
            <w:tcW w:w="842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may be consolidated with, and form a single series with, 2029 Notes then outstanding, including for</w:t>
            </w:r>
          </w:p>
        </w:tc>
      </w:tr>
      <w:tr>
        <w:trPr>
          <w:trHeight w:val="216"/>
        </w:trPr>
        <w:tc>
          <w:tcPr>
            <w:tcW w:w="2500" w:type="dxa"/>
            <w:vAlign w:val="bottom"/>
          </w:tcPr>
          <w:p>
            <w:pPr>
              <w:spacing w:after="0"/>
              <w:rPr>
                <w:sz w:val="18"/>
                <w:szCs w:val="18"/>
                <w:color w:val="auto"/>
              </w:rPr>
            </w:pPr>
          </w:p>
        </w:tc>
        <w:tc>
          <w:tcPr>
            <w:tcW w:w="842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purposes of determining whether the required percentage of the holders of record has given approval or</w:t>
            </w:r>
          </w:p>
        </w:tc>
      </w:tr>
      <w:tr>
        <w:trPr>
          <w:trHeight w:val="216"/>
        </w:trPr>
        <w:tc>
          <w:tcPr>
            <w:tcW w:w="2500" w:type="dxa"/>
            <w:vAlign w:val="bottom"/>
          </w:tcPr>
          <w:p>
            <w:pPr>
              <w:spacing w:after="0"/>
              <w:rPr>
                <w:sz w:val="18"/>
                <w:szCs w:val="18"/>
                <w:color w:val="auto"/>
              </w:rPr>
            </w:pPr>
          </w:p>
        </w:tc>
        <w:tc>
          <w:tcPr>
            <w:tcW w:w="842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w w:val="99"/>
              </w:rPr>
              <w:t>consent to an amendment or waiver or joined in directing the Trustee to take certain actions on behalf of all</w:t>
            </w:r>
          </w:p>
        </w:tc>
      </w:tr>
      <w:tr>
        <w:trPr>
          <w:trHeight w:val="216"/>
        </w:trPr>
        <w:tc>
          <w:tcPr>
            <w:tcW w:w="2500" w:type="dxa"/>
            <w:vAlign w:val="bottom"/>
          </w:tcPr>
          <w:p>
            <w:pPr>
              <w:spacing w:after="0"/>
              <w:rPr>
                <w:sz w:val="18"/>
                <w:szCs w:val="18"/>
                <w:color w:val="auto"/>
              </w:rPr>
            </w:pPr>
          </w:p>
        </w:tc>
        <w:tc>
          <w:tcPr>
            <w:tcW w:w="842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holders; provided that if such additional 2029 Notes are not fungible with the 2029 Notes then outstanding</w:t>
            </w:r>
          </w:p>
        </w:tc>
      </w:tr>
      <w:tr>
        <w:trPr>
          <w:trHeight w:val="216"/>
        </w:trPr>
        <w:tc>
          <w:tcPr>
            <w:tcW w:w="2500" w:type="dxa"/>
            <w:vAlign w:val="bottom"/>
          </w:tcPr>
          <w:p>
            <w:pPr>
              <w:spacing w:after="0"/>
              <w:rPr>
                <w:sz w:val="18"/>
                <w:szCs w:val="18"/>
                <w:color w:val="auto"/>
              </w:rPr>
            </w:pPr>
          </w:p>
        </w:tc>
        <w:tc>
          <w:tcPr>
            <w:tcW w:w="842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for U.S. federal income tax purposes, such additional 2029 Notes will have one or more separate CUSIP</w:t>
            </w:r>
          </w:p>
        </w:tc>
      </w:tr>
      <w:tr>
        <w:trPr>
          <w:trHeight w:val="234"/>
        </w:trPr>
        <w:tc>
          <w:tcPr>
            <w:tcW w:w="2500" w:type="dxa"/>
            <w:vAlign w:val="bottom"/>
          </w:tcPr>
          <w:p>
            <w:pPr>
              <w:spacing w:after="0"/>
              <w:rPr>
                <w:sz w:val="20"/>
                <w:szCs w:val="20"/>
                <w:color w:val="auto"/>
              </w:rPr>
            </w:pPr>
          </w:p>
        </w:tc>
        <w:tc>
          <w:tcPr>
            <w:tcW w:w="842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numbers.</w:t>
            </w:r>
          </w:p>
        </w:tc>
      </w:tr>
      <w:tr>
        <w:trPr>
          <w:trHeight w:val="324"/>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Conversion:</w:t>
            </w:r>
          </w:p>
        </w:tc>
        <w:tc>
          <w:tcPr>
            <w:tcW w:w="842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None</w:t>
            </w:r>
          </w:p>
        </w:tc>
      </w:tr>
      <w:tr>
        <w:trPr>
          <w:trHeight w:val="324"/>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Sinking Fund:</w:t>
            </w:r>
          </w:p>
        </w:tc>
        <w:tc>
          <w:tcPr>
            <w:tcW w:w="842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None</w:t>
            </w:r>
          </w:p>
        </w:tc>
      </w:tr>
      <w:tr>
        <w:trPr>
          <w:trHeight w:val="302"/>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Miscellaneous:</w:t>
            </w:r>
          </w:p>
        </w:tc>
        <w:tc>
          <w:tcPr>
            <w:tcW w:w="842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The terms of the 2029 Notes shall include such other terms as are set forth in the Form of Note due 2029</w:t>
            </w:r>
          </w:p>
        </w:tc>
      </w:tr>
      <w:tr>
        <w:trPr>
          <w:trHeight w:val="198"/>
        </w:trPr>
        <w:tc>
          <w:tcPr>
            <w:tcW w:w="2500" w:type="dxa"/>
            <w:vAlign w:val="bottom"/>
          </w:tcPr>
          <w:p>
            <w:pPr>
              <w:spacing w:after="0"/>
              <w:rPr>
                <w:sz w:val="17"/>
                <w:szCs w:val="17"/>
                <w:color w:val="auto"/>
              </w:rPr>
            </w:pPr>
          </w:p>
        </w:tc>
        <w:tc>
          <w:tcPr>
            <w:tcW w:w="8420" w:type="dxa"/>
            <w:vAlign w:val="bottom"/>
            <w:gridSpan w:val="5"/>
          </w:tcPr>
          <w:p>
            <w:pPr>
              <w:ind w:left="700"/>
              <w:spacing w:after="0" w:line="198" w:lineRule="exact"/>
              <w:rPr>
                <w:sz w:val="20"/>
                <w:szCs w:val="20"/>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w:t>
            </w:r>
          </w:p>
        </w:tc>
      </w:tr>
      <w:tr>
        <w:trPr>
          <w:trHeight w:val="20"/>
        </w:trPr>
        <w:tc>
          <w:tcPr>
            <w:tcW w:w="2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412"/>
        </w:trPr>
        <w:tc>
          <w:tcPr>
            <w:tcW w:w="25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5.</w:t>
            </w:r>
            <w:r>
              <w:rPr>
                <w:rFonts w:ascii="Times New Roman" w:cs="Times New Roman" w:eastAsia="Times New Roman" w:hAnsi="Times New Roman"/>
                <w:sz w:val="18"/>
                <w:szCs w:val="18"/>
                <w:b w:val="1"/>
                <w:bCs w:val="1"/>
                <w:u w:val="single" w:color="auto"/>
                <w:color w:val="auto"/>
                <w:w w:val="99"/>
              </w:rPr>
              <w:t>300%</w:t>
            </w:r>
            <w:r>
              <w:rPr>
                <w:rFonts w:ascii="Times New Roman" w:cs="Times New Roman" w:eastAsia="Times New Roman" w:hAnsi="Times New Roman"/>
                <w:sz w:val="18"/>
                <w:szCs w:val="18"/>
                <w:b w:val="1"/>
                <w:bCs w:val="1"/>
                <w:color w:val="auto"/>
                <w:w w:val="99"/>
              </w:rPr>
              <w:t xml:space="preserve"> Notes due 2034</w:t>
            </w:r>
          </w:p>
        </w:tc>
        <w:tc>
          <w:tcPr>
            <w:tcW w:w="4520" w:type="dxa"/>
            <w:vAlign w:val="bottom"/>
          </w:tcPr>
          <w:p>
            <w:pPr>
              <w:spacing w:after="0"/>
              <w:rPr>
                <w:sz w:val="24"/>
                <w:szCs w:val="24"/>
                <w:color w:val="auto"/>
              </w:rPr>
            </w:pPr>
          </w:p>
        </w:tc>
      </w:tr>
      <w:tr>
        <w:trPr>
          <w:trHeight w:val="453"/>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Title:</w:t>
            </w:r>
          </w:p>
        </w:tc>
        <w:tc>
          <w:tcPr>
            <w:tcW w:w="842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5.300% Notes due 2034</w:t>
            </w:r>
          </w:p>
        </w:tc>
      </w:tr>
      <w:tr>
        <w:trPr>
          <w:trHeight w:val="324"/>
        </w:trPr>
        <w:tc>
          <w:tcPr>
            <w:tcW w:w="1092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 xml:space="preserve">Aggregate Principal Amount at Maturity:   </w:t>
            </w:r>
            <w:r>
              <w:rPr>
                <w:rFonts w:ascii="Times New Roman" w:cs="Times New Roman" w:eastAsia="Times New Roman" w:hAnsi="Times New Roman"/>
                <w:sz w:val="18"/>
                <w:szCs w:val="18"/>
                <w:color w:val="auto"/>
              </w:rPr>
              <w:t>$1,300,000,000</w:t>
            </w:r>
          </w:p>
        </w:tc>
      </w:tr>
      <w:tr>
        <w:trPr>
          <w:trHeight w:val="324"/>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Payment Date:</w:t>
            </w:r>
          </w:p>
        </w:tc>
        <w:tc>
          <w:tcPr>
            <w:tcW w:w="842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June 1, 2034</w:t>
            </w:r>
          </w:p>
        </w:tc>
      </w:tr>
      <w:tr>
        <w:trPr>
          <w:trHeight w:val="324"/>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w:t>
            </w:r>
          </w:p>
        </w:tc>
        <w:tc>
          <w:tcPr>
            <w:tcW w:w="2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5.300%</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20"/>
          </w:cols>
          <w:pgMar w:left="440" w:top="270" w:right="5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Redemption:</w:t>
            </w: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Prior to March 1, 2034 (three (3) months prior to the maturity date of the 2034 Notes) (the “</w:t>
            </w:r>
            <w:r>
              <w:rPr>
                <w:rFonts w:ascii="Times New Roman" w:cs="Times New Roman" w:eastAsia="Times New Roman" w:hAnsi="Times New Roman"/>
                <w:sz w:val="18"/>
                <w:szCs w:val="18"/>
                <w:b w:val="1"/>
                <w:bCs w:val="1"/>
                <w:color w:val="auto"/>
              </w:rPr>
              <w:t>2034 Par Call</w:t>
            </w:r>
          </w:p>
        </w:tc>
      </w:tr>
      <w:tr>
        <w:trPr>
          <w:trHeight w:val="220"/>
        </w:trPr>
        <w:tc>
          <w:tcPr>
            <w:tcW w:w="2380" w:type="dxa"/>
            <w:vAlign w:val="bottom"/>
          </w:tcPr>
          <w:p>
            <w:pPr>
              <w:spacing w:after="0"/>
              <w:rPr>
                <w:sz w:val="19"/>
                <w:szCs w:val="19"/>
                <w:color w:val="auto"/>
              </w:rPr>
            </w:pP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Company may redeem the 2034 Notes at its option, in whole or in part, at any time and from</w:t>
            </w:r>
          </w:p>
        </w:tc>
      </w:tr>
      <w:tr>
        <w:trPr>
          <w:trHeight w:val="216"/>
        </w:trPr>
        <w:tc>
          <w:tcPr>
            <w:tcW w:w="2380" w:type="dxa"/>
            <w:vAlign w:val="bottom"/>
          </w:tcPr>
          <w:p>
            <w:pPr>
              <w:spacing w:after="0"/>
              <w:rPr>
                <w:sz w:val="18"/>
                <w:szCs w:val="18"/>
                <w:color w:val="auto"/>
              </w:rPr>
            </w:pP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time to time, at a redemption price (expressed as a percentage of the principal amount and rounded to three</w:t>
            </w:r>
          </w:p>
        </w:tc>
      </w:tr>
      <w:tr>
        <w:trPr>
          <w:trHeight w:val="216"/>
        </w:trPr>
        <w:tc>
          <w:tcPr>
            <w:tcW w:w="2380" w:type="dxa"/>
            <w:vAlign w:val="bottom"/>
          </w:tcPr>
          <w:p>
            <w:pPr>
              <w:spacing w:after="0"/>
              <w:rPr>
                <w:sz w:val="18"/>
                <w:szCs w:val="18"/>
                <w:color w:val="auto"/>
              </w:rPr>
            </w:pP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decimal places) equal to the greater of: (1) (a) the sum of the present values of the remaining scheduled</w:t>
            </w:r>
          </w:p>
        </w:tc>
      </w:tr>
      <w:tr>
        <w:trPr>
          <w:trHeight w:val="216"/>
        </w:trPr>
        <w:tc>
          <w:tcPr>
            <w:tcW w:w="2380" w:type="dxa"/>
            <w:vAlign w:val="bottom"/>
          </w:tcPr>
          <w:p>
            <w:pPr>
              <w:spacing w:after="0"/>
              <w:rPr>
                <w:sz w:val="18"/>
                <w:szCs w:val="18"/>
                <w:color w:val="auto"/>
              </w:rPr>
            </w:pP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w w:val="99"/>
              </w:rPr>
              <w:t>payments of principal and interest thereon discounted to the redemption date (assuming that the 2034 Notes</w:t>
            </w:r>
          </w:p>
        </w:tc>
      </w:tr>
      <w:tr>
        <w:trPr>
          <w:trHeight w:val="216"/>
        </w:trPr>
        <w:tc>
          <w:tcPr>
            <w:tcW w:w="2380" w:type="dxa"/>
            <w:vAlign w:val="bottom"/>
          </w:tcPr>
          <w:p>
            <w:pPr>
              <w:spacing w:after="0"/>
              <w:rPr>
                <w:sz w:val="18"/>
                <w:szCs w:val="18"/>
                <w:color w:val="auto"/>
              </w:rPr>
            </w:pP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matured on the 2034 Par Call Date) on a semi-annual basis (assuming a 360-day year consisting of twelve</w:t>
            </w:r>
          </w:p>
        </w:tc>
      </w:tr>
      <w:tr>
        <w:trPr>
          <w:trHeight w:val="216"/>
        </w:trPr>
        <w:tc>
          <w:tcPr>
            <w:tcW w:w="2380" w:type="dxa"/>
            <w:vAlign w:val="bottom"/>
          </w:tcPr>
          <w:p>
            <w:pPr>
              <w:spacing w:after="0"/>
              <w:rPr>
                <w:sz w:val="18"/>
                <w:szCs w:val="18"/>
                <w:color w:val="auto"/>
              </w:rPr>
            </w:pP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30-day months) at the Treasury Rate (as defined in the 2034 Notes) plus 15 basis points, less (b) interest</w:t>
            </w:r>
          </w:p>
        </w:tc>
      </w:tr>
      <w:tr>
        <w:trPr>
          <w:trHeight w:val="216"/>
        </w:trPr>
        <w:tc>
          <w:tcPr>
            <w:tcW w:w="2380" w:type="dxa"/>
            <w:vAlign w:val="bottom"/>
          </w:tcPr>
          <w:p>
            <w:pPr>
              <w:spacing w:after="0"/>
              <w:rPr>
                <w:sz w:val="18"/>
                <w:szCs w:val="18"/>
                <w:color w:val="auto"/>
              </w:rPr>
            </w:pP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w w:val="99"/>
              </w:rPr>
              <w:t>accrued to the date of redemption, and (2) 100% of the principal amount of the 2034 Notes to be redeemed,</w:t>
            </w:r>
          </w:p>
        </w:tc>
      </w:tr>
      <w:tr>
        <w:trPr>
          <w:trHeight w:val="234"/>
        </w:trPr>
        <w:tc>
          <w:tcPr>
            <w:tcW w:w="2380" w:type="dxa"/>
            <w:vAlign w:val="bottom"/>
          </w:tcPr>
          <w:p>
            <w:pPr>
              <w:spacing w:after="0"/>
              <w:rPr>
                <w:sz w:val="20"/>
                <w:szCs w:val="20"/>
                <w:color w:val="auto"/>
              </w:rPr>
            </w:pP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tc>
      </w:tr>
      <w:tr>
        <w:trPr>
          <w:trHeight w:val="319"/>
        </w:trPr>
        <w:tc>
          <w:tcPr>
            <w:tcW w:w="2380" w:type="dxa"/>
            <w:vAlign w:val="bottom"/>
          </w:tcPr>
          <w:p>
            <w:pPr>
              <w:spacing w:after="0"/>
              <w:rPr>
                <w:sz w:val="24"/>
                <w:szCs w:val="24"/>
                <w:color w:val="auto"/>
              </w:rPr>
            </w:pP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On or after the 2034 Par Call Date, the Company may redeem the 2034 Notes, in whole or in part, at any</w:t>
            </w:r>
          </w:p>
        </w:tc>
      </w:tr>
      <w:tr>
        <w:trPr>
          <w:trHeight w:val="216"/>
        </w:trPr>
        <w:tc>
          <w:tcPr>
            <w:tcW w:w="2380" w:type="dxa"/>
            <w:vAlign w:val="bottom"/>
          </w:tcPr>
          <w:p>
            <w:pPr>
              <w:spacing w:after="0"/>
              <w:rPr>
                <w:sz w:val="18"/>
                <w:szCs w:val="18"/>
                <w:color w:val="auto"/>
              </w:rPr>
            </w:pP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time and from time to time, at a redemption price equal to 100% of the principal amount of the 2034 Notes</w:t>
            </w:r>
          </w:p>
        </w:tc>
      </w:tr>
      <w:tr>
        <w:trPr>
          <w:trHeight w:val="234"/>
        </w:trPr>
        <w:tc>
          <w:tcPr>
            <w:tcW w:w="2380" w:type="dxa"/>
            <w:vAlign w:val="bottom"/>
          </w:tcPr>
          <w:p>
            <w:pPr>
              <w:spacing w:after="0"/>
              <w:rPr>
                <w:sz w:val="20"/>
                <w:szCs w:val="20"/>
                <w:color w:val="auto"/>
              </w:rPr>
            </w:pP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being redeemed plus accrued and unpaid interest thereon to the redemption date.</w:t>
            </w:r>
          </w:p>
        </w:tc>
      </w:tr>
      <w:tr>
        <w:trPr>
          <w:trHeight w:val="319"/>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Additional Issuances:</w:t>
            </w: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The 2034 Notes need not be issued at the same time and the series may be reopened for issuance of an</w:t>
            </w:r>
          </w:p>
        </w:tc>
      </w:tr>
      <w:tr>
        <w:trPr>
          <w:trHeight w:val="216"/>
        </w:trPr>
        <w:tc>
          <w:tcPr>
            <w:tcW w:w="2380" w:type="dxa"/>
            <w:vAlign w:val="bottom"/>
          </w:tcPr>
          <w:p>
            <w:pPr>
              <w:spacing w:after="0"/>
              <w:rPr>
                <w:sz w:val="18"/>
                <w:szCs w:val="18"/>
                <w:color w:val="auto"/>
              </w:rPr>
            </w:pP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unlimited principal amount of additional 2034 Notes under this series. Additional 2034 Notes of this series</w:t>
            </w:r>
          </w:p>
        </w:tc>
      </w:tr>
      <w:tr>
        <w:trPr>
          <w:trHeight w:val="216"/>
        </w:trPr>
        <w:tc>
          <w:tcPr>
            <w:tcW w:w="2380" w:type="dxa"/>
            <w:vAlign w:val="bottom"/>
          </w:tcPr>
          <w:p>
            <w:pPr>
              <w:spacing w:after="0"/>
              <w:rPr>
                <w:sz w:val="18"/>
                <w:szCs w:val="18"/>
                <w:color w:val="auto"/>
              </w:rPr>
            </w:pP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may be consolidated with, and form a single series with, 2034 Notes then outstanding, including for</w:t>
            </w:r>
          </w:p>
        </w:tc>
      </w:tr>
      <w:tr>
        <w:trPr>
          <w:trHeight w:val="216"/>
        </w:trPr>
        <w:tc>
          <w:tcPr>
            <w:tcW w:w="2380" w:type="dxa"/>
            <w:vAlign w:val="bottom"/>
          </w:tcPr>
          <w:p>
            <w:pPr>
              <w:spacing w:after="0"/>
              <w:rPr>
                <w:sz w:val="18"/>
                <w:szCs w:val="18"/>
                <w:color w:val="auto"/>
              </w:rPr>
            </w:pP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purposes of determining whether the required percentage of the holders of record has given approval or</w:t>
            </w:r>
          </w:p>
        </w:tc>
      </w:tr>
      <w:tr>
        <w:trPr>
          <w:trHeight w:val="216"/>
        </w:trPr>
        <w:tc>
          <w:tcPr>
            <w:tcW w:w="2380" w:type="dxa"/>
            <w:vAlign w:val="bottom"/>
          </w:tcPr>
          <w:p>
            <w:pPr>
              <w:spacing w:after="0"/>
              <w:rPr>
                <w:sz w:val="18"/>
                <w:szCs w:val="18"/>
                <w:color w:val="auto"/>
              </w:rPr>
            </w:pP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w w:val="99"/>
              </w:rPr>
              <w:t>consent to an amendment or waiver or joined in directing the Trustee to take certain actions on behalf of all</w:t>
            </w:r>
          </w:p>
        </w:tc>
      </w:tr>
      <w:tr>
        <w:trPr>
          <w:trHeight w:val="216"/>
        </w:trPr>
        <w:tc>
          <w:tcPr>
            <w:tcW w:w="2380" w:type="dxa"/>
            <w:vAlign w:val="bottom"/>
          </w:tcPr>
          <w:p>
            <w:pPr>
              <w:spacing w:after="0"/>
              <w:rPr>
                <w:sz w:val="18"/>
                <w:szCs w:val="18"/>
                <w:color w:val="auto"/>
              </w:rPr>
            </w:pP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holders; provided that if such additional 2034 Notes are not fungible with the 2034 Notes then outstanding</w:t>
            </w:r>
          </w:p>
        </w:tc>
      </w:tr>
      <w:tr>
        <w:trPr>
          <w:trHeight w:val="216"/>
        </w:trPr>
        <w:tc>
          <w:tcPr>
            <w:tcW w:w="2380" w:type="dxa"/>
            <w:vAlign w:val="bottom"/>
          </w:tcPr>
          <w:p>
            <w:pPr>
              <w:spacing w:after="0"/>
              <w:rPr>
                <w:sz w:val="18"/>
                <w:szCs w:val="18"/>
                <w:color w:val="auto"/>
              </w:rPr>
            </w:pP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for U.S. federal income tax purposes, such additional 2034 Notes will have one or more separate CUSIP</w:t>
            </w:r>
          </w:p>
        </w:tc>
      </w:tr>
      <w:tr>
        <w:trPr>
          <w:trHeight w:val="234"/>
        </w:trPr>
        <w:tc>
          <w:tcPr>
            <w:tcW w:w="2380" w:type="dxa"/>
            <w:vAlign w:val="bottom"/>
          </w:tcPr>
          <w:p>
            <w:pPr>
              <w:spacing w:after="0"/>
              <w:rPr>
                <w:sz w:val="20"/>
                <w:szCs w:val="20"/>
                <w:color w:val="auto"/>
              </w:rPr>
            </w:pP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numbers.</w:t>
            </w:r>
          </w:p>
        </w:tc>
      </w:tr>
      <w:tr>
        <w:trPr>
          <w:trHeight w:val="324"/>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Conversion:</w:t>
            </w: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None</w:t>
            </w:r>
          </w:p>
        </w:tc>
      </w:tr>
      <w:tr>
        <w:trPr>
          <w:trHeight w:val="324"/>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Sinking Fund:</w:t>
            </w: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None</w:t>
            </w:r>
          </w:p>
        </w:tc>
      </w:tr>
      <w:tr>
        <w:trPr>
          <w:trHeight w:val="302"/>
        </w:trPr>
        <w:tc>
          <w:tcPr>
            <w:tcW w:w="2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Miscellaneous:</w:t>
            </w:r>
          </w:p>
        </w:tc>
        <w:tc>
          <w:tcPr>
            <w:tcW w:w="85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The terms of the 2034 Notes shall include such other terms as are set forth in the Form of Note due 2034</w:t>
            </w:r>
          </w:p>
        </w:tc>
      </w:tr>
      <w:tr>
        <w:trPr>
          <w:trHeight w:val="198"/>
        </w:trPr>
        <w:tc>
          <w:tcPr>
            <w:tcW w:w="2380" w:type="dxa"/>
            <w:vAlign w:val="bottom"/>
          </w:tcPr>
          <w:p>
            <w:pPr>
              <w:spacing w:after="0"/>
              <w:rPr>
                <w:sz w:val="17"/>
                <w:szCs w:val="17"/>
                <w:color w:val="auto"/>
              </w:rPr>
            </w:pPr>
          </w:p>
        </w:tc>
        <w:tc>
          <w:tcPr>
            <w:tcW w:w="8560" w:type="dxa"/>
            <w:vAlign w:val="bottom"/>
            <w:gridSpan w:val="3"/>
          </w:tcPr>
          <w:p>
            <w:pPr>
              <w:ind w:left="820"/>
              <w:spacing w:after="0" w:line="198" w:lineRule="exact"/>
              <w:rPr>
                <w:sz w:val="20"/>
                <w:szCs w:val="20"/>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w:t>
            </w:r>
          </w:p>
        </w:tc>
      </w:tr>
      <w:tr>
        <w:trPr>
          <w:trHeight w:val="20"/>
        </w:trPr>
        <w:tc>
          <w:tcPr>
            <w:tcW w:w="2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940"/>
          </w:cols>
          <w:pgMar w:left="440" w:top="374"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5.</w:t>
            </w:r>
            <w:r>
              <w:rPr>
                <w:rFonts w:ascii="Times New Roman" w:cs="Times New Roman" w:eastAsia="Times New Roman" w:hAnsi="Times New Roman"/>
                <w:sz w:val="18"/>
                <w:szCs w:val="18"/>
                <w:b w:val="1"/>
                <w:bCs w:val="1"/>
                <w:u w:val="single" w:color="auto"/>
                <w:color w:val="auto"/>
                <w:w w:val="99"/>
              </w:rPr>
              <w:t>650%</w:t>
            </w:r>
            <w:r>
              <w:rPr>
                <w:rFonts w:ascii="Times New Roman" w:cs="Times New Roman" w:eastAsia="Times New Roman" w:hAnsi="Times New Roman"/>
                <w:sz w:val="18"/>
                <w:szCs w:val="18"/>
                <w:b w:val="1"/>
                <w:bCs w:val="1"/>
                <w:color w:val="auto"/>
                <w:w w:val="99"/>
              </w:rPr>
              <w:t xml:space="preserve"> Notes due 2054</w:t>
            </w:r>
          </w:p>
        </w:tc>
        <w:tc>
          <w:tcPr>
            <w:tcW w:w="4580" w:type="dxa"/>
            <w:vAlign w:val="bottom"/>
          </w:tcPr>
          <w:p>
            <w:pPr>
              <w:spacing w:after="0"/>
              <w:rPr>
                <w:sz w:val="17"/>
                <w:szCs w:val="17"/>
                <w:color w:val="auto"/>
              </w:rPr>
            </w:pPr>
          </w:p>
        </w:tc>
      </w:tr>
      <w:tr>
        <w:trPr>
          <w:trHeight w:val="588"/>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Title:</w:t>
            </w:r>
          </w:p>
        </w:tc>
        <w:tc>
          <w:tcPr>
            <w:tcW w:w="84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5.650% Notes due 2054</w:t>
            </w:r>
          </w:p>
        </w:tc>
      </w:tr>
      <w:tr>
        <w:trPr>
          <w:trHeight w:val="324"/>
        </w:trPr>
        <w:tc>
          <w:tcPr>
            <w:tcW w:w="109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 xml:space="preserve">Aggregate Principal Amount at Maturity:   </w:t>
            </w:r>
            <w:r>
              <w:rPr>
                <w:rFonts w:ascii="Times New Roman" w:cs="Times New Roman" w:eastAsia="Times New Roman" w:hAnsi="Times New Roman"/>
                <w:sz w:val="18"/>
                <w:szCs w:val="18"/>
                <w:color w:val="auto"/>
              </w:rPr>
              <w:t>$1,200,000,000</w:t>
            </w:r>
          </w:p>
        </w:tc>
      </w:tr>
      <w:tr>
        <w:trPr>
          <w:trHeight w:val="324"/>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Payment Date:</w:t>
            </w:r>
          </w:p>
        </w:tc>
        <w:tc>
          <w:tcPr>
            <w:tcW w:w="84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June 1, 2054</w:t>
            </w:r>
          </w:p>
        </w:tc>
      </w:tr>
      <w:tr>
        <w:trPr>
          <w:trHeight w:val="324"/>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w:t>
            </w:r>
          </w:p>
        </w:tc>
        <w:tc>
          <w:tcPr>
            <w:tcW w:w="21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5.650%</w:t>
            </w:r>
          </w:p>
        </w:tc>
        <w:tc>
          <w:tcPr>
            <w:tcW w:w="180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302"/>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Redemption:</w:t>
            </w:r>
          </w:p>
        </w:tc>
        <w:tc>
          <w:tcPr>
            <w:tcW w:w="84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w w:val="99"/>
              </w:rPr>
              <w:t>Prior to December 1, 2053 (six (6) months prior to the maturity date of the 2054 Notes) (the “</w:t>
            </w:r>
            <w:r>
              <w:rPr>
                <w:rFonts w:ascii="Times New Roman" w:cs="Times New Roman" w:eastAsia="Times New Roman" w:hAnsi="Times New Roman"/>
                <w:sz w:val="18"/>
                <w:szCs w:val="18"/>
                <w:b w:val="1"/>
                <w:bCs w:val="1"/>
                <w:color w:val="auto"/>
                <w:w w:val="99"/>
              </w:rPr>
              <w:t>2054 Par Call</w:t>
            </w:r>
          </w:p>
        </w:tc>
      </w:tr>
      <w:tr>
        <w:trPr>
          <w:trHeight w:val="220"/>
        </w:trPr>
        <w:tc>
          <w:tcPr>
            <w:tcW w:w="2500" w:type="dxa"/>
            <w:vAlign w:val="bottom"/>
          </w:tcPr>
          <w:p>
            <w:pPr>
              <w:spacing w:after="0"/>
              <w:rPr>
                <w:sz w:val="19"/>
                <w:szCs w:val="19"/>
                <w:color w:val="auto"/>
              </w:rPr>
            </w:pPr>
          </w:p>
        </w:tc>
        <w:tc>
          <w:tcPr>
            <w:tcW w:w="848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the Company may redeem the 2054 Notes at its option, in whole or in part, at any time and from</w:t>
            </w:r>
          </w:p>
        </w:tc>
      </w:tr>
      <w:tr>
        <w:trPr>
          <w:trHeight w:val="216"/>
        </w:trPr>
        <w:tc>
          <w:tcPr>
            <w:tcW w:w="2500" w:type="dxa"/>
            <w:vAlign w:val="bottom"/>
          </w:tcPr>
          <w:p>
            <w:pPr>
              <w:spacing w:after="0"/>
              <w:rPr>
                <w:sz w:val="18"/>
                <w:szCs w:val="18"/>
                <w:color w:val="auto"/>
              </w:rPr>
            </w:pPr>
          </w:p>
        </w:tc>
        <w:tc>
          <w:tcPr>
            <w:tcW w:w="84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time to time, at a redemption price (expressed as a percentage of the principal amount and rounded to three</w:t>
            </w:r>
          </w:p>
        </w:tc>
      </w:tr>
      <w:tr>
        <w:trPr>
          <w:trHeight w:val="216"/>
        </w:trPr>
        <w:tc>
          <w:tcPr>
            <w:tcW w:w="2500" w:type="dxa"/>
            <w:vAlign w:val="bottom"/>
          </w:tcPr>
          <w:p>
            <w:pPr>
              <w:spacing w:after="0"/>
              <w:rPr>
                <w:sz w:val="18"/>
                <w:szCs w:val="18"/>
                <w:color w:val="auto"/>
              </w:rPr>
            </w:pPr>
          </w:p>
        </w:tc>
        <w:tc>
          <w:tcPr>
            <w:tcW w:w="84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decimal places) equal to the greater of: (1) (a) the sum of the present values of the remaining scheduled</w:t>
            </w:r>
          </w:p>
        </w:tc>
      </w:tr>
      <w:tr>
        <w:trPr>
          <w:trHeight w:val="216"/>
        </w:trPr>
        <w:tc>
          <w:tcPr>
            <w:tcW w:w="2500" w:type="dxa"/>
            <w:vAlign w:val="bottom"/>
          </w:tcPr>
          <w:p>
            <w:pPr>
              <w:spacing w:after="0"/>
              <w:rPr>
                <w:sz w:val="18"/>
                <w:szCs w:val="18"/>
                <w:color w:val="auto"/>
              </w:rPr>
            </w:pPr>
          </w:p>
        </w:tc>
        <w:tc>
          <w:tcPr>
            <w:tcW w:w="84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payments of principal and interest thereon discounted to the redemption date (assuming that the 2054 Notes</w:t>
            </w:r>
          </w:p>
        </w:tc>
      </w:tr>
      <w:tr>
        <w:trPr>
          <w:trHeight w:val="216"/>
        </w:trPr>
        <w:tc>
          <w:tcPr>
            <w:tcW w:w="2500" w:type="dxa"/>
            <w:vAlign w:val="bottom"/>
          </w:tcPr>
          <w:p>
            <w:pPr>
              <w:spacing w:after="0"/>
              <w:rPr>
                <w:sz w:val="18"/>
                <w:szCs w:val="18"/>
                <w:color w:val="auto"/>
              </w:rPr>
            </w:pPr>
          </w:p>
        </w:tc>
        <w:tc>
          <w:tcPr>
            <w:tcW w:w="84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matured on the 2054 Par Call Date) on a semi-annual basis (assuming a 360-day year consisting of twelve</w:t>
            </w:r>
          </w:p>
        </w:tc>
      </w:tr>
      <w:tr>
        <w:trPr>
          <w:trHeight w:val="216"/>
        </w:trPr>
        <w:tc>
          <w:tcPr>
            <w:tcW w:w="2500" w:type="dxa"/>
            <w:vAlign w:val="bottom"/>
          </w:tcPr>
          <w:p>
            <w:pPr>
              <w:spacing w:after="0"/>
              <w:rPr>
                <w:sz w:val="18"/>
                <w:szCs w:val="18"/>
                <w:color w:val="auto"/>
              </w:rPr>
            </w:pPr>
          </w:p>
        </w:tc>
        <w:tc>
          <w:tcPr>
            <w:tcW w:w="84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30-day months) at the Treasury Rate (as defined in the 2054 Notes) plus 20 basis points, less (b) interest</w:t>
            </w:r>
          </w:p>
        </w:tc>
      </w:tr>
      <w:tr>
        <w:trPr>
          <w:trHeight w:val="216"/>
        </w:trPr>
        <w:tc>
          <w:tcPr>
            <w:tcW w:w="2500" w:type="dxa"/>
            <w:vAlign w:val="bottom"/>
          </w:tcPr>
          <w:p>
            <w:pPr>
              <w:spacing w:after="0"/>
              <w:rPr>
                <w:sz w:val="18"/>
                <w:szCs w:val="18"/>
                <w:color w:val="auto"/>
              </w:rPr>
            </w:pPr>
          </w:p>
        </w:tc>
        <w:tc>
          <w:tcPr>
            <w:tcW w:w="84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accrued to the date of redemption, and (2) 100% of the principal amount of the 2054 Notes to be redeemed,</w:t>
            </w:r>
          </w:p>
        </w:tc>
      </w:tr>
      <w:tr>
        <w:trPr>
          <w:trHeight w:val="234"/>
        </w:trPr>
        <w:tc>
          <w:tcPr>
            <w:tcW w:w="2500" w:type="dxa"/>
            <w:vAlign w:val="bottom"/>
          </w:tcPr>
          <w:p>
            <w:pPr>
              <w:spacing w:after="0"/>
              <w:rPr>
                <w:sz w:val="20"/>
                <w:szCs w:val="20"/>
                <w:color w:val="auto"/>
              </w:rPr>
            </w:pPr>
          </w:p>
        </w:tc>
        <w:tc>
          <w:tcPr>
            <w:tcW w:w="84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tc>
      </w:tr>
      <w:tr>
        <w:trPr>
          <w:trHeight w:val="319"/>
        </w:trPr>
        <w:tc>
          <w:tcPr>
            <w:tcW w:w="2500" w:type="dxa"/>
            <w:vAlign w:val="bottom"/>
          </w:tcPr>
          <w:p>
            <w:pPr>
              <w:spacing w:after="0"/>
              <w:rPr>
                <w:sz w:val="24"/>
                <w:szCs w:val="24"/>
                <w:color w:val="auto"/>
              </w:rPr>
            </w:pPr>
          </w:p>
        </w:tc>
        <w:tc>
          <w:tcPr>
            <w:tcW w:w="84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On or after the 2054 Par Call Date, the Company may redeem the 2054 Notes, in whole or in part, at any</w:t>
            </w:r>
          </w:p>
        </w:tc>
      </w:tr>
      <w:tr>
        <w:trPr>
          <w:trHeight w:val="216"/>
        </w:trPr>
        <w:tc>
          <w:tcPr>
            <w:tcW w:w="2500" w:type="dxa"/>
            <w:vAlign w:val="bottom"/>
          </w:tcPr>
          <w:p>
            <w:pPr>
              <w:spacing w:after="0"/>
              <w:rPr>
                <w:sz w:val="18"/>
                <w:szCs w:val="18"/>
                <w:color w:val="auto"/>
              </w:rPr>
            </w:pPr>
          </w:p>
        </w:tc>
        <w:tc>
          <w:tcPr>
            <w:tcW w:w="84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time and from time to time, at a redemption price equal to 100% of the principal amount of the 2054 Notes</w:t>
            </w:r>
          </w:p>
        </w:tc>
      </w:tr>
      <w:tr>
        <w:trPr>
          <w:trHeight w:val="234"/>
        </w:trPr>
        <w:tc>
          <w:tcPr>
            <w:tcW w:w="2500" w:type="dxa"/>
            <w:vAlign w:val="bottom"/>
          </w:tcPr>
          <w:p>
            <w:pPr>
              <w:spacing w:after="0"/>
              <w:rPr>
                <w:sz w:val="20"/>
                <w:szCs w:val="20"/>
                <w:color w:val="auto"/>
              </w:rPr>
            </w:pPr>
          </w:p>
        </w:tc>
        <w:tc>
          <w:tcPr>
            <w:tcW w:w="84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being redeemed plus accrued and unpaid interest thereon to the redemption date.</w:t>
            </w:r>
          </w:p>
        </w:tc>
      </w:tr>
      <w:tr>
        <w:trPr>
          <w:trHeight w:val="319"/>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Additional Issuances:</w:t>
            </w:r>
          </w:p>
        </w:tc>
        <w:tc>
          <w:tcPr>
            <w:tcW w:w="84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The 2054 Notes need not be issued at the same time and the series may be reopened for issuance of an</w:t>
            </w:r>
          </w:p>
        </w:tc>
      </w:tr>
      <w:tr>
        <w:trPr>
          <w:trHeight w:val="234"/>
        </w:trPr>
        <w:tc>
          <w:tcPr>
            <w:tcW w:w="2500" w:type="dxa"/>
            <w:vAlign w:val="bottom"/>
          </w:tcPr>
          <w:p>
            <w:pPr>
              <w:spacing w:after="0"/>
              <w:rPr>
                <w:sz w:val="20"/>
                <w:szCs w:val="20"/>
                <w:color w:val="auto"/>
              </w:rPr>
            </w:pPr>
          </w:p>
        </w:tc>
        <w:tc>
          <w:tcPr>
            <w:tcW w:w="84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unlimited principal amount of additional 2054 Notes under this series. Additional 2054 Notes of this series</w:t>
            </w:r>
          </w:p>
        </w:tc>
      </w:tr>
    </w:tbl>
    <w:p>
      <w:pPr>
        <w:ind w:left="3200"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be consolidated with, and form a single series with, 2054 Notes then outstanding, including for purposes of determining whether the required percentage of the holders of record has given approval or consent to an amendment or waiver or joined in directing the Trustee to take certain actions on behalf of all holders; provided that if such additional 2054 Notes are not fungible with the 2054 Notes then outstanding for U.S. federal income tax purposes, such additional 2054 Notes will have one or more separate CUSIP numbers.</w:t>
      </w:r>
    </w:p>
    <w:p>
      <w:pPr>
        <w:sectPr>
          <w:pgSz w:w="11900" w:h="16838" w:orient="portrait"/>
          <w:cols w:equalWidth="0" w:num="1">
            <w:col w:w="10980"/>
          </w:cols>
          <w:pgMar w:left="440" w:top="257" w:right="4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6"/>
        </w:trPr>
        <w:tc>
          <w:tcPr>
            <w:tcW w:w="2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Conversion:</w:t>
            </w:r>
          </w:p>
        </w:tc>
        <w:tc>
          <w:tcPr>
            <w:tcW w:w="858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None</w:t>
            </w:r>
          </w:p>
        </w:tc>
      </w:tr>
      <w:tr>
        <w:trPr>
          <w:trHeight w:val="324"/>
        </w:trPr>
        <w:tc>
          <w:tcPr>
            <w:tcW w:w="2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Sinking Fund:</w:t>
            </w:r>
          </w:p>
        </w:tc>
        <w:tc>
          <w:tcPr>
            <w:tcW w:w="858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None</w:t>
            </w:r>
          </w:p>
        </w:tc>
      </w:tr>
      <w:tr>
        <w:trPr>
          <w:trHeight w:val="302"/>
        </w:trPr>
        <w:tc>
          <w:tcPr>
            <w:tcW w:w="2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Miscellaneous:</w:t>
            </w:r>
          </w:p>
        </w:tc>
        <w:tc>
          <w:tcPr>
            <w:tcW w:w="858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w w:val="99"/>
              </w:rPr>
              <w:t>The terms of the 2054 Notes shall include such other terms as are set forth in the Form of Note due 2054</w:t>
            </w:r>
          </w:p>
        </w:tc>
      </w:tr>
      <w:tr>
        <w:trPr>
          <w:trHeight w:val="198"/>
        </w:trPr>
        <w:tc>
          <w:tcPr>
            <w:tcW w:w="2140" w:type="dxa"/>
            <w:vAlign w:val="bottom"/>
          </w:tcPr>
          <w:p>
            <w:pPr>
              <w:spacing w:after="0"/>
              <w:rPr>
                <w:sz w:val="17"/>
                <w:szCs w:val="17"/>
                <w:color w:val="auto"/>
              </w:rPr>
            </w:pPr>
          </w:p>
        </w:tc>
        <w:tc>
          <w:tcPr>
            <w:tcW w:w="8580" w:type="dxa"/>
            <w:vAlign w:val="bottom"/>
            <w:gridSpan w:val="3"/>
          </w:tcPr>
          <w:p>
            <w:pPr>
              <w:ind w:left="1060"/>
              <w:spacing w:after="0" w:line="198" w:lineRule="exact"/>
              <w:rPr>
                <w:sz w:val="20"/>
                <w:szCs w:val="20"/>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b w:val="1"/>
                <w:bCs w:val="1"/>
                <w:color w:val="auto"/>
              </w:rPr>
              <w:t>Exhibit C</w:t>
            </w:r>
            <w:r>
              <w:rPr>
                <w:rFonts w:ascii="Times New Roman" w:cs="Times New Roman" w:eastAsia="Times New Roman" w:hAnsi="Times New Roman"/>
                <w:sz w:val="18"/>
                <w:szCs w:val="18"/>
                <w:color w:val="auto"/>
              </w:rPr>
              <w:t>.</w:t>
            </w:r>
          </w:p>
        </w:tc>
      </w:tr>
      <w:tr>
        <w:trPr>
          <w:trHeight w:val="20"/>
        </w:trPr>
        <w:tc>
          <w:tcPr>
            <w:tcW w:w="2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58" w:lineRule="auto"/>
        <w:rPr>
          <w:sz w:val="20"/>
          <w:szCs w:val="20"/>
          <w:color w:val="auto"/>
        </w:rPr>
      </w:pPr>
      <w:r>
        <w:rPr>
          <w:rFonts w:ascii="Times New Roman" w:cs="Times New Roman" w:eastAsia="Times New Roman" w:hAnsi="Times New Roman"/>
          <w:sz w:val="18"/>
          <w:szCs w:val="18"/>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ectPr>
          <w:pgSz w:w="11900" w:h="16838" w:orient="portrait"/>
          <w:cols w:equalWidth="0" w:num="1">
            <w:col w:w="10940"/>
          </w:cols>
          <w:pgMar w:left="440" w:top="268"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officers of the Company have duly executed this certificate as of the date first set forth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Teresa Metzler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Teresa Metzler</w:t>
      </w:r>
    </w:p>
    <w:p>
      <w:pPr>
        <w:spacing w:after="0" w:line="23" w:lineRule="exact"/>
        <w:rPr>
          <w:sz w:val="20"/>
          <w:szCs w:val="20"/>
          <w:color w:val="auto"/>
        </w:rPr>
      </w:pPr>
    </w:p>
    <w:p>
      <w:pPr>
        <w:ind w:left="652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Vice President and Assistant Treasurer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26060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3" w:lineRule="exact"/>
        <w:rPr>
          <w:sz w:val="20"/>
          <w:szCs w:val="20"/>
          <w:color w:val="auto"/>
        </w:rPr>
      </w:pPr>
    </w:p>
    <w:p>
      <w:pPr>
        <w:jc w:val="both"/>
        <w:ind w:left="652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Senior Vice President, Senior Deputy General</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Counsel and Assistant Secretary</w:t>
      </w:r>
    </w:p>
    <w:p>
      <w:pPr>
        <w:spacing w:after="0" w:line="20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Officers’ Certificate Pursuant to the Indenture</w:t>
      </w:r>
      <w:r>
        <w:rPr>
          <w:rFonts w:ascii="Times New Roman" w:cs="Times New Roman" w:eastAsia="Times New Roman" w:hAnsi="Times New Roman"/>
          <w:sz w:val="18"/>
          <w:szCs w:val="18"/>
          <w:color w:val="auto"/>
        </w:rPr>
        <w:t>]</w:t>
      </w:r>
    </w:p>
    <w:p>
      <w:pPr>
        <w:sectPr>
          <w:pgSz w:w="11900" w:h="16838" w:orient="portrait"/>
          <w:cols w:equalWidth="0" w:num="1">
            <w:col w:w="10400"/>
          </w:cols>
          <w:pgMar w:left="880" w:top="270" w:right="6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ectPr>
          <w:pgSz w:w="11900" w:h="16838" w:orient="portrait"/>
          <w:cols w:equalWidth="0" w:num="1">
            <w:col w:w="9019"/>
          </w:cols>
          <w:pgMar w:left="1440" w:top="266" w:right="1440" w:bottom="1440" w:gutter="0" w:footer="0" w:header="0"/>
        </w:sectPr>
      </w:pPr>
    </w:p>
    <w:bookmarkStart w:id="10" w:name="page11"/>
    <w:bookmarkEnd w:id="10"/>
    <w:p>
      <w:pPr>
        <w:ind w:right="8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5.100% Note due 2029</w:t>
      </w:r>
    </w:p>
    <w:p>
      <w:pPr>
        <w:sectPr>
          <w:pgSz w:w="11900" w:h="16838" w:orient="portrait"/>
          <w:cols w:equalWidth="0" w:num="1">
            <w:col w:w="11020"/>
          </w:cols>
          <w:pgMar w:left="440" w:top="270"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 [ </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CUSIP No.: 20030N EH0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ISIN No.: US20030NEH08</w:t>
      </w:r>
    </w:p>
    <w:p>
      <w:pPr>
        <w:spacing w:after="0" w:line="200" w:lineRule="exact"/>
        <w:rPr>
          <w:sz w:val="20"/>
          <w:szCs w:val="20"/>
          <w:color w:val="auto"/>
        </w:rPr>
      </w:pPr>
    </w:p>
    <w:p>
      <w:pPr>
        <w:sectPr>
          <w:pgSz w:w="11900" w:h="16838" w:orient="portrait"/>
          <w:cols w:equalWidth="0" w:num="3">
            <w:col w:w="420" w:space="120"/>
            <w:col w:w="7760" w:space="720"/>
            <w:col w:w="2000"/>
          </w:cols>
          <w:pgMar w:left="440" w:top="270" w:right="4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21"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which term includes any successor corporation), for value received promises to pay to CEDE &amp; CO. or registered assigns, the principal sum of $[  ] ([  ]) on June 1, 2029.</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Dates: June 1 and December 1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December 1, 2024.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May 15 and November 15 (each, an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Reference is made to the further provisions of this Security contained herein, which will for all purposes have the same effect as if set forth at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11" w:name="page12"/>
    <w:bookmarkEnd w:id="1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Teresa Metzler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 and Assistant Treasurer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17145</wp:posOffset>
            </wp:positionV>
            <wp:extent cx="26060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3"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Senior Vice President, Senior Deputy General</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Counsel and Assistant Secretary</w:t>
      </w:r>
    </w:p>
    <w:p>
      <w:pPr>
        <w:spacing w:after="0" w:line="20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Global Note</w:t>
      </w:r>
      <w:r>
        <w:rPr>
          <w:rFonts w:ascii="Times New Roman" w:cs="Times New Roman" w:eastAsia="Times New Roman" w:hAnsi="Times New Roman"/>
          <w:sz w:val="18"/>
          <w:szCs w:val="18"/>
          <w:color w:val="auto"/>
        </w:rPr>
        <w:t>]</w:t>
      </w:r>
    </w:p>
    <w:p>
      <w:pPr>
        <w:sectPr>
          <w:pgSz w:w="11900" w:h="16838" w:orient="portrait"/>
          <w:cols w:equalWidth="0" w:num="1">
            <w:col w:w="10460"/>
          </w:cols>
          <w:pgMar w:left="440" w:top="270" w:right="999"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series designated herein and referred to in the within-mentioned Indenture.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22,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THE BANK OF NEW YORK MELLON,</w:t>
      </w:r>
    </w:p>
    <w:p>
      <w:pPr>
        <w:spacing w:after="0" w:line="3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1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Global Note</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SECURITY)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5.100% Note due 2029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Interest.</w:t>
      </w:r>
    </w:p>
    <w:p>
      <w:pPr>
        <w:spacing w:after="0" w:line="221"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May 22, 2024. The Issuer will pay interest semi-annually in arrears on each Interest Payment Date, commencing December 1, 2024. Interest will be computed on the basis of a 360-day year of twelve 30-day months.</w:t>
      </w:r>
    </w:p>
    <w:p>
      <w:pPr>
        <w:spacing w:after="0" w:line="180" w:lineRule="exact"/>
        <w:rPr>
          <w:sz w:val="20"/>
          <w:szCs w:val="20"/>
          <w:color w:val="auto"/>
        </w:rPr>
      </w:pPr>
    </w:p>
    <w:p>
      <w:pPr>
        <w:jc w:val="both"/>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Method of Payment.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collect principal payments. The Issuer shall pay principal and interest in money of the United States that at the time of payment is legal tender for payment of public and private debts (“</w:t>
      </w:r>
      <w:r>
        <w:rPr>
          <w:rFonts w:ascii="Times New Roman" w:cs="Times New Roman" w:eastAsia="Times New Roman" w:hAnsi="Times New Roman"/>
          <w:sz w:val="18"/>
          <w:szCs w:val="18"/>
          <w:b w:val="1"/>
          <w:bCs w:val="1"/>
          <w:color w:val="auto"/>
        </w:rPr>
        <w:t>U.S. Legal Tender</w:t>
      </w:r>
      <w:r>
        <w:rPr>
          <w:rFonts w:ascii="Times New Roman" w:cs="Times New Roman" w:eastAsia="Times New Roman" w:hAnsi="Times New Roman"/>
          <w:sz w:val="18"/>
          <w:szCs w:val="18"/>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Paying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Initially, the Trustee will act as Paying Agent. The Issuer may change any Paying Agent without notice to the Holders.</w:t>
      </w:r>
    </w:p>
    <w:p>
      <w:pPr>
        <w:sectPr>
          <w:pgSz w:w="11900" w:h="16838" w:orient="portrait"/>
          <w:cols w:equalWidth="0" w:num="1">
            <w:col w:w="11000"/>
          </w:cols>
          <w:pgMar w:left="440" w:top="270" w:right="459" w:bottom="1440" w:gutter="0" w:footer="0" w:header="0"/>
        </w:sectPr>
      </w:pPr>
    </w:p>
    <w:bookmarkStart w:id="14" w:name="page15"/>
    <w:bookmarkEnd w:id="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 Indenture.</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the Trustee, and as further amended by the Second Supplemental Indenture dated as of July 29, 2022, by and among the Issuer, the Guarantors and the Trustee (as amended,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the notes are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under the Indenture.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 Guarantees.</w:t>
      </w:r>
    </w:p>
    <w:p>
      <w:pPr>
        <w:spacing w:after="0" w:line="225" w:lineRule="exact"/>
        <w:rPr>
          <w:sz w:val="20"/>
          <w:szCs w:val="20"/>
          <w:color w:val="auto"/>
        </w:rPr>
      </w:pPr>
    </w:p>
    <w:p>
      <w:pPr>
        <w:jc w:val="both"/>
        <w:ind w:right="100" w:firstLine="440"/>
        <w:spacing w:after="0" w:line="289" w:lineRule="auto"/>
        <w:rPr>
          <w:sz w:val="20"/>
          <w:szCs w:val="20"/>
          <w:color w:val="auto"/>
        </w:rPr>
      </w:pPr>
      <w:r>
        <w:rPr>
          <w:rFonts w:ascii="Times New Roman" w:cs="Times New Roman" w:eastAsia="Times New Roman" w:hAnsi="Times New Roman"/>
          <w:sz w:val="17"/>
          <w:szCs w:val="17"/>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 Denominations; Transfer; Exchange.</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 Persons Deemed Owners.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registered Holder of a Security shall be treated as the owner of it for all purposes.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 Unclaimed Funds.</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ectPr>
          <w:pgSz w:w="11900" w:h="16838" w:orient="portrait"/>
          <w:cols w:equalWidth="0" w:num="1">
            <w:col w:w="11000"/>
          </w:cols>
          <w:pgMar w:left="440" w:top="270" w:right="459"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 Legal Defeasance and Covenant Defeasance.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 Amendment; Supplement; Waiver.</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 Restrictive Covenants.</w:t>
      </w:r>
    </w:p>
    <w:p>
      <w:pPr>
        <w:spacing w:after="0" w:line="225" w:lineRule="exact"/>
        <w:rPr>
          <w:sz w:val="20"/>
          <w:szCs w:val="20"/>
          <w:color w:val="auto"/>
        </w:rPr>
      </w:pPr>
    </w:p>
    <w:p>
      <w:pPr>
        <w:ind w:right="240" w:firstLine="440"/>
        <w:spacing w:after="0" w:line="289" w:lineRule="auto"/>
        <w:rPr>
          <w:sz w:val="20"/>
          <w:szCs w:val="20"/>
          <w:color w:val="auto"/>
        </w:rPr>
      </w:pPr>
      <w:r>
        <w:rPr>
          <w:rFonts w:ascii="Times New Roman" w:cs="Times New Roman" w:eastAsia="Times New Roman" w:hAnsi="Times New Roman"/>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 Redemption.</w:t>
      </w:r>
    </w:p>
    <w:p>
      <w:pPr>
        <w:spacing w:after="0" w:line="221"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Prior to May 1, 2029 (one (1) month prior to the maturity date of the Securities) (the “</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the Issuer may redeem the Securities at its option, in whole or in part, at any time and from time to time, at a redemption price (expressed as a percentage of the principal amount and rounded to three decimal places) equal to the greater of:</w:t>
      </w:r>
    </w:p>
    <w:p>
      <w:pPr>
        <w:spacing w:after="0" w:line="175" w:lineRule="exact"/>
        <w:rPr>
          <w:sz w:val="20"/>
          <w:szCs w:val="20"/>
          <w:color w:val="auto"/>
        </w:rPr>
      </w:pPr>
    </w:p>
    <w:p>
      <w:pPr>
        <w:jc w:val="both"/>
        <w:ind w:right="380" w:firstLine="436"/>
        <w:spacing w:after="0" w:line="266" w:lineRule="auto"/>
        <w:tabs>
          <w:tab w:leader="none" w:pos="6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for this purpose, that the Securities matured on the Par Call Date) on a semi-annual basis (assuming a 360-day year consisting of twelve 30-day months) at the Treasury Rate plus 10 basis points, less (b) interest accrued to the date of redemption, and</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ectPr>
          <w:pgSz w:w="11900" w:h="16838" w:orient="portrait"/>
          <w:cols w:equalWidth="0" w:num="1">
            <w:col w:w="10980"/>
          </w:cols>
          <w:pgMar w:left="440" w:top="270" w:right="479" w:bottom="1440" w:gutter="0" w:footer="0" w:header="0"/>
        </w:sectPr>
      </w:pPr>
    </w:p>
    <w:bookmarkStart w:id="16" w:name="page17"/>
    <w:bookmarkEnd w:id="16"/>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or after the Par Call Date, the Issuer may redeem the Securities, in whole or in part, at any time and from time to time, at a redemption price equal to 100% of the principal amount of the Securities being redeemed plus accrued and unpaid interest thereon to the redemption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Issuer in accordance with the following two paragraphs.</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Issuer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sectPr>
          <w:pgSz w:w="11900" w:h="16838" w:orient="portrait"/>
          <w:cols w:equalWidth="0" w:num="1">
            <w:col w:w="10980"/>
          </w:cols>
          <w:pgMar w:left="440" w:top="270" w:right="479" w:bottom="1440" w:gutter="0" w:footer="0" w:header="0"/>
        </w:sectPr>
      </w:pPr>
    </w:p>
    <w:bookmarkStart w:id="17" w:name="page18"/>
    <w:bookmarkEnd w:id="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Securities to be redeemed.</w:t>
      </w:r>
    </w:p>
    <w:p>
      <w:pPr>
        <w:spacing w:after="0" w:line="162"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in accordance with the procedures of the Depositary. No Securities of a principal amount of $2,000 or less will be redeemed in part. If the Security is to be redeemed in part only, the notice of redemption will state the portion of the principal amount of the Security to be redeemed. A new Security in a principal amount equal to the unredeemed portion of the Security will be issued in the name of the holder of such Security upon surrender for cancellation of such original Security. For so long as any Security is registered in the name of the Depositary, the redemption of any Security shall be done in accordance with the policies and procedures of the Depositary.</w:t>
      </w:r>
    </w:p>
    <w:p>
      <w:pPr>
        <w:spacing w:after="0" w:line="18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Unless the Issuer defaults in payment of the redemption price, on and after the redemption date, interest will cease to accrue on the Securities or portions thereof called for redemption.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 Defaults and Remedies.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 Trustee Dealings with Issuer.</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become the owner or pledgee of Securities and may otherwise deal with the Issuer as if it were not the Trustee.</w:t>
      </w:r>
    </w:p>
    <w:p>
      <w:pPr>
        <w:sectPr>
          <w:pgSz w:w="11900" w:h="16838" w:orient="portrait"/>
          <w:cols w:equalWidth="0" w:num="1">
            <w:col w:w="11000"/>
          </w:cols>
          <w:pgMar w:left="440" w:top="270" w:right="459" w:bottom="1440" w:gutter="0" w:footer="0" w:header="0"/>
        </w:sectPr>
      </w:pPr>
    </w:p>
    <w:bookmarkStart w:id="18" w:name="page19"/>
    <w:bookmarkEnd w:id="1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 No Recourse Against Others.</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 Authentication.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 Abbreviations and Defined Terms.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18. CUSIP Numbers.</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 Governing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Security thereof.</w:t>
      </w:r>
    </w:p>
    <w:p>
      <w:pPr>
        <w:sectPr>
          <w:pgSz w:w="11900" w:h="16838" w:orient="portrait"/>
          <w:cols w:equalWidth="0" w:num="1">
            <w:col w:w="11000"/>
          </w:cols>
          <w:pgMar w:left="440" w:top="270" w:right="4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Social Security or other identifying number of assignee or transferee)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_________________________________________ agent to transfer this Security on the books of the Issuer. The agent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substitute another to act for him.</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_______________________</w:t>
            </w:r>
          </w:p>
        </w:tc>
        <w:tc>
          <w:tcPr>
            <w:tcW w:w="700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Signed:</w:t>
            </w:r>
          </w:p>
        </w:tc>
      </w:tr>
      <w:tr>
        <w:trPr>
          <w:trHeight w:val="228"/>
        </w:trPr>
        <w:tc>
          <w:tcPr>
            <w:tcW w:w="4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9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(Signed exactly as name appears on the other side of this Security)</w:t>
            </w:r>
          </w:p>
        </w:tc>
      </w:tr>
      <w:tr>
        <w:trPr>
          <w:trHeight w:val="44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18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r>
        <w:trPr>
          <w:trHeight w:val="191"/>
        </w:trPr>
        <w:tc>
          <w:tcPr>
            <w:tcW w:w="40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18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Participant in a recognized Signature Guarantee Medallion Program</w:t>
            </w:r>
          </w:p>
        </w:tc>
      </w:tr>
      <w:tr>
        <w:trPr>
          <w:trHeight w:val="216"/>
        </w:trPr>
        <w:tc>
          <w:tcPr>
            <w:tcW w:w="4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 other signature guarantor program reasonably acceptable to the</w:t>
            </w:r>
          </w:p>
        </w:tc>
      </w:tr>
      <w:tr>
        <w:trPr>
          <w:trHeight w:val="234"/>
        </w:trPr>
        <w:tc>
          <w:tcPr>
            <w:tcW w:w="40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w:t>
            </w:r>
          </w:p>
        </w:tc>
      </w:tr>
    </w:tbl>
    <w:p>
      <w:pPr>
        <w:sectPr>
          <w:pgSz w:w="11900" w:h="16838" w:orient="portrait"/>
          <w:cols w:equalWidth="0" w:num="1">
            <w:col w:w="11020"/>
          </w:cols>
          <w:pgMar w:left="440" w:top="270" w:right="4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ectPr>
          <w:pgSz w:w="11900" w:h="16838" w:orient="portrait"/>
          <w:cols w:equalWidth="0" w:num="1">
            <w:col w:w="9019"/>
          </w:cols>
          <w:pgMar w:left="1440" w:top="266" w:right="1440" w:bottom="1440" w:gutter="0" w:footer="0" w:header="0"/>
        </w:sectPr>
      </w:pPr>
    </w:p>
    <w:bookmarkStart w:id="21" w:name="page22"/>
    <w:bookmarkEnd w:id="21"/>
    <w:p>
      <w:pPr>
        <w:ind w:right="8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5.300% Note due 2034</w:t>
      </w:r>
    </w:p>
    <w:p>
      <w:pPr>
        <w:sectPr>
          <w:pgSz w:w="11900" w:h="16838" w:orient="portrait"/>
          <w:cols w:equalWidth="0" w:num="1">
            <w:col w:w="11020"/>
          </w:cols>
          <w:pgMar w:left="440" w:top="270"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 [ </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CUSIP No.: 20030N EJ6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ISIN No.: US20030NEJ63</w:t>
      </w:r>
    </w:p>
    <w:p>
      <w:pPr>
        <w:spacing w:after="0" w:line="200" w:lineRule="exact"/>
        <w:rPr>
          <w:sz w:val="20"/>
          <w:szCs w:val="20"/>
          <w:color w:val="auto"/>
        </w:rPr>
      </w:pPr>
    </w:p>
    <w:p>
      <w:pPr>
        <w:sectPr>
          <w:pgSz w:w="11900" w:h="16838" w:orient="portrait"/>
          <w:cols w:equalWidth="0" w:num="3">
            <w:col w:w="420" w:space="120"/>
            <w:col w:w="7820" w:space="720"/>
            <w:col w:w="1940"/>
          </w:cols>
          <w:pgMar w:left="440" w:top="270" w:right="4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00" w:space="120"/>
            <w:col w:w="10700"/>
          </w:cols>
          <w:pgMar w:left="440" w:top="270" w:right="439" w:bottom="1440" w:gutter="0" w:footer="0" w:header="0"/>
          <w:type w:val="continuous"/>
        </w:sectPr>
      </w:pPr>
    </w:p>
    <w:p>
      <w:pPr>
        <w:spacing w:after="0" w:line="21"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which term includes any successor corporation), for value received promises to pay to CEDE &amp; CO. or registered assigns, the principal sum of $[ ] ([ ]) on June 1, 2034.</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Dates: June 1 and December 1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December 1, 2024.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May 15 and November 15 (each, an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Reference is made to the further provisions of this Security contained herein, which will for all purposes have the same effect as if set forth at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22" w:name="page23"/>
    <w:bookmarkEnd w:id="2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Teresa Metzler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 and Assistant Treasurer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17145</wp:posOffset>
            </wp:positionV>
            <wp:extent cx="26060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3"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Senior Vice President, Senior Deputy General</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Counsel and Assistant Secretary</w:t>
      </w:r>
    </w:p>
    <w:p>
      <w:pPr>
        <w:spacing w:after="0" w:line="38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Global Note</w:t>
      </w:r>
      <w:r>
        <w:rPr>
          <w:rFonts w:ascii="Times New Roman" w:cs="Times New Roman" w:eastAsia="Times New Roman" w:hAnsi="Times New Roman"/>
          <w:sz w:val="18"/>
          <w:szCs w:val="18"/>
          <w:color w:val="auto"/>
        </w:rPr>
        <w:t>]</w:t>
      </w:r>
    </w:p>
    <w:p>
      <w:pPr>
        <w:sectPr>
          <w:pgSz w:w="11900" w:h="16838" w:orient="portrait"/>
          <w:cols w:equalWidth="0" w:num="1">
            <w:col w:w="10460"/>
          </w:cols>
          <w:pgMar w:left="440" w:top="270" w:right="99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one of the series designated herein and referred to in the within-mentioned Indenture.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22,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THE BANK OF NEW YORK MELLON,</w:t>
      </w:r>
    </w:p>
    <w:p>
      <w:pPr>
        <w:spacing w:after="0" w:line="3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39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Global Note</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SECURITY)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5.300% Note due 2034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Interest.</w:t>
      </w:r>
    </w:p>
    <w:p>
      <w:pPr>
        <w:spacing w:after="0" w:line="221"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May 22, 2024. The Issuer will pay interest semi-annually in arrears on each Interest Payment Date, commencing December 1, 2024. Interest will be computed on the basis of a 360-day year of twelve 30-day months.</w:t>
      </w:r>
    </w:p>
    <w:p>
      <w:pPr>
        <w:spacing w:after="0" w:line="180" w:lineRule="exact"/>
        <w:rPr>
          <w:sz w:val="20"/>
          <w:szCs w:val="20"/>
          <w:color w:val="auto"/>
        </w:rPr>
      </w:pPr>
    </w:p>
    <w:p>
      <w:pPr>
        <w:jc w:val="both"/>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Method of Payment.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collect principal payments. The Issuer shall pay principal and interest in money of the United States that at the time of payment is legal tender for payment of public and private debts (“</w:t>
      </w:r>
      <w:r>
        <w:rPr>
          <w:rFonts w:ascii="Times New Roman" w:cs="Times New Roman" w:eastAsia="Times New Roman" w:hAnsi="Times New Roman"/>
          <w:sz w:val="18"/>
          <w:szCs w:val="18"/>
          <w:b w:val="1"/>
          <w:bCs w:val="1"/>
          <w:color w:val="auto"/>
        </w:rPr>
        <w:t>U.S. Legal Tender</w:t>
      </w:r>
      <w:r>
        <w:rPr>
          <w:rFonts w:ascii="Times New Roman" w:cs="Times New Roman" w:eastAsia="Times New Roman" w:hAnsi="Times New Roman"/>
          <w:sz w:val="18"/>
          <w:szCs w:val="18"/>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Paying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Initially, the Trustee will act as Paying Agent. The Issuer may change any Paying Agent without notice to the Holders.</w:t>
      </w:r>
    </w:p>
    <w:p>
      <w:pPr>
        <w:sectPr>
          <w:pgSz w:w="11900" w:h="16838" w:orient="portrait"/>
          <w:cols w:equalWidth="0" w:num="1">
            <w:col w:w="11000"/>
          </w:cols>
          <w:pgMar w:left="440" w:top="270" w:right="459" w:bottom="1440" w:gutter="0" w:footer="0" w:header="0"/>
        </w:sectPr>
      </w:pPr>
    </w:p>
    <w:bookmarkStart w:id="25" w:name="page26"/>
    <w:bookmarkEnd w:id="2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 Indenture.</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the Trustee, and as further amended by the Second Supplemental Indenture dated as of July 29, 2022, by and among the Issuer, the Guarantors and the Trustee (as amended,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the notes are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under the Indenture.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 Guarantees.</w:t>
      </w:r>
    </w:p>
    <w:p>
      <w:pPr>
        <w:spacing w:after="0" w:line="225" w:lineRule="exact"/>
        <w:rPr>
          <w:sz w:val="20"/>
          <w:szCs w:val="20"/>
          <w:color w:val="auto"/>
        </w:rPr>
      </w:pPr>
    </w:p>
    <w:p>
      <w:pPr>
        <w:jc w:val="both"/>
        <w:ind w:right="100" w:firstLine="440"/>
        <w:spacing w:after="0" w:line="289" w:lineRule="auto"/>
        <w:rPr>
          <w:sz w:val="20"/>
          <w:szCs w:val="20"/>
          <w:color w:val="auto"/>
        </w:rPr>
      </w:pPr>
      <w:r>
        <w:rPr>
          <w:rFonts w:ascii="Times New Roman" w:cs="Times New Roman" w:eastAsia="Times New Roman" w:hAnsi="Times New Roman"/>
          <w:sz w:val="17"/>
          <w:szCs w:val="17"/>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 Denominations; Transfer; Exchange.</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 Persons Deemed Owners.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registered Holder of a Security shall be treated as the owner of it for all purposes.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 Unclaimed Funds.</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ectPr>
          <w:pgSz w:w="11900" w:h="16838" w:orient="portrait"/>
          <w:cols w:equalWidth="0" w:num="1">
            <w:col w:w="11000"/>
          </w:cols>
          <w:pgMar w:left="440" w:top="270" w:right="459" w:bottom="1440" w:gutter="0" w:footer="0" w:header="0"/>
        </w:sectPr>
      </w:pPr>
    </w:p>
    <w:bookmarkStart w:id="26" w:name="page27"/>
    <w:bookmarkEnd w:id="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 Legal Defeasance and Covenant Defeasance.</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 Amendment; Supplement; Waiver.</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 Restrictive Covenants.</w:t>
      </w:r>
    </w:p>
    <w:p>
      <w:pPr>
        <w:spacing w:after="0" w:line="225" w:lineRule="exact"/>
        <w:rPr>
          <w:sz w:val="20"/>
          <w:szCs w:val="20"/>
          <w:color w:val="auto"/>
        </w:rPr>
      </w:pPr>
    </w:p>
    <w:p>
      <w:pPr>
        <w:ind w:right="260" w:firstLine="440"/>
        <w:spacing w:after="0" w:line="289" w:lineRule="auto"/>
        <w:rPr>
          <w:sz w:val="20"/>
          <w:szCs w:val="20"/>
          <w:color w:val="auto"/>
        </w:rPr>
      </w:pPr>
      <w:r>
        <w:rPr>
          <w:rFonts w:ascii="Times New Roman" w:cs="Times New Roman" w:eastAsia="Times New Roman" w:hAnsi="Times New Roman"/>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 Redemption.</w:t>
      </w:r>
    </w:p>
    <w:p>
      <w:pPr>
        <w:spacing w:after="0" w:line="22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Prior to March 1, 2034 (three (3) months prior to the maturity date of the Securities) (the “</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the Issuer may redeem the Securities at its option, in whole or in part, at any time and from time to time, at a redemption price (expressed as a percentage of the principal amount and rounded to three decimal places) equal to the greater of:</w:t>
      </w:r>
    </w:p>
    <w:p>
      <w:pPr>
        <w:spacing w:after="0" w:line="67" w:lineRule="exact"/>
        <w:rPr>
          <w:sz w:val="20"/>
          <w:szCs w:val="20"/>
          <w:color w:val="auto"/>
        </w:rPr>
      </w:pPr>
    </w:p>
    <w:p>
      <w:pPr>
        <w:jc w:val="both"/>
        <w:ind w:right="400" w:firstLine="436"/>
        <w:spacing w:after="0" w:line="266" w:lineRule="auto"/>
        <w:tabs>
          <w:tab w:leader="none" w:pos="6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for this purpose, that the Securities matured on the Par Call Date) on a semi-annual basis (assuming a 360-day year consisting of twelve 30-day months) at the Treasury Rate plus 15 basis points, less (b) interest accrued to the date of redemption, and</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ectPr>
          <w:pgSz w:w="11900" w:h="16838" w:orient="portrait"/>
          <w:cols w:equalWidth="0" w:num="1">
            <w:col w:w="11000"/>
          </w:cols>
          <w:pgMar w:left="440" w:top="270" w:right="459" w:bottom="1440" w:gutter="0" w:footer="0" w:header="0"/>
        </w:sectPr>
      </w:pPr>
    </w:p>
    <w:bookmarkStart w:id="27" w:name="page28"/>
    <w:bookmarkEnd w:id="27"/>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or after the Par Call Date, the Issuer may redeem the Securities, in whole or in part, at any time and from time to time, at a redemption price equal to 100% of the principal amount of the Securities being redeemed plus accrued and unpaid interest thereon to the redemption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Issuer in accordance with the following two paragraphs.</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Issuer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sectPr>
          <w:pgSz w:w="11900" w:h="16838" w:orient="portrait"/>
          <w:cols w:equalWidth="0" w:num="1">
            <w:col w:w="10980"/>
          </w:cols>
          <w:pgMar w:left="440" w:top="270" w:right="479" w:bottom="1440" w:gutter="0" w:footer="0" w:header="0"/>
        </w:sectPr>
      </w:pPr>
    </w:p>
    <w:bookmarkStart w:id="28" w:name="page29"/>
    <w:bookmarkEnd w:id="2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Securities to be redeemed.</w:t>
      </w:r>
    </w:p>
    <w:p>
      <w:pPr>
        <w:spacing w:after="0" w:line="162"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in accordance with the procedures of the Depositary. No Securities of a principal amount of $2,000 or less will be redeemed in part. If the Security is to be redeemed in part only, the notice of redemption will state the portion of the principal amount of the Security to be redeemed. A new Security in a principal amount equal to the unredeemed portion of the Security will be issued in the name of the holder of such Security upon surrender for cancellation of such original Security. For so long as any Security is registered in the name of the Depositary, the redemption of any Security shall be done in accordance with the policies and procedures of the Depositary.</w:t>
      </w:r>
    </w:p>
    <w:p>
      <w:pPr>
        <w:spacing w:after="0" w:line="18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Unless the Issuer defaults in payment of the redemption price, on and after the redemption date, interest will cease to accrue on the Securities or portions thereof called for redemption.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 Defaults and Remedies.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 Trustee Dealings with Issuer.</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become the owner or pledgee of Securities and may otherwise deal with the Issuer as if it were not the Trustee.</w:t>
      </w:r>
    </w:p>
    <w:p>
      <w:pPr>
        <w:sectPr>
          <w:pgSz w:w="11900" w:h="16838" w:orient="portrait"/>
          <w:cols w:equalWidth="0" w:num="1">
            <w:col w:w="11000"/>
          </w:cols>
          <w:pgMar w:left="440" w:top="270" w:right="459" w:bottom="1440" w:gutter="0" w:footer="0" w:header="0"/>
        </w:sectPr>
      </w:pPr>
    </w:p>
    <w:bookmarkStart w:id="29" w:name="page30"/>
    <w:bookmarkEnd w:id="2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 No Recourse Against Others.</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 Authentication.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 Abbreviations and Defined Terms.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18. CUSIP Numbers.</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 Governing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Security thereof.</w:t>
      </w:r>
    </w:p>
    <w:p>
      <w:pPr>
        <w:sectPr>
          <w:pgSz w:w="11900" w:h="16838" w:orient="portrait"/>
          <w:cols w:equalWidth="0" w:num="1">
            <w:col w:w="11000"/>
          </w:cols>
          <w:pgMar w:left="440" w:top="270" w:right="4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FORM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Social Security or other identifying number of assignee or transferee)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_________________________________________ agent to transfer this Security on the books of the Issuer. The agent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substitute another to act for him.</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_______________________</w:t>
            </w:r>
          </w:p>
        </w:tc>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Signed:______________________________________________</w:t>
            </w:r>
          </w:p>
        </w:tc>
      </w:tr>
      <w:tr>
        <w:trPr>
          <w:trHeight w:val="234"/>
        </w:trPr>
        <w:tc>
          <w:tcPr>
            <w:tcW w:w="562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(Signed exactly as name appears on the other side of this Security)</w:t>
            </w:r>
          </w:p>
        </w:tc>
      </w:tr>
      <w:tr>
        <w:trPr>
          <w:trHeight w:val="32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5400" w:type="dxa"/>
            <w:vAlign w:val="bottom"/>
            <w:tcBorders>
              <w:bottom w:val="single" w:sz="8" w:color="auto"/>
            </w:tcBorders>
          </w:tcPr>
          <w:p>
            <w:pPr>
              <w:spacing w:after="0"/>
              <w:rPr>
                <w:sz w:val="24"/>
                <w:szCs w:val="24"/>
                <w:color w:val="auto"/>
              </w:rPr>
            </w:pPr>
          </w:p>
        </w:tc>
      </w:tr>
      <w:tr>
        <w:trPr>
          <w:trHeight w:val="191"/>
        </w:trPr>
        <w:tc>
          <w:tcPr>
            <w:tcW w:w="5620" w:type="dxa"/>
            <w:vAlign w:val="bottom"/>
          </w:tcPr>
          <w:p>
            <w:pPr>
              <w:spacing w:after="0"/>
              <w:rPr>
                <w:sz w:val="16"/>
                <w:szCs w:val="16"/>
                <w:color w:val="auto"/>
              </w:rPr>
            </w:pPr>
          </w:p>
        </w:tc>
        <w:tc>
          <w:tcPr>
            <w:tcW w:w="54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Participant in a recognized Signature Guarantee Medallion Program (or</w:t>
            </w:r>
          </w:p>
        </w:tc>
      </w:tr>
      <w:tr>
        <w:trPr>
          <w:trHeight w:val="234"/>
        </w:trPr>
        <w:tc>
          <w:tcPr>
            <w:tcW w:w="562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signature guarantor program reasonably acceptable to the Trustee)</w:t>
            </w:r>
          </w:p>
        </w:tc>
      </w:tr>
    </w:tbl>
    <w:p>
      <w:pPr>
        <w:sectPr>
          <w:pgSz w:w="11900" w:h="16838" w:orient="portrait"/>
          <w:cols w:equalWidth="0" w:num="1">
            <w:col w:w="11020"/>
          </w:cols>
          <w:pgMar w:left="440" w:top="270" w:right="4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ectPr>
          <w:pgSz w:w="11900" w:h="16838" w:orient="portrait"/>
          <w:cols w:equalWidth="0" w:num="1">
            <w:col w:w="9019"/>
          </w:cols>
          <w:pgMar w:left="1440" w:top="266" w:right="1440" w:bottom="1440" w:gutter="0" w:footer="0" w:header="0"/>
        </w:sectPr>
      </w:pPr>
    </w:p>
    <w:bookmarkStart w:id="32" w:name="page33"/>
    <w:bookmarkEnd w:id="32"/>
    <w:p>
      <w:pPr>
        <w:ind w:right="8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5.650% Note due 2054</w:t>
      </w:r>
    </w:p>
    <w:p>
      <w:pPr>
        <w:sectPr>
          <w:pgSz w:w="11900" w:h="16838" w:orient="portrait"/>
          <w:cols w:equalWidth="0" w:num="1">
            <w:col w:w="11020"/>
          </w:cols>
          <w:pgMar w:left="440" w:top="270"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 [ </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CUSIP No.: 20030N EK3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ISIN No.: US20030NEK37</w:t>
      </w:r>
    </w:p>
    <w:p>
      <w:pPr>
        <w:spacing w:after="0" w:line="200" w:lineRule="exact"/>
        <w:rPr>
          <w:sz w:val="20"/>
          <w:szCs w:val="20"/>
          <w:color w:val="auto"/>
        </w:rPr>
      </w:pPr>
    </w:p>
    <w:p>
      <w:pPr>
        <w:sectPr>
          <w:pgSz w:w="11900" w:h="16838" w:orient="portrait"/>
          <w:cols w:equalWidth="0" w:num="3">
            <w:col w:w="420" w:space="120"/>
            <w:col w:w="7760" w:space="720"/>
            <w:col w:w="2000"/>
          </w:cols>
          <w:pgMar w:left="440" w:top="270" w:right="4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00" w:space="120"/>
            <w:col w:w="10700"/>
          </w:cols>
          <w:pgMar w:left="440" w:top="270" w:right="439" w:bottom="1440" w:gutter="0" w:footer="0" w:header="0"/>
          <w:type w:val="continuous"/>
        </w:sectPr>
      </w:pPr>
    </w:p>
    <w:p>
      <w:pPr>
        <w:spacing w:after="0" w:line="21"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which term includes any successor corporation), for value received promises to pay to CEDE &amp; CO. or registered assigns, the principal sum of $[ ] ([ ]) on June 1, 2054.</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Dates: June 1 and December 1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December 1, 2024.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May 15 and November 15 (each, an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Reference is made to the further provisions of this Security contained herein, which will for all purposes have the same effect as if set forth at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70" w:right="439" w:bottom="1440" w:gutter="0" w:footer="0" w:header="0"/>
          <w:type w:val="continuous"/>
        </w:sectPr>
      </w:pPr>
    </w:p>
    <w:bookmarkStart w:id="33" w:name="page34"/>
    <w:bookmarkEnd w:id="3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Teresa Metzler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 and Assistant Treasurer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Comcast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17145</wp:posOffset>
            </wp:positionV>
            <wp:extent cx="26060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3"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Senior Vice President, Senior Deputy General</w:t>
      </w:r>
    </w:p>
    <w:p>
      <w:pPr>
        <w:spacing w:after="0" w:line="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Counsel and Assistant Secretary</w:t>
      </w:r>
    </w:p>
    <w:p>
      <w:pPr>
        <w:spacing w:after="0" w:line="38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Global Note</w:t>
      </w:r>
      <w:r>
        <w:rPr>
          <w:rFonts w:ascii="Times New Roman" w:cs="Times New Roman" w:eastAsia="Times New Roman" w:hAnsi="Times New Roman"/>
          <w:sz w:val="18"/>
          <w:szCs w:val="18"/>
          <w:color w:val="auto"/>
        </w:rPr>
        <w:t>]</w:t>
      </w:r>
    </w:p>
    <w:p>
      <w:pPr>
        <w:sectPr>
          <w:pgSz w:w="11900" w:h="16838" w:orient="portrait"/>
          <w:cols w:equalWidth="0" w:num="1">
            <w:col w:w="10460"/>
          </w:cols>
          <w:pgMar w:left="440" w:top="270" w:right="999" w:bottom="1440" w:gutter="0" w:footer="0" w:header="0"/>
        </w:sectPr>
      </w:pPr>
    </w:p>
    <w:bookmarkStart w:id="34" w:name="page35"/>
    <w:bookmarkEnd w:id="3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one of the series designated herein and referred to in the within-mentioned Indenture.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22,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THE BANK OF NEW YORK MELLON,</w:t>
      </w:r>
    </w:p>
    <w:p>
      <w:pPr>
        <w:spacing w:after="0" w:line="3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39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Global Note</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(REVERSE OF SECURITY)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5.650% Note due 2054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Interest.</w:t>
      </w:r>
    </w:p>
    <w:p>
      <w:pPr>
        <w:spacing w:after="0" w:line="221"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May 22, 2024. The Issuer will pay interest semi-annually in arrears on each Interest Payment Date, commencing December 1, 2024. Interest will be computed on the basis of a 360-day year of twelve 30-day months.</w:t>
      </w:r>
    </w:p>
    <w:p>
      <w:pPr>
        <w:spacing w:after="0" w:line="180" w:lineRule="exact"/>
        <w:rPr>
          <w:sz w:val="20"/>
          <w:szCs w:val="20"/>
          <w:color w:val="auto"/>
        </w:rPr>
      </w:pPr>
    </w:p>
    <w:p>
      <w:pPr>
        <w:jc w:val="both"/>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Method of Payment.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collect principal payments. The Issuer shall pay principal and interest in money of the United States that at the time of payment is legal tender for payment of public and private debts (“</w:t>
      </w:r>
      <w:r>
        <w:rPr>
          <w:rFonts w:ascii="Times New Roman" w:cs="Times New Roman" w:eastAsia="Times New Roman" w:hAnsi="Times New Roman"/>
          <w:sz w:val="18"/>
          <w:szCs w:val="18"/>
          <w:b w:val="1"/>
          <w:bCs w:val="1"/>
          <w:color w:val="auto"/>
        </w:rPr>
        <w:t>U.S. Legal Tender</w:t>
      </w:r>
      <w:r>
        <w:rPr>
          <w:rFonts w:ascii="Times New Roman" w:cs="Times New Roman" w:eastAsia="Times New Roman" w:hAnsi="Times New Roman"/>
          <w:sz w:val="18"/>
          <w:szCs w:val="18"/>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Paying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Initially, the Trustee will act as Paying Agent. The Issuer may change any Paying Agent without notice to the Holders.</w:t>
      </w:r>
    </w:p>
    <w:p>
      <w:pPr>
        <w:sectPr>
          <w:pgSz w:w="11900" w:h="16838" w:orient="portrait"/>
          <w:cols w:equalWidth="0" w:num="1">
            <w:col w:w="11000"/>
          </w:cols>
          <w:pgMar w:left="440" w:top="270" w:right="459" w:bottom="1440" w:gutter="0" w:footer="0" w:header="0"/>
        </w:sectPr>
      </w:pPr>
    </w:p>
    <w:bookmarkStart w:id="36" w:name="page37"/>
    <w:bookmarkEnd w:id="3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 Indenture.</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the Trustee, and as further amended by the Second Supplemental Indenture dated as of July 29, 2022, by and among the Issuer, the Guarantors and the Trustee (as amended,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and the notes are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under the Indenture.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 Guarantees.</w:t>
      </w:r>
    </w:p>
    <w:p>
      <w:pPr>
        <w:spacing w:after="0" w:line="225" w:lineRule="exact"/>
        <w:rPr>
          <w:sz w:val="20"/>
          <w:szCs w:val="20"/>
          <w:color w:val="auto"/>
        </w:rPr>
      </w:pPr>
    </w:p>
    <w:p>
      <w:pPr>
        <w:jc w:val="both"/>
        <w:ind w:right="100" w:firstLine="440"/>
        <w:spacing w:after="0" w:line="289" w:lineRule="auto"/>
        <w:rPr>
          <w:sz w:val="20"/>
          <w:szCs w:val="20"/>
          <w:color w:val="auto"/>
        </w:rPr>
      </w:pPr>
      <w:r>
        <w:rPr>
          <w:rFonts w:ascii="Times New Roman" w:cs="Times New Roman" w:eastAsia="Times New Roman" w:hAnsi="Times New Roman"/>
          <w:sz w:val="17"/>
          <w:szCs w:val="17"/>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 Denominations; Transfer; Exchange.</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 Persons Deemed Owners.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registered Holder of a Security shall be treated as the owner of it for all purposes.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 Unclaimed Funds.</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 Legal Defeasance and Covenant Defeasance.</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ectPr>
          <w:pgSz w:w="11900" w:h="16838" w:orient="portrait"/>
          <w:cols w:equalWidth="0" w:num="1">
            <w:col w:w="11000"/>
          </w:cols>
          <w:pgMar w:left="440" w:top="270" w:right="459" w:bottom="1440" w:gutter="0" w:footer="0" w:header="0"/>
        </w:sectPr>
      </w:pPr>
    </w:p>
    <w:bookmarkStart w:id="37" w:name="page38"/>
    <w:bookmarkEnd w:id="3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 Amendment; Supplement; Waiver.</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 Restrictive Covenants.</w:t>
      </w:r>
    </w:p>
    <w:p>
      <w:pPr>
        <w:spacing w:after="0" w:line="225" w:lineRule="exact"/>
        <w:rPr>
          <w:sz w:val="20"/>
          <w:szCs w:val="20"/>
          <w:color w:val="auto"/>
        </w:rPr>
      </w:pPr>
    </w:p>
    <w:p>
      <w:pPr>
        <w:ind w:right="260" w:firstLine="440"/>
        <w:spacing w:after="0" w:line="289" w:lineRule="auto"/>
        <w:rPr>
          <w:sz w:val="20"/>
          <w:szCs w:val="20"/>
          <w:color w:val="auto"/>
        </w:rPr>
      </w:pPr>
      <w:r>
        <w:rPr>
          <w:rFonts w:ascii="Times New Roman" w:cs="Times New Roman" w:eastAsia="Times New Roman" w:hAnsi="Times New Roman"/>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 Redemption.</w:t>
      </w:r>
    </w:p>
    <w:p>
      <w:pPr>
        <w:spacing w:after="0" w:line="221"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Prior to December 1, 2053 (six (6) months prior to the maturity date of the Securities) (the “</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the Issuer may redeem the Securities at its option, in whole or in part, at any time and from time to time, at a redemption price (expressed as a percentage of the principal amount and rounded to three decimal places) equal to the greater of:</w:t>
      </w:r>
    </w:p>
    <w:p>
      <w:pPr>
        <w:spacing w:after="0" w:line="67" w:lineRule="exact"/>
        <w:rPr>
          <w:sz w:val="20"/>
          <w:szCs w:val="20"/>
          <w:color w:val="auto"/>
        </w:rPr>
      </w:pPr>
    </w:p>
    <w:p>
      <w:pPr>
        <w:jc w:val="both"/>
        <w:ind w:right="400" w:firstLine="436"/>
        <w:spacing w:after="0" w:line="266"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for this purpose, that the Securities matured on the Par Call Date) on a semi-annual basis (assuming a 360-day year consisting of twelve 30-day months) at the Treasury Rate plus 20 basis points, less (b) interest accrued to the date of redemption, and</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the Issuer may redeem the Securities, in whole or in part, at any time and from time to time, at a redemption price equal to 100% of the principal amount of the Securities being redeemed plus accrued and unpaid interest thereon to the redemption date.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Issuer in accordance with the following two paragraphs.</w:t>
      </w:r>
    </w:p>
    <w:p>
      <w:pPr>
        <w:spacing w:after="0" w:line="225"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w:t>
      </w:r>
    </w:p>
    <w:p>
      <w:pPr>
        <w:sectPr>
          <w:pgSz w:w="11900" w:h="16838" w:orient="portrait"/>
          <w:cols w:equalWidth="0" w:num="1">
            <w:col w:w="11000"/>
          </w:cols>
          <w:pgMar w:left="440" w:top="270" w:right="459" w:bottom="1440" w:gutter="0" w:footer="0" w:header="0"/>
        </w:sectPr>
      </w:pPr>
    </w:p>
    <w:bookmarkStart w:id="38" w:name="page39"/>
    <w:bookmarkEnd w:id="3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Issuer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94"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Securities to be redeemed.</w:t>
      </w:r>
    </w:p>
    <w:p>
      <w:pPr>
        <w:spacing w:after="0" w:line="162"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Securities for redemption will be made in accordance with the procedures of the Depositary. No Securities of a principal amount of $2,000 or less will be redeemed in part. If the Security is to be redeemed in part only, the notice of redemption will state the portion of the principal amount of the Security to be redeemed. A new Security in a principal amount equal to the unredeemed portion of the Security will be issued in the name of the holder of such Security upon surrender for cancellation of such original Security. For so long as any Security is registered in the name of the Depositary, the redemption of any Security shall be done in accordance with the policies and procedures of the Depositary.</w:t>
      </w:r>
    </w:p>
    <w:p>
      <w:pPr>
        <w:spacing w:after="0" w:line="18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Unless the Issuer defaults in payment of the redemption price, on and after the redemption date, interest will cease to accrue on the Securities or portions thereof called for redemption.</w:t>
      </w:r>
    </w:p>
    <w:p>
      <w:pPr>
        <w:sectPr>
          <w:pgSz w:w="11900" w:h="16838" w:orient="portrait"/>
          <w:cols w:equalWidth="0" w:num="1">
            <w:col w:w="11000"/>
          </w:cols>
          <w:pgMar w:left="440" w:top="270" w:right="459" w:bottom="1440" w:gutter="0" w:footer="0" w:header="0"/>
        </w:sectPr>
      </w:pPr>
    </w:p>
    <w:bookmarkStart w:id="39" w:name="page40"/>
    <w:bookmarkEnd w:id="3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 Defaults and Remedies.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 Trustee Dealings with Issuer.</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become the owner or pledgee of Securities and may otherwise deal with the Issuer as if it were not the Trustee.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 No Recourse Against Others.</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 Authentication.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Security shall not be valid until the Trustee manually signs the certificate of authentication on this Security.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 Abbreviations and Defined Terms.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18. CUSIP Numbers.</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ectPr>
          <w:pgSz w:w="11900" w:h="16838" w:orient="portrait"/>
          <w:cols w:equalWidth="0" w:num="1">
            <w:col w:w="11000"/>
          </w:cols>
          <w:pgMar w:left="440" w:top="270"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19. Governing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laws of the State of New York shall govern the Indenture and this Security thereof.</w:t>
      </w:r>
    </w:p>
    <w:p>
      <w:pPr>
        <w:sectPr>
          <w:pgSz w:w="11900" w:h="16838" w:orient="portrait"/>
          <w:cols w:equalWidth="0" w:num="1">
            <w:col w:w="9579"/>
          </w:cols>
          <w:pgMar w:left="880" w:top="270"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Social Security or other identifying number of assignee or transferee)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_________________________________________ agent to transfer this Security on the books of the Issuer. The agent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substitute another to act for him.</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_______________________</w:t>
            </w:r>
          </w:p>
        </w:tc>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Signed:_____________________________________________</w:t>
            </w:r>
          </w:p>
        </w:tc>
      </w:tr>
      <w:tr>
        <w:trPr>
          <w:trHeight w:val="234"/>
        </w:trPr>
        <w:tc>
          <w:tcPr>
            <w:tcW w:w="562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(Signed exactly as name appears on the other side of this Security)</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5400" w:type="dxa"/>
            <w:vAlign w:val="bottom"/>
            <w:tcBorders>
              <w:bottom w:val="single" w:sz="8" w:color="auto"/>
            </w:tcBorders>
          </w:tcPr>
          <w:p>
            <w:pPr>
              <w:spacing w:after="0"/>
              <w:rPr>
                <w:sz w:val="24"/>
                <w:szCs w:val="24"/>
                <w:color w:val="auto"/>
              </w:rPr>
            </w:pPr>
          </w:p>
        </w:tc>
      </w:tr>
      <w:tr>
        <w:trPr>
          <w:trHeight w:val="191"/>
        </w:trPr>
        <w:tc>
          <w:tcPr>
            <w:tcW w:w="5620" w:type="dxa"/>
            <w:vAlign w:val="bottom"/>
          </w:tcPr>
          <w:p>
            <w:pPr>
              <w:spacing w:after="0"/>
              <w:rPr>
                <w:sz w:val="16"/>
                <w:szCs w:val="16"/>
                <w:color w:val="auto"/>
              </w:rPr>
            </w:pPr>
          </w:p>
        </w:tc>
        <w:tc>
          <w:tcPr>
            <w:tcW w:w="54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Participant in a recognized Signature Guarantee Medallion Program (or</w:t>
            </w:r>
          </w:p>
        </w:tc>
      </w:tr>
      <w:tr>
        <w:trPr>
          <w:trHeight w:val="234"/>
        </w:trPr>
        <w:tc>
          <w:tcPr>
            <w:tcW w:w="562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signature guarantor program reasonably acceptable to the Trustee)</w:t>
            </w:r>
          </w:p>
        </w:tc>
      </w:tr>
    </w:tbl>
    <w:p>
      <w:pPr>
        <w:sectPr>
          <w:pgSz w:w="11900" w:h="16838" w:orient="portrait"/>
          <w:cols w:equalWidth="0" w:num="1">
            <w:col w:w="11020"/>
          </w:cols>
          <w:pgMar w:left="440" w:top="270" w:right="4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173990</wp:posOffset>
            </wp:positionV>
            <wp:extent cx="1757045" cy="9944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57045"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22,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 19103-2838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am Senior Vice President, Senior Deputy General Counsel and Assistant Secretary of Comcast Corporation, a Pennsylvania corporation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have acted for the Company in connection with the issuance by the Company, pursuant to the Underwriting Agreement dated May 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among the Company, the Guarantors (as defined below) and the several underwriters named therein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of $750,000,000 aggregate principal amount of its 5.100% Notes due 2029, $1,300,000,000 aggregate principal amount of its 5.300%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due 2034 and $1,200,000,000 aggregate principal amount of its 5.650% Notes due 2054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The Notes are to be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provisions of the Indenture dated as of September 18, 2013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as amended by the First Supplemental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dated as of November 17, 2015 (the “</w:t>
      </w:r>
      <w:r>
        <w:rPr>
          <w:rFonts w:ascii="Times New Roman" w:cs="Times New Roman" w:eastAsia="Times New Roman" w:hAnsi="Times New Roman"/>
          <w:sz w:val="18"/>
          <w:szCs w:val="18"/>
          <w:b w:val="1"/>
          <w:bCs w:val="1"/>
          <w:color w:val="auto"/>
        </w:rPr>
        <w:t>First Supplemental Indenture</w:t>
      </w:r>
      <w:r>
        <w:rPr>
          <w:rFonts w:ascii="Times New Roman" w:cs="Times New Roman" w:eastAsia="Times New Roman" w:hAnsi="Times New Roman"/>
          <w:sz w:val="18"/>
          <w:szCs w:val="18"/>
          <w:color w:val="auto"/>
        </w:rPr>
        <w:t>”) and the Second Supplemental Indenture dated as of July 29, 2022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Supplemental Indenture</w:t>
      </w:r>
      <w:r>
        <w:rPr>
          <w:rFonts w:ascii="Times New Roman" w:cs="Times New Roman" w:eastAsia="Times New Roman" w:hAnsi="Times New Roman"/>
          <w:sz w:val="18"/>
          <w:szCs w:val="18"/>
          <w:color w:val="auto"/>
        </w:rPr>
        <w:t>” and, together with the Base Indenture and the First Supplemental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each by and 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the guarantors named therein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The Notes are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guaranteed on an unsecured and unsubordinated basis by the Guarantors.</w:t>
      </w:r>
    </w:p>
    <w:p>
      <w:pPr>
        <w:spacing w:after="0" w:line="207"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upon the foregoing, I am of the opinion that:</w:t>
      </w:r>
    </w:p>
    <w:p>
      <w:pPr>
        <w:spacing w:after="0" w:line="131" w:lineRule="exact"/>
        <w:rPr>
          <w:sz w:val="20"/>
          <w:szCs w:val="20"/>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executed and delivered by the Company.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have been duly authorized by the Company.</w:t>
      </w:r>
    </w:p>
    <w:p>
      <w:pPr>
        <w:sectPr>
          <w:pgSz w:w="11900" w:h="16838" w:orient="portrait"/>
          <w:cols w:equalWidth="0" w:num="1">
            <w:col w:w="11020"/>
          </w:cols>
          <w:pgMar w:left="440" w:top="117" w:right="4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58"/>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Comcast Corporation</w:t>
            </w:r>
          </w:p>
        </w:tc>
        <w:tc>
          <w:tcPr>
            <w:tcW w:w="5300" w:type="dxa"/>
            <w:vAlign w:val="bottom"/>
          </w:tcPr>
          <w:p>
            <w:pPr>
              <w:ind w:left="4180"/>
              <w:spacing w:after="0"/>
              <w:rPr>
                <w:sz w:val="20"/>
                <w:szCs w:val="20"/>
                <w:color w:val="auto"/>
              </w:rPr>
            </w:pPr>
            <w:r>
              <w:rPr>
                <w:rFonts w:ascii="Times New Roman" w:cs="Times New Roman" w:eastAsia="Times New Roman" w:hAnsi="Times New Roman"/>
                <w:sz w:val="20"/>
                <w:szCs w:val="20"/>
                <w:color w:val="auto"/>
                <w:w w:val="98"/>
              </w:rPr>
              <w:t>May 22, 2024</w:t>
            </w:r>
          </w:p>
        </w:tc>
      </w:tr>
    </w:tbl>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I am a member of the Bar of the Commonwealth of Pennsylvania and the foregoing opinion is limited to the laws of the Commonwealth of Pennsylvania and the federal laws of the United States of America.</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 hereby consent to the filing of this opinion as an exhibit to a report on Form 8-K filed by the Company on the date hereof and its incorporation by reference into the Company’s registration statement on Form S-3 filed on July 29, 2022, as amended as of the date of the Underwriting Agreement (File No. 333-266390). In addition, I consent to the reference to my name under the caption “Legal Matters” in the prospectus supplement, which is a part of the registration statement. In giving this consent, I do not admit that I am in the category of persons whose consent is required under Section 7 of the Securities Act of 1933, as amended.</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17145</wp:posOffset>
            </wp:positionV>
            <wp:extent cx="26060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Elizabeth Wideman</w:t>
      </w:r>
    </w:p>
    <w:p>
      <w:pPr>
        <w:spacing w:after="0" w:line="23"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Senior Vice President, Senior Deputy General</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Counsel and Assistant Secretary</w:t>
      </w:r>
    </w:p>
    <w:p>
      <w:pPr>
        <w:sectPr>
          <w:pgSz w:w="11900" w:h="16838" w:orient="portrait"/>
          <w:cols w:equalWidth="0" w:num="1">
            <w:col w:w="11020"/>
          </w:cols>
          <w:pgMar w:left="440" w:top="265" w:right="4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89979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9979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 xml:space="preserve">Davis Polk &amp; Wardwell </w:t>
      </w:r>
      <w:r>
        <w:rPr>
          <w:rFonts w:ascii="Times New Roman" w:cs="Times New Roman" w:eastAsia="Times New Roman" w:hAnsi="Times New Roman"/>
          <w:sz w:val="14"/>
          <w:szCs w:val="14"/>
          <w:color w:val="auto"/>
        </w:rPr>
        <w:t>LLP</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davispolk.com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 19103-2838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Comcast Corporation, a Pennsylvania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Comcast Cable Communications, LLC, a Delaware limited liability company, and NBCUniversal Media, LLC, a Delaware limited liability company (together with Comcast Cable Communications, LLC,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b w:val="1"/>
          <w:bCs w:val="1"/>
          <w:color w:val="auto"/>
        </w:rPr>
        <w:t>Issuers</w:t>
      </w:r>
      <w:r>
        <w:rPr>
          <w:rFonts w:ascii="Times New Roman" w:cs="Times New Roman" w:eastAsia="Times New Roman" w:hAnsi="Times New Roman"/>
          <w:sz w:val="18"/>
          <w:szCs w:val="18"/>
          <w:color w:val="auto"/>
        </w:rPr>
        <w:t>”), have filed with the Securities and Exchange Commission a Registration Statement on Form S-3 (File</w:t>
      </w:r>
    </w:p>
    <w:p>
      <w:pPr>
        <w:ind w:right="140"/>
        <w:spacing w:after="0" w:line="251" w:lineRule="auto"/>
        <w:rPr>
          <w:sz w:val="20"/>
          <w:szCs w:val="20"/>
          <w:color w:val="auto"/>
        </w:rPr>
      </w:pPr>
      <w:r>
        <w:rPr>
          <w:rFonts w:ascii="Times New Roman" w:cs="Times New Roman" w:eastAsia="Times New Roman" w:hAnsi="Times New Roman"/>
          <w:sz w:val="18"/>
          <w:szCs w:val="18"/>
          <w:color w:val="auto"/>
        </w:rPr>
        <w:t>No. 333-266390)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 purpose of registering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certain securities, including $750,000,000 aggregate principal amount of the Company’s 5.100% Notes due 2029, $1,300,000,000 aggregate principal amount of the Company’s 5.300% Notes due 2034 and $1,200,000,000 aggregate principal amount of the Company’s 5.650% Notes due 2054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The Notes are to be issued pursuant to the provisions of the Indenture dated as of September 18, 2013 (the “</w:t>
      </w:r>
      <w:r>
        <w:rPr>
          <w:rFonts w:ascii="Times New Roman" w:cs="Times New Roman" w:eastAsia="Times New Roman" w:hAnsi="Times New Roman"/>
          <w:sz w:val="18"/>
          <w:szCs w:val="18"/>
          <w:b w:val="1"/>
          <w:bCs w:val="1"/>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as amended by the First Supplemental Indenture thereto dated as of November 17, 2015 (the “</w:t>
      </w:r>
      <w:r>
        <w:rPr>
          <w:rFonts w:ascii="Times New Roman" w:cs="Times New Roman" w:eastAsia="Times New Roman" w:hAnsi="Times New Roman"/>
          <w:sz w:val="18"/>
          <w:szCs w:val="18"/>
          <w:b w:val="1"/>
          <w:bCs w:val="1"/>
          <w:color w:val="auto"/>
        </w:rPr>
        <w:t>First Supplemental Indenture</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Supplemental Indenture dated as of July 29, 2022 (the “</w:t>
      </w:r>
      <w:r>
        <w:rPr>
          <w:rFonts w:ascii="Times New Roman" w:cs="Times New Roman" w:eastAsia="Times New Roman" w:hAnsi="Times New Roman"/>
          <w:sz w:val="18"/>
          <w:szCs w:val="18"/>
          <w:b w:val="1"/>
          <w:bCs w:val="1"/>
          <w:color w:val="auto"/>
        </w:rPr>
        <w:t>Second Supplemental Indenture</w:t>
      </w:r>
      <w:r>
        <w:rPr>
          <w:rFonts w:ascii="Times New Roman" w:cs="Times New Roman" w:eastAsia="Times New Roman" w:hAnsi="Times New Roman"/>
          <w:sz w:val="18"/>
          <w:szCs w:val="18"/>
          <w:color w:val="auto"/>
        </w:rPr>
        <w:t>” and, together with the Base Indenture and the First Supplemental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among the Company, the guarantors party thereto and The Bank of New York Mellon,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Pursuant to the terms of the Indenture, the Notes will be guaranteed by each of the Guarantors (the “</w:t>
      </w: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 and, together with the Notes,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are to be sold pursuant to the Underwriting Agreement dated May 20, 2024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among the Company, the Guarantors and the several underwriters named therein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w:t>
      </w:r>
    </w:p>
    <w:p>
      <w:pPr>
        <w:sectPr>
          <w:pgSz w:w="11900" w:h="16838" w:orient="portrait"/>
          <w:cols w:equalWidth="0" w:num="1">
            <w:col w:w="11020"/>
          </w:cols>
          <w:pgMar w:left="440" w:top="117" w:right="4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22,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foregoing, and subject to the additional assumptions and qualifications set forth below, we advise you that, in our opinion:</w:t>
      </w:r>
    </w:p>
    <w:p>
      <w:pPr>
        <w:spacing w:after="0" w:line="131" w:lineRule="exact"/>
        <w:rPr>
          <w:sz w:val="20"/>
          <w:szCs w:val="20"/>
          <w:color w:val="auto"/>
        </w:rPr>
      </w:pPr>
    </w:p>
    <w:p>
      <w:pPr>
        <w:ind w:left="960" w:right="300" w:hanging="532"/>
        <w:spacing w:after="0" w:line="270" w:lineRule="auto"/>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Assuming the Notes have been duly executed and authenticated in accordance with the provisions of the Indenture and delivered to and paid for by the Underwriters pursuant to the Underwriting Agreement, the Notes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w:t>
      </w:r>
    </w:p>
    <w:p>
      <w:pPr>
        <w:spacing w:after="0" w:line="2" w:lineRule="exact"/>
        <w:rPr>
          <w:rFonts w:ascii="Times New Roman" w:cs="Times New Roman" w:eastAsia="Times New Roman" w:hAnsi="Times New Roman"/>
          <w:sz w:val="17"/>
          <w:szCs w:val="17"/>
          <w:color w:val="auto"/>
        </w:rPr>
      </w:pPr>
    </w:p>
    <w:p>
      <w:pPr>
        <w:ind w:left="1220" w:hanging="252"/>
        <w:spacing w:after="0"/>
        <w:tabs>
          <w:tab w:leader="none" w:pos="12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effect of fraudulent conveyance, fraudulent transfer or similar provision of applicable law on the conclusions expressed above or</w:t>
      </w:r>
    </w:p>
    <w:p>
      <w:pPr>
        <w:spacing w:after="0" w:line="9" w:lineRule="exact"/>
        <w:rPr>
          <w:rFonts w:ascii="Times New Roman" w:cs="Times New Roman" w:eastAsia="Times New Roman" w:hAnsi="Times New Roman"/>
          <w:sz w:val="18"/>
          <w:szCs w:val="18"/>
          <w:color w:val="auto"/>
        </w:rPr>
      </w:pPr>
    </w:p>
    <w:p>
      <w:pPr>
        <w:ind w:left="960" w:right="180" w:firstLine="8"/>
        <w:spacing w:after="0" w:line="253" w:lineRule="auto"/>
        <w:tabs>
          <w:tab w:leader="none" w:pos="122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the Indenture that purports to avoid the effect of fraudulent conveyance, fraudulent transfer or similar provision of applicable law by limiting the amount of any Guarantor’s obligation or (y) the validity, legally binding effect or enforceability of any provision that permits holders to collect any portion of stated principal amount upon acceleration of the Notes to the extent determined to constitute unearned interest.</w:t>
      </w:r>
    </w:p>
    <w:p>
      <w:pPr>
        <w:spacing w:after="0" w:line="94" w:lineRule="exact"/>
        <w:rPr>
          <w:rFonts w:ascii="Times New Roman" w:cs="Times New Roman" w:eastAsia="Times New Roman" w:hAnsi="Times New Roman"/>
          <w:sz w:val="18"/>
          <w:szCs w:val="18"/>
          <w:color w:val="auto"/>
        </w:rPr>
      </w:pPr>
    </w:p>
    <w:p>
      <w:pPr>
        <w:ind w:left="960" w:right="260" w:hanging="532"/>
        <w:spacing w:after="0" w:line="270" w:lineRule="auto"/>
        <w:tabs>
          <w:tab w:leader="none" w:pos="9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Guarantees, assuming the Notes have been duly executed and authenticated in accordance with the provisions of the Indenture and delivered to and paid for by the Underwriters pursuant to the Underwriting Agreement, will be valid and binding obligations of each Guarantor, enforceable in accordance with their terms, subject to applicable bankruptcy, insolvency and similar laws affecting creditors’ rights generally, concepts of reasonableness and equitable principles of general applicability;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we express no opinion as to</w:t>
      </w:r>
    </w:p>
    <w:p>
      <w:pPr>
        <w:spacing w:after="0" w:line="2" w:lineRule="exact"/>
        <w:rPr>
          <w:rFonts w:ascii="Times New Roman" w:cs="Times New Roman" w:eastAsia="Times New Roman" w:hAnsi="Times New Roman"/>
          <w:sz w:val="17"/>
          <w:szCs w:val="17"/>
          <w:color w:val="auto"/>
        </w:rPr>
      </w:pPr>
    </w:p>
    <w:p>
      <w:pPr>
        <w:ind w:left="1220" w:hanging="252"/>
        <w:spacing w:after="0"/>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effect of fraudulent conveyance, fraudulent transfer or similar provision of applicable law on the conclusions expressed above or</w:t>
      </w:r>
    </w:p>
    <w:p>
      <w:pPr>
        <w:spacing w:after="0" w:line="9" w:lineRule="exact"/>
        <w:rPr>
          <w:rFonts w:ascii="Times New Roman" w:cs="Times New Roman" w:eastAsia="Times New Roman" w:hAnsi="Times New Roman"/>
          <w:sz w:val="18"/>
          <w:szCs w:val="18"/>
          <w:color w:val="auto"/>
        </w:rPr>
      </w:pPr>
    </w:p>
    <w:p>
      <w:pPr>
        <w:ind w:left="960" w:right="180" w:firstLine="8"/>
        <w:spacing w:after="0" w:line="253" w:lineRule="auto"/>
        <w:tabs>
          <w:tab w:leader="none" w:pos="122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the Guarantee that purports to avoid the effect of fraudulent conveyance, fraudulent transfer or similar provision of applicable law by limiting the amount of any Guarantor’s obligation or (y) the validity, legally binding effect or enforceability of any provision that permits holders to collect any portion of stated principal amount upon acceleration of the Notes to the extent determined to constitute unearned interest.</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connection with the opinions expressed above, we have assumed that the Company and each Guarantor is validly existing and in good standing under the laws of the Commonwealth of Pennsylvania or the State of Delaware, as applicable. In addition, we have assumed that the Indenture and the Securities (collectively,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their corporate or limited liability company powers, as applicable, (b) do not contravene, or constitute a default under, the certificate of incorporation or bylaws or other constitutive documents of the Company or any Guarantor,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the Company or any Guarantor, provided that we make no such assumption to the extent that we have specifically opined as to such matters with respect to the Company and each Guarantor.</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are members of the Bar of the State of New York and the foregoing opinions are limited to the laws of the State of New York and the Limited Liability Company Act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 Insofar as the foregoing opinions involve matters governed by the laws of the Commonwealth of Pennsylvania, we have relied, without independent inquiry or investigation, on the opinions of the Senior Deputy General Counsel of the Company to be filed as an exhibit to a report on Form 8-K to be filed by the Company on the date hereof.</w:t>
      </w:r>
    </w:p>
    <w:p>
      <w:pPr>
        <w:sectPr>
          <w:pgSz w:w="11900" w:h="16838" w:orient="portrait"/>
          <w:cols w:equalWidth="0" w:num="1">
            <w:col w:w="11020"/>
          </w:cols>
          <w:pgMar w:left="440" w:top="270" w:right="439" w:bottom="1440" w:gutter="0" w:footer="0" w:header="0"/>
        </w:sectPr>
      </w:pPr>
    </w:p>
    <w:bookmarkStart w:id="46" w:name="page47"/>
    <w:bookmarkEnd w:id="46"/>
    <w:p>
      <w:pPr>
        <w:ind w:left="10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22, 2024</w:t>
      </w:r>
    </w:p>
    <w:p>
      <w:pPr>
        <w:spacing w:after="0" w:line="15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to a report on Form 8-K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Davis Polk &amp; Wardwell LLP</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Roman"/>
      <w:start w:val="10"/>
    </w:lvl>
  </w:abstractNum>
  <w:abstractNum w:abstractNumId="6">
    <w:nsid w:val="7545E146"/>
    <w:multiLevelType w:val="hybridMultilevel"/>
    <w:lvl w:ilvl="0">
      <w:lvlJc w:val="left"/>
      <w:lvlText w:val="%1"/>
      <w:numFmt w:val="decimal"/>
      <w:start w:val="1"/>
    </w:lvl>
    <w:lvl w:ilvl="1">
      <w:lvlJc w:val="left"/>
      <w:lvlText w:val="(%2)"/>
      <w:numFmt w:val="lowerRoman"/>
      <w:start w:val="2"/>
    </w:lvl>
  </w:abstractNum>
  <w:abstractNum w:abstractNumId="7">
    <w:nsid w:val="515F007C"/>
    <w:multiLevelType w:val="hybridMultilevel"/>
    <w:lvl w:ilvl="0">
      <w:lvlJc w:val="left"/>
      <w:lvlText w:val="%1."/>
      <w:numFmt w:val="decimal"/>
      <w:start w:val="2"/>
    </w:lvl>
    <w:lvl w:ilvl="1">
      <w:lvlJc w:val="left"/>
      <w:lvlText w:val="(%2)"/>
      <w:numFmt w:val="lowerRoman"/>
      <w:start w:val="10"/>
    </w:lvl>
  </w:abstractNum>
  <w:abstractNum w:abstractNumId="8">
    <w:nsid w:val="5BD062C2"/>
    <w:multiLevelType w:val="hybridMultilevel"/>
    <w:lvl w:ilvl="0">
      <w:lvlJc w:val="left"/>
      <w:lvlText w:val="%1"/>
      <w:numFmt w:val="decimal"/>
      <w:start w:val="1"/>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2024-05-22T15:28:36Z</dcterms:created>
  <dcterms:modified xsi:type="dcterms:W3CDTF">2024-05-22T15:28:36Z</dcterms:modified>
</cp:coreProperties>
</file>